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DA92D" w14:textId="5A8CD43F" w:rsidR="00F21220" w:rsidRDefault="000E0B55" w:rsidP="00F21220">
      <w:pPr>
        <w:spacing w:after="0" w:line="360" w:lineRule="auto"/>
        <w:rPr>
          <w:rFonts w:ascii="Times New Roman" w:hAnsi="Times New Roman" w:cs="Times New Roman"/>
        </w:rPr>
      </w:pPr>
      <w:r>
        <w:rPr>
          <w:rFonts w:ascii="Times New Roman" w:hAnsi="Times New Roman" w:cs="Times New Roman"/>
          <w:noProof/>
        </w:rPr>
        <w:drawing>
          <wp:anchor distT="0" distB="0" distL="0" distR="0" simplePos="0" relativeHeight="251659264" behindDoc="0" locked="0" layoutInCell="1" allowOverlap="1" wp14:anchorId="6F8FE304" wp14:editId="666B4563">
            <wp:simplePos x="0" y="0"/>
            <wp:positionH relativeFrom="column">
              <wp:posOffset>1055922</wp:posOffset>
            </wp:positionH>
            <wp:positionV relativeFrom="paragraph">
              <wp:posOffset>442</wp:posOffset>
            </wp:positionV>
            <wp:extent cx="3752850" cy="115062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rcRect b="5639"/>
                    <a:stretch>
                      <a:fillRect/>
                    </a:stretch>
                  </pic:blipFill>
                  <pic:spPr bwMode="auto">
                    <a:xfrm>
                      <a:off x="0" y="0"/>
                      <a:ext cx="3752850" cy="1150620"/>
                    </a:xfrm>
                    <a:prstGeom prst="rect">
                      <a:avLst/>
                    </a:prstGeom>
                  </pic:spPr>
                </pic:pic>
              </a:graphicData>
            </a:graphic>
          </wp:anchor>
        </w:drawing>
      </w:r>
    </w:p>
    <w:p w14:paraId="2D5FEFC7" w14:textId="0F0C00F1" w:rsidR="00F21220" w:rsidRDefault="00F21220" w:rsidP="00F21220">
      <w:pPr>
        <w:spacing w:after="0" w:line="360" w:lineRule="auto"/>
        <w:rPr>
          <w:rFonts w:ascii="Times New Roman" w:hAnsi="Times New Roman" w:cs="Times New Roman"/>
        </w:rPr>
      </w:pPr>
    </w:p>
    <w:p w14:paraId="547E6342" w14:textId="77777777" w:rsidR="00F21220" w:rsidRDefault="00F21220" w:rsidP="00F21220">
      <w:pPr>
        <w:spacing w:after="0" w:line="360" w:lineRule="auto"/>
        <w:rPr>
          <w:rFonts w:ascii="Times New Roman" w:hAnsi="Times New Roman" w:cs="Times New Roman"/>
        </w:rPr>
      </w:pPr>
    </w:p>
    <w:p w14:paraId="0FB2BD23" w14:textId="77777777" w:rsidR="00F21220" w:rsidRDefault="00F21220" w:rsidP="00F21220">
      <w:pPr>
        <w:spacing w:after="0" w:line="360" w:lineRule="auto"/>
        <w:rPr>
          <w:rFonts w:ascii="Times New Roman" w:hAnsi="Times New Roman" w:cs="Times New Roman"/>
        </w:rPr>
      </w:pPr>
    </w:p>
    <w:p w14:paraId="570E993E" w14:textId="77777777" w:rsidR="00F21220" w:rsidRDefault="00F21220" w:rsidP="00F21220">
      <w:pPr>
        <w:spacing w:after="0" w:line="360" w:lineRule="auto"/>
        <w:rPr>
          <w:rFonts w:ascii="Times New Roman" w:hAnsi="Times New Roman" w:cs="Times New Roman"/>
        </w:rPr>
      </w:pPr>
    </w:p>
    <w:p w14:paraId="6619BBD5" w14:textId="77777777" w:rsidR="00F21220" w:rsidRDefault="00F21220" w:rsidP="00F21220">
      <w:pPr>
        <w:spacing w:after="0" w:line="360" w:lineRule="auto"/>
        <w:rPr>
          <w:rFonts w:ascii="Times New Roman" w:hAnsi="Times New Roman" w:cs="Times New Roman"/>
        </w:rPr>
      </w:pPr>
    </w:p>
    <w:p w14:paraId="77AF032D" w14:textId="77777777" w:rsidR="00F21220" w:rsidRDefault="00F21220" w:rsidP="000E0B55">
      <w:pPr>
        <w:spacing w:after="0" w:line="360" w:lineRule="auto"/>
        <w:rPr>
          <w:rFonts w:ascii="Times New Roman" w:hAnsi="Times New Roman" w:cs="Times New Roman"/>
          <w:b/>
          <w:bCs/>
          <w:sz w:val="28"/>
          <w:szCs w:val="28"/>
        </w:rPr>
      </w:pPr>
    </w:p>
    <w:p w14:paraId="52576649" w14:textId="1D392FE1" w:rsidR="00F21220" w:rsidRDefault="00F21220" w:rsidP="00F21220">
      <w:pPr>
        <w:spacing w:after="0" w:line="360" w:lineRule="auto"/>
        <w:jc w:val="center"/>
      </w:pPr>
      <w:r>
        <w:rPr>
          <w:rFonts w:ascii="Times New Roman" w:hAnsi="Times New Roman" w:cs="Times New Roman"/>
          <w:b/>
          <w:bCs/>
          <w:sz w:val="28"/>
          <w:szCs w:val="28"/>
        </w:rPr>
        <w:t xml:space="preserve">Tesis para optar al título de Médico y Cirujano. </w:t>
      </w:r>
    </w:p>
    <w:p w14:paraId="7DFBD91B" w14:textId="77777777" w:rsidR="00F21220" w:rsidRDefault="00F21220" w:rsidP="00F21220">
      <w:pPr>
        <w:spacing w:after="0" w:line="360" w:lineRule="auto"/>
        <w:rPr>
          <w:rFonts w:ascii="Times New Roman" w:hAnsi="Times New Roman" w:cs="Times New Roman"/>
        </w:rPr>
      </w:pPr>
    </w:p>
    <w:p w14:paraId="41C4D1CD" w14:textId="77777777" w:rsidR="00F21220" w:rsidRPr="00664DAC" w:rsidRDefault="00F21220" w:rsidP="00F21220">
      <w:pPr>
        <w:spacing w:after="0" w:line="360" w:lineRule="auto"/>
        <w:jc w:val="center"/>
        <w:rPr>
          <w:rFonts w:ascii="Times New Roman" w:hAnsi="Times New Roman" w:cs="Times New Roman"/>
          <w:sz w:val="24"/>
          <w:szCs w:val="24"/>
        </w:rPr>
      </w:pPr>
      <w:r w:rsidRPr="00664DAC">
        <w:rPr>
          <w:rFonts w:ascii="Times New Roman" w:hAnsi="Times New Roman" w:cs="Times New Roman"/>
          <w:b/>
          <w:bCs/>
          <w:sz w:val="24"/>
          <w:szCs w:val="24"/>
        </w:rPr>
        <w:t xml:space="preserve">“Comportamiento Clínico de la infección de vías urinarias en Pacientes ingresados en el Servicio de Pediatría del Hospital SERMESA Masaya en el período de enero a diciembre del año 2024”. </w:t>
      </w:r>
    </w:p>
    <w:p w14:paraId="36B17C04" w14:textId="77777777" w:rsidR="00F21220" w:rsidRPr="00664DAC" w:rsidRDefault="00F21220" w:rsidP="00F21220">
      <w:pPr>
        <w:spacing w:after="0" w:line="360" w:lineRule="auto"/>
        <w:rPr>
          <w:rFonts w:ascii="Times New Roman" w:hAnsi="Times New Roman" w:cs="Times New Roman"/>
          <w:sz w:val="24"/>
          <w:szCs w:val="24"/>
        </w:rPr>
      </w:pPr>
    </w:p>
    <w:p w14:paraId="51EF776D" w14:textId="77777777" w:rsidR="00F21220" w:rsidRPr="00664DAC" w:rsidRDefault="00F21220" w:rsidP="00F21220">
      <w:pPr>
        <w:spacing w:after="0" w:line="360" w:lineRule="auto"/>
        <w:rPr>
          <w:rFonts w:ascii="Times New Roman" w:hAnsi="Times New Roman" w:cs="Times New Roman"/>
          <w:b/>
          <w:bCs/>
          <w:sz w:val="24"/>
          <w:szCs w:val="24"/>
        </w:rPr>
      </w:pPr>
    </w:p>
    <w:p w14:paraId="6AC55F7F" w14:textId="77777777" w:rsidR="00F21220" w:rsidRPr="00664DAC" w:rsidRDefault="00F21220" w:rsidP="00F21220">
      <w:pPr>
        <w:spacing w:after="0" w:line="360" w:lineRule="auto"/>
        <w:rPr>
          <w:rFonts w:ascii="Times New Roman" w:hAnsi="Times New Roman" w:cs="Times New Roman"/>
          <w:b/>
          <w:bCs/>
          <w:sz w:val="24"/>
          <w:szCs w:val="24"/>
        </w:rPr>
      </w:pPr>
      <w:r w:rsidRPr="00664DAC">
        <w:rPr>
          <w:rFonts w:ascii="Times New Roman" w:hAnsi="Times New Roman" w:cs="Times New Roman"/>
          <w:b/>
          <w:bCs/>
          <w:sz w:val="24"/>
          <w:szCs w:val="24"/>
        </w:rPr>
        <w:t xml:space="preserve">Autora: </w:t>
      </w:r>
    </w:p>
    <w:p w14:paraId="30ED6F3E" w14:textId="77777777" w:rsidR="00F21220" w:rsidRPr="00664DAC" w:rsidRDefault="00F21220" w:rsidP="00F21220">
      <w:pPr>
        <w:spacing w:after="0" w:line="360" w:lineRule="auto"/>
        <w:rPr>
          <w:rFonts w:ascii="Times New Roman" w:hAnsi="Times New Roman" w:cs="Times New Roman"/>
          <w:sz w:val="24"/>
          <w:szCs w:val="24"/>
        </w:rPr>
      </w:pPr>
      <w:proofErr w:type="spellStart"/>
      <w:r w:rsidRPr="00664DAC">
        <w:rPr>
          <w:rFonts w:ascii="Times New Roman" w:hAnsi="Times New Roman" w:cs="Times New Roman"/>
          <w:sz w:val="24"/>
          <w:szCs w:val="24"/>
        </w:rPr>
        <w:t>Bra</w:t>
      </w:r>
      <w:proofErr w:type="spellEnd"/>
      <w:r w:rsidRPr="00664DAC">
        <w:rPr>
          <w:rFonts w:ascii="Times New Roman" w:hAnsi="Times New Roman" w:cs="Times New Roman"/>
          <w:sz w:val="24"/>
          <w:szCs w:val="24"/>
        </w:rPr>
        <w:t xml:space="preserve">. Gisell Meneses González. </w:t>
      </w:r>
    </w:p>
    <w:p w14:paraId="1FD16AC7" w14:textId="77777777" w:rsidR="00F21220" w:rsidRPr="00664DAC" w:rsidRDefault="00F21220" w:rsidP="00F21220">
      <w:pPr>
        <w:spacing w:after="0" w:line="360" w:lineRule="auto"/>
        <w:rPr>
          <w:rFonts w:ascii="Times New Roman" w:hAnsi="Times New Roman" w:cs="Times New Roman"/>
          <w:sz w:val="24"/>
          <w:szCs w:val="24"/>
        </w:rPr>
      </w:pPr>
    </w:p>
    <w:p w14:paraId="3FFA122F" w14:textId="77777777" w:rsidR="00F21220" w:rsidRPr="00664DAC" w:rsidRDefault="00F21220" w:rsidP="00F21220">
      <w:pPr>
        <w:spacing w:after="0" w:line="360" w:lineRule="auto"/>
        <w:rPr>
          <w:rFonts w:ascii="Times New Roman" w:hAnsi="Times New Roman" w:cs="Times New Roman"/>
          <w:b/>
          <w:bCs/>
          <w:sz w:val="24"/>
          <w:szCs w:val="24"/>
        </w:rPr>
      </w:pPr>
    </w:p>
    <w:p w14:paraId="77987042" w14:textId="77777777" w:rsidR="00F21220" w:rsidRPr="00664DAC" w:rsidRDefault="00F21220" w:rsidP="00F21220">
      <w:pPr>
        <w:spacing w:after="0" w:line="360" w:lineRule="auto"/>
        <w:rPr>
          <w:rFonts w:ascii="Times New Roman" w:hAnsi="Times New Roman" w:cs="Times New Roman"/>
          <w:b/>
          <w:bCs/>
          <w:sz w:val="24"/>
          <w:szCs w:val="24"/>
        </w:rPr>
      </w:pPr>
      <w:r w:rsidRPr="00664DAC">
        <w:rPr>
          <w:rFonts w:ascii="Times New Roman" w:hAnsi="Times New Roman" w:cs="Times New Roman"/>
          <w:b/>
          <w:bCs/>
          <w:sz w:val="24"/>
          <w:szCs w:val="24"/>
        </w:rPr>
        <w:t xml:space="preserve">Tutor: </w:t>
      </w:r>
    </w:p>
    <w:p w14:paraId="2E17965A" w14:textId="77777777" w:rsidR="00F21220" w:rsidRPr="00664DAC" w:rsidRDefault="00F21220" w:rsidP="00F21220">
      <w:pPr>
        <w:spacing w:after="0" w:line="360" w:lineRule="auto"/>
        <w:rPr>
          <w:sz w:val="24"/>
          <w:szCs w:val="24"/>
        </w:rPr>
      </w:pPr>
      <w:r w:rsidRPr="00664DAC">
        <w:rPr>
          <w:rFonts w:ascii="Times New Roman" w:hAnsi="Times New Roman" w:cs="Times New Roman"/>
          <w:sz w:val="24"/>
          <w:szCs w:val="24"/>
        </w:rPr>
        <w:t>Dr. Milton Henoc Mena Gutiérrez.</w:t>
      </w:r>
    </w:p>
    <w:p w14:paraId="59EFD6A2" w14:textId="77777777" w:rsidR="00F21220" w:rsidRPr="00664DAC" w:rsidRDefault="00F21220" w:rsidP="00F21220">
      <w:pPr>
        <w:spacing w:after="0" w:line="360" w:lineRule="auto"/>
        <w:rPr>
          <w:rFonts w:ascii="Times New Roman" w:hAnsi="Times New Roman" w:cs="Times New Roman"/>
          <w:sz w:val="24"/>
          <w:szCs w:val="24"/>
        </w:rPr>
      </w:pPr>
      <w:r w:rsidRPr="00664DAC">
        <w:rPr>
          <w:rFonts w:ascii="Times New Roman" w:hAnsi="Times New Roman" w:cs="Times New Roman"/>
          <w:sz w:val="24"/>
          <w:szCs w:val="24"/>
        </w:rPr>
        <w:t>Pediatra Nefrólogo.</w:t>
      </w:r>
    </w:p>
    <w:p w14:paraId="6109D9D2" w14:textId="77777777" w:rsidR="00F21220" w:rsidRPr="00664DAC" w:rsidRDefault="00F21220" w:rsidP="00F21220">
      <w:pPr>
        <w:spacing w:after="0" w:line="360" w:lineRule="auto"/>
        <w:rPr>
          <w:rFonts w:ascii="Times New Roman" w:hAnsi="Times New Roman" w:cs="Times New Roman"/>
          <w:sz w:val="24"/>
          <w:szCs w:val="24"/>
        </w:rPr>
      </w:pPr>
      <w:r w:rsidRPr="00664DAC">
        <w:rPr>
          <w:rFonts w:ascii="Times New Roman" w:hAnsi="Times New Roman" w:cs="Times New Roman"/>
          <w:sz w:val="24"/>
          <w:szCs w:val="24"/>
        </w:rPr>
        <w:t>Hospital Regional Escuela Camilo Ortega Saavedra.</w:t>
      </w:r>
    </w:p>
    <w:p w14:paraId="51F62661" w14:textId="77777777" w:rsidR="00F21220" w:rsidRPr="00664DAC" w:rsidRDefault="00F21220" w:rsidP="00F21220">
      <w:pPr>
        <w:spacing w:after="0" w:line="360" w:lineRule="auto"/>
        <w:rPr>
          <w:rFonts w:ascii="Times New Roman" w:hAnsi="Times New Roman" w:cs="Times New Roman"/>
          <w:sz w:val="24"/>
          <w:szCs w:val="24"/>
        </w:rPr>
      </w:pPr>
    </w:p>
    <w:p w14:paraId="6B2B2FF3" w14:textId="77777777" w:rsidR="00F21220" w:rsidRPr="00664DAC" w:rsidRDefault="00F21220" w:rsidP="00F21220">
      <w:pPr>
        <w:spacing w:after="0" w:line="360" w:lineRule="auto"/>
        <w:rPr>
          <w:rFonts w:ascii="Times New Roman" w:hAnsi="Times New Roman" w:cs="Times New Roman"/>
          <w:sz w:val="24"/>
          <w:szCs w:val="24"/>
        </w:rPr>
      </w:pPr>
    </w:p>
    <w:p w14:paraId="72DB7FE0" w14:textId="77777777" w:rsidR="00F21220" w:rsidRPr="00664DAC" w:rsidRDefault="00F21220" w:rsidP="00F21220">
      <w:pPr>
        <w:jc w:val="center"/>
        <w:rPr>
          <w:rFonts w:ascii="Times New Roman" w:hAnsi="Times New Roman" w:cs="Times New Roman"/>
          <w:sz w:val="24"/>
          <w:szCs w:val="24"/>
        </w:rPr>
      </w:pPr>
    </w:p>
    <w:p w14:paraId="69C5A54A" w14:textId="77777777" w:rsidR="00F21220" w:rsidRPr="00664DAC" w:rsidRDefault="00F21220" w:rsidP="00F21220">
      <w:pPr>
        <w:jc w:val="center"/>
        <w:rPr>
          <w:rFonts w:ascii="Times New Roman" w:hAnsi="Times New Roman" w:cs="Times New Roman"/>
          <w:sz w:val="24"/>
          <w:szCs w:val="24"/>
        </w:rPr>
      </w:pPr>
    </w:p>
    <w:p w14:paraId="5E62FDE5" w14:textId="77777777" w:rsidR="00F21220" w:rsidRPr="00664DAC" w:rsidRDefault="00F21220" w:rsidP="00F21220">
      <w:pPr>
        <w:jc w:val="center"/>
        <w:rPr>
          <w:rFonts w:ascii="Times New Roman" w:hAnsi="Times New Roman" w:cs="Times New Roman"/>
          <w:sz w:val="24"/>
          <w:szCs w:val="24"/>
        </w:rPr>
      </w:pPr>
    </w:p>
    <w:p w14:paraId="7BB774A6" w14:textId="5A95EC3C" w:rsidR="00F21220" w:rsidRPr="005B5D69" w:rsidRDefault="00F21220" w:rsidP="005B5D69">
      <w:pPr>
        <w:jc w:val="center"/>
        <w:rPr>
          <w:rFonts w:ascii="Times New Roman" w:hAnsi="Times New Roman" w:cs="Times New Roman"/>
        </w:rPr>
      </w:pPr>
      <w:r w:rsidRPr="00664DAC">
        <w:rPr>
          <w:rFonts w:ascii="Times New Roman" w:hAnsi="Times New Roman" w:cs="Times New Roman"/>
          <w:sz w:val="24"/>
          <w:szCs w:val="24"/>
        </w:rPr>
        <w:t xml:space="preserve">Juigalpa, </w:t>
      </w:r>
      <w:proofErr w:type="gramStart"/>
      <w:r w:rsidR="0060307C">
        <w:rPr>
          <w:rFonts w:ascii="Times New Roman" w:hAnsi="Times New Roman" w:cs="Times New Roman"/>
          <w:sz w:val="24"/>
          <w:szCs w:val="24"/>
        </w:rPr>
        <w:t>Agosto</w:t>
      </w:r>
      <w:proofErr w:type="gramEnd"/>
      <w:r w:rsidR="0060307C">
        <w:rPr>
          <w:rFonts w:ascii="Times New Roman" w:hAnsi="Times New Roman" w:cs="Times New Roman"/>
          <w:sz w:val="24"/>
          <w:szCs w:val="24"/>
        </w:rPr>
        <w:t xml:space="preserve"> </w:t>
      </w:r>
      <w:r w:rsidRPr="00664DAC">
        <w:rPr>
          <w:rFonts w:ascii="Times New Roman" w:hAnsi="Times New Roman" w:cs="Times New Roman"/>
          <w:sz w:val="24"/>
          <w:szCs w:val="24"/>
        </w:rPr>
        <w:t>2025.</w:t>
      </w:r>
      <w:r w:rsidRPr="0005171C">
        <w:rPr>
          <w:rFonts w:cs="Times New Roman"/>
        </w:rPr>
        <w:br w:type="page"/>
      </w:r>
    </w:p>
    <w:p w14:paraId="0B3FA094" w14:textId="45D39D36" w:rsidR="003F3927" w:rsidRPr="000E0B55" w:rsidRDefault="00F21220" w:rsidP="000E0B55">
      <w:pPr>
        <w:pStyle w:val="TtuloTDC"/>
        <w:spacing w:line="480" w:lineRule="auto"/>
        <w:jc w:val="center"/>
        <w:rPr>
          <w:rFonts w:ascii="Times New Roman" w:hAnsi="Times New Roman" w:cs="Times New Roman"/>
          <w:b/>
          <w:bCs/>
          <w:color w:val="000000" w:themeColor="text1"/>
          <w:sz w:val="28"/>
          <w:szCs w:val="28"/>
          <w:lang w:val="es-ES"/>
        </w:rPr>
      </w:pPr>
      <w:r w:rsidRPr="000E0B55">
        <w:rPr>
          <w:rFonts w:ascii="Times New Roman" w:hAnsi="Times New Roman" w:cs="Times New Roman"/>
          <w:b/>
          <w:bCs/>
          <w:color w:val="000000" w:themeColor="text1"/>
          <w:sz w:val="28"/>
          <w:szCs w:val="28"/>
          <w:lang w:val="es-ES"/>
        </w:rPr>
        <w:lastRenderedPageBreak/>
        <w:t>Índice</w:t>
      </w:r>
      <w:r w:rsidR="000E0B55" w:rsidRPr="000E0B55">
        <w:rPr>
          <w:rFonts w:ascii="Times New Roman" w:hAnsi="Times New Roman" w:cs="Times New Roman"/>
          <w:b/>
          <w:bCs/>
          <w:color w:val="000000" w:themeColor="text1"/>
          <w:sz w:val="28"/>
          <w:szCs w:val="28"/>
          <w:lang w:val="es-ES"/>
        </w:rPr>
        <w:t>.</w:t>
      </w:r>
    </w:p>
    <w:p w14:paraId="6F9C531D" w14:textId="79B411DC" w:rsid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ES"/>
        </w:rPr>
        <w:t>Introducción.</w:t>
      </w:r>
    </w:p>
    <w:p w14:paraId="0C1E30BE" w14:textId="77777777" w:rsidR="000E0B55" w:rsidRPr="000E0B55" w:rsidRDefault="000E0B55" w:rsidP="000E0B55">
      <w:pPr>
        <w:pStyle w:val="Prrafodelista"/>
        <w:rPr>
          <w:rFonts w:ascii="Times New Roman" w:hAnsi="Times New Roman" w:cs="Times New Roman"/>
          <w:sz w:val="24"/>
          <w:szCs w:val="24"/>
          <w:lang w:val="es-ES"/>
        </w:rPr>
      </w:pPr>
    </w:p>
    <w:p w14:paraId="1BEB241A" w14:textId="2458FDAB" w:rsid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ES"/>
        </w:rPr>
        <w:t>Planteamiento del problema.</w:t>
      </w:r>
    </w:p>
    <w:p w14:paraId="28B323A0" w14:textId="77777777" w:rsidR="000E0B55" w:rsidRPr="000E0B55" w:rsidRDefault="000E0B55" w:rsidP="000E0B55">
      <w:pPr>
        <w:pStyle w:val="Prrafodelista"/>
        <w:rPr>
          <w:rFonts w:ascii="Times New Roman" w:hAnsi="Times New Roman" w:cs="Times New Roman"/>
          <w:sz w:val="2"/>
          <w:szCs w:val="2"/>
          <w:lang w:val="es-ES"/>
        </w:rPr>
      </w:pPr>
    </w:p>
    <w:p w14:paraId="05084106" w14:textId="77777777" w:rsidR="000E0B55" w:rsidRPr="000E0B55" w:rsidRDefault="000E0B55" w:rsidP="000E0B55">
      <w:pPr>
        <w:rPr>
          <w:rFonts w:ascii="Times New Roman" w:hAnsi="Times New Roman" w:cs="Times New Roman"/>
          <w:sz w:val="2"/>
          <w:szCs w:val="2"/>
          <w:lang w:val="es-ES"/>
        </w:rPr>
      </w:pPr>
    </w:p>
    <w:p w14:paraId="4786085B" w14:textId="6C398EE4" w:rsid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ES"/>
        </w:rPr>
        <w:t>Antecedentes.</w:t>
      </w:r>
    </w:p>
    <w:p w14:paraId="772BBBB5" w14:textId="77777777" w:rsidR="000E0B55" w:rsidRPr="000E0B55" w:rsidRDefault="000E0B55" w:rsidP="000E0B55">
      <w:pPr>
        <w:pStyle w:val="Prrafodelista"/>
        <w:rPr>
          <w:rFonts w:ascii="Times New Roman" w:hAnsi="Times New Roman" w:cs="Times New Roman"/>
          <w:sz w:val="24"/>
          <w:szCs w:val="24"/>
          <w:lang w:val="es-ES"/>
        </w:rPr>
      </w:pPr>
    </w:p>
    <w:p w14:paraId="72E7D977" w14:textId="5BBB433A" w:rsid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ES"/>
        </w:rPr>
        <w:t>Justificación</w:t>
      </w:r>
    </w:p>
    <w:p w14:paraId="6A871C16" w14:textId="77777777" w:rsidR="000E0B55" w:rsidRPr="000E0B55" w:rsidRDefault="000E0B55" w:rsidP="000E0B55">
      <w:pPr>
        <w:pStyle w:val="Prrafodelista"/>
        <w:rPr>
          <w:rFonts w:ascii="Times New Roman" w:hAnsi="Times New Roman" w:cs="Times New Roman"/>
          <w:sz w:val="24"/>
          <w:szCs w:val="24"/>
          <w:lang w:val="es-ES"/>
        </w:rPr>
      </w:pPr>
    </w:p>
    <w:p w14:paraId="3A0EF2D8" w14:textId="77777777" w:rsidR="000E0B55" w:rsidRPr="000E0B55" w:rsidRDefault="000E0B55" w:rsidP="000E0B55">
      <w:pPr>
        <w:pStyle w:val="Prrafodelista"/>
        <w:rPr>
          <w:rFonts w:ascii="Times New Roman" w:hAnsi="Times New Roman" w:cs="Times New Roman"/>
          <w:sz w:val="4"/>
          <w:szCs w:val="4"/>
          <w:lang w:val="es-ES"/>
        </w:rPr>
      </w:pPr>
    </w:p>
    <w:p w14:paraId="1A3BD712" w14:textId="49FB492F" w:rsid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ES"/>
        </w:rPr>
        <w:t>Marco Teórico.</w:t>
      </w:r>
    </w:p>
    <w:p w14:paraId="483373BB" w14:textId="77777777" w:rsidR="000E0B55" w:rsidRPr="000E0B55" w:rsidRDefault="000E0B55" w:rsidP="000E0B55">
      <w:pPr>
        <w:pStyle w:val="Prrafodelista"/>
        <w:rPr>
          <w:rFonts w:ascii="Times New Roman" w:hAnsi="Times New Roman" w:cs="Times New Roman"/>
          <w:sz w:val="24"/>
          <w:szCs w:val="24"/>
          <w:lang w:val="es-ES"/>
        </w:rPr>
      </w:pPr>
    </w:p>
    <w:p w14:paraId="2DABF8E1" w14:textId="3E364524" w:rsidR="000E0B55" w:rsidRP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ES"/>
        </w:rPr>
        <w:t>Dise</w:t>
      </w:r>
      <w:r w:rsidRPr="000E0B55">
        <w:rPr>
          <w:rFonts w:ascii="Times New Roman" w:hAnsi="Times New Roman" w:cs="Times New Roman"/>
          <w:sz w:val="24"/>
          <w:szCs w:val="24"/>
          <w:lang w:val="es-CR"/>
        </w:rPr>
        <w:t>ño Metodológico.</w:t>
      </w:r>
    </w:p>
    <w:p w14:paraId="0A527EE4" w14:textId="77777777" w:rsidR="000E0B55" w:rsidRPr="000E0B55" w:rsidRDefault="000E0B55" w:rsidP="000E0B55">
      <w:pPr>
        <w:pStyle w:val="Prrafodelista"/>
        <w:rPr>
          <w:rFonts w:ascii="Times New Roman" w:hAnsi="Times New Roman" w:cs="Times New Roman"/>
          <w:sz w:val="24"/>
          <w:szCs w:val="24"/>
          <w:lang w:val="es-ES"/>
        </w:rPr>
      </w:pPr>
    </w:p>
    <w:p w14:paraId="43074E45" w14:textId="77777777" w:rsidR="000E0B55" w:rsidRPr="000E0B55" w:rsidRDefault="000E0B55" w:rsidP="000E0B55">
      <w:pPr>
        <w:pStyle w:val="Prrafodelista"/>
        <w:rPr>
          <w:rFonts w:ascii="Times New Roman" w:hAnsi="Times New Roman" w:cs="Times New Roman"/>
          <w:sz w:val="8"/>
          <w:szCs w:val="8"/>
          <w:lang w:val="es-ES"/>
        </w:rPr>
      </w:pPr>
    </w:p>
    <w:p w14:paraId="22B46B9A" w14:textId="63A8B90B" w:rsidR="000E0B55" w:rsidRP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CR"/>
        </w:rPr>
        <w:t>Resultados.</w:t>
      </w:r>
    </w:p>
    <w:p w14:paraId="5ACFD61A" w14:textId="77777777" w:rsidR="000E0B55" w:rsidRPr="000E0B55" w:rsidRDefault="000E0B55" w:rsidP="000E0B55">
      <w:pPr>
        <w:pStyle w:val="Prrafodelista"/>
        <w:rPr>
          <w:rFonts w:ascii="Times New Roman" w:hAnsi="Times New Roman" w:cs="Times New Roman"/>
          <w:sz w:val="24"/>
          <w:szCs w:val="24"/>
          <w:lang w:val="es-ES"/>
        </w:rPr>
      </w:pPr>
    </w:p>
    <w:p w14:paraId="2AAE9D25" w14:textId="72558DFE" w:rsidR="000E0B55" w:rsidRP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CR"/>
        </w:rPr>
        <w:t>Discusión y análisis.</w:t>
      </w:r>
    </w:p>
    <w:p w14:paraId="2E400DE2" w14:textId="77777777" w:rsidR="000E0B55" w:rsidRPr="000E0B55" w:rsidRDefault="000E0B55" w:rsidP="000E0B55">
      <w:pPr>
        <w:pStyle w:val="Prrafodelista"/>
        <w:rPr>
          <w:rFonts w:ascii="Times New Roman" w:hAnsi="Times New Roman" w:cs="Times New Roman"/>
          <w:sz w:val="4"/>
          <w:szCs w:val="4"/>
          <w:lang w:val="es-ES"/>
        </w:rPr>
      </w:pPr>
    </w:p>
    <w:p w14:paraId="57352E5A" w14:textId="77777777" w:rsidR="000E0B55" w:rsidRPr="000E0B55" w:rsidRDefault="000E0B55" w:rsidP="000E0B55">
      <w:pPr>
        <w:pStyle w:val="Prrafodelista"/>
        <w:rPr>
          <w:rFonts w:ascii="Times New Roman" w:hAnsi="Times New Roman" w:cs="Times New Roman"/>
          <w:sz w:val="24"/>
          <w:szCs w:val="24"/>
          <w:lang w:val="es-ES"/>
        </w:rPr>
      </w:pPr>
    </w:p>
    <w:p w14:paraId="7E5FD221" w14:textId="10E61468" w:rsidR="000E0B55" w:rsidRP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CR"/>
        </w:rPr>
        <w:t>Conclusiones.</w:t>
      </w:r>
    </w:p>
    <w:p w14:paraId="65A9A442" w14:textId="77777777" w:rsidR="000E0B55" w:rsidRPr="000E0B55" w:rsidRDefault="000E0B55" w:rsidP="000E0B55">
      <w:pPr>
        <w:pStyle w:val="Prrafodelista"/>
        <w:rPr>
          <w:rFonts w:ascii="Times New Roman" w:hAnsi="Times New Roman" w:cs="Times New Roman"/>
          <w:sz w:val="24"/>
          <w:szCs w:val="24"/>
          <w:lang w:val="es-ES"/>
        </w:rPr>
      </w:pPr>
    </w:p>
    <w:p w14:paraId="7E39071B" w14:textId="2EA0CE44" w:rsidR="000E0B55" w:rsidRP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CR"/>
        </w:rPr>
        <w:t>Recomendaciones.</w:t>
      </w:r>
    </w:p>
    <w:p w14:paraId="643A2754" w14:textId="77777777" w:rsidR="000E0B55" w:rsidRPr="000E0B55" w:rsidRDefault="000E0B55" w:rsidP="000E0B55">
      <w:pPr>
        <w:pStyle w:val="Prrafodelista"/>
        <w:rPr>
          <w:rFonts w:ascii="Times New Roman" w:hAnsi="Times New Roman" w:cs="Times New Roman"/>
          <w:sz w:val="24"/>
          <w:szCs w:val="24"/>
          <w:lang w:val="es-ES"/>
        </w:rPr>
      </w:pPr>
    </w:p>
    <w:p w14:paraId="6A15DFDE" w14:textId="77777777" w:rsidR="000E0B55" w:rsidRPr="000E0B55" w:rsidRDefault="000E0B55" w:rsidP="000E0B55">
      <w:pPr>
        <w:pStyle w:val="Prrafodelista"/>
        <w:rPr>
          <w:rFonts w:ascii="Times New Roman" w:hAnsi="Times New Roman" w:cs="Times New Roman"/>
          <w:sz w:val="2"/>
          <w:szCs w:val="2"/>
          <w:lang w:val="es-ES"/>
        </w:rPr>
      </w:pPr>
    </w:p>
    <w:p w14:paraId="26BA9FF2" w14:textId="189984E1" w:rsidR="000E0B55" w:rsidRP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CR"/>
        </w:rPr>
        <w:t>Bibliografía.</w:t>
      </w:r>
    </w:p>
    <w:p w14:paraId="548B6AD4" w14:textId="77777777" w:rsidR="000E0B55" w:rsidRPr="000E0B55" w:rsidRDefault="000E0B55" w:rsidP="000E0B55">
      <w:pPr>
        <w:pStyle w:val="Prrafodelista"/>
        <w:rPr>
          <w:rFonts w:ascii="Times New Roman" w:hAnsi="Times New Roman" w:cs="Times New Roman"/>
          <w:sz w:val="24"/>
          <w:szCs w:val="24"/>
          <w:lang w:val="es-ES"/>
        </w:rPr>
      </w:pPr>
    </w:p>
    <w:p w14:paraId="3E225C22" w14:textId="44B961B4" w:rsidR="000E0B55" w:rsidRPr="000E0B55" w:rsidRDefault="000E0B55" w:rsidP="000E0B55">
      <w:pPr>
        <w:pStyle w:val="Prrafodelista"/>
        <w:numPr>
          <w:ilvl w:val="0"/>
          <w:numId w:val="42"/>
        </w:numPr>
        <w:rPr>
          <w:rFonts w:ascii="Times New Roman" w:hAnsi="Times New Roman" w:cs="Times New Roman"/>
          <w:sz w:val="24"/>
          <w:szCs w:val="24"/>
          <w:lang w:val="es-ES"/>
        </w:rPr>
      </w:pPr>
      <w:r w:rsidRPr="000E0B55">
        <w:rPr>
          <w:rFonts w:ascii="Times New Roman" w:hAnsi="Times New Roman" w:cs="Times New Roman"/>
          <w:sz w:val="24"/>
          <w:szCs w:val="24"/>
          <w:lang w:val="es-CR"/>
        </w:rPr>
        <w:t>Anexos.</w:t>
      </w:r>
    </w:p>
    <w:p w14:paraId="7AF7EB21" w14:textId="15468AFD" w:rsidR="00D17403" w:rsidRDefault="006F19FF" w:rsidP="005B5D69">
      <w:pPr>
        <w:pStyle w:val="Prrafodelista"/>
        <w:spacing w:after="103" w:line="276" w:lineRule="auto"/>
        <w:jc w:val="center"/>
        <w:rPr>
          <w:rFonts w:ascii="Times New Roman" w:hAnsi="Times New Roman" w:cs="Times New Roman"/>
        </w:rPr>
      </w:pPr>
      <w:r w:rsidRPr="00DD1A23">
        <w:rPr>
          <w:rFonts w:ascii="Times New Roman" w:hAnsi="Times New Roman" w:cs="Times New Roman"/>
        </w:rPr>
        <w:br w:type="page"/>
      </w:r>
    </w:p>
    <w:p w14:paraId="4E4ED81D" w14:textId="0205A8D8" w:rsidR="005B5D69" w:rsidRPr="000E0B55" w:rsidRDefault="005B5D69" w:rsidP="000E0B55">
      <w:pPr>
        <w:spacing w:after="103" w:line="276" w:lineRule="auto"/>
        <w:jc w:val="center"/>
        <w:rPr>
          <w:rFonts w:ascii="Times New Roman" w:hAnsi="Times New Roman" w:cs="Times New Roman"/>
          <w:b/>
          <w:bCs/>
          <w:sz w:val="28"/>
          <w:szCs w:val="28"/>
        </w:rPr>
      </w:pPr>
      <w:r w:rsidRPr="000E0B55">
        <w:rPr>
          <w:rFonts w:ascii="Times New Roman" w:hAnsi="Times New Roman" w:cs="Times New Roman"/>
          <w:b/>
          <w:bCs/>
          <w:sz w:val="28"/>
          <w:szCs w:val="28"/>
        </w:rPr>
        <w:lastRenderedPageBreak/>
        <w:t>Dedicatoria.</w:t>
      </w:r>
    </w:p>
    <w:p w14:paraId="36C615CF" w14:textId="77777777" w:rsidR="000E0B55" w:rsidRPr="000E0B55" w:rsidRDefault="000E0B55" w:rsidP="000E0B55">
      <w:pPr>
        <w:pStyle w:val="Ttulo10"/>
        <w:spacing w:beforeAutospacing="1" w:after="0" w:line="360" w:lineRule="auto"/>
        <w:rPr>
          <w:rFonts w:cs="Times New Roman"/>
          <w:b w:val="0"/>
          <w:bCs/>
        </w:rPr>
      </w:pPr>
      <w:r w:rsidRPr="000E0B55">
        <w:rPr>
          <w:rFonts w:cs="Times New Roman"/>
          <w:b w:val="0"/>
          <w:bCs/>
        </w:rPr>
        <w:t>A Dios, por ser mi fortaleza en los momentos difíciles, por llenar mi vida de propósito, y por su fidelidad constante que ha guiado cada paso de este camino.</w:t>
      </w:r>
    </w:p>
    <w:p w14:paraId="6553E5FF" w14:textId="77777777" w:rsidR="000E0B55" w:rsidRPr="000E0B55" w:rsidRDefault="000E0B55" w:rsidP="000E0B55">
      <w:pPr>
        <w:pStyle w:val="Ttulo10"/>
        <w:spacing w:beforeAutospacing="1" w:after="0" w:line="360" w:lineRule="auto"/>
        <w:rPr>
          <w:rFonts w:cs="Times New Roman"/>
          <w:b w:val="0"/>
          <w:bCs/>
        </w:rPr>
      </w:pPr>
      <w:r w:rsidRPr="000E0B55">
        <w:rPr>
          <w:rFonts w:cs="Times New Roman"/>
          <w:b w:val="0"/>
          <w:bCs/>
        </w:rPr>
        <w:t>A mis padres, por llenarme de amor incondicional, apoyo constante y por cada uno de sus sacrificios silenciosos que me han permitido llegar hasta aquí.</w:t>
      </w:r>
    </w:p>
    <w:p w14:paraId="6BFE6B5A" w14:textId="77777777" w:rsidR="000E0B55" w:rsidRPr="000E0B55" w:rsidRDefault="000E0B55" w:rsidP="000E0B55">
      <w:pPr>
        <w:pStyle w:val="Ttulo10"/>
        <w:spacing w:beforeAutospacing="1" w:after="0" w:line="360" w:lineRule="auto"/>
        <w:rPr>
          <w:rFonts w:cs="Times New Roman"/>
          <w:b w:val="0"/>
          <w:bCs/>
        </w:rPr>
      </w:pPr>
      <w:r w:rsidRPr="000E0B55">
        <w:rPr>
          <w:rFonts w:cs="Times New Roman"/>
          <w:b w:val="0"/>
          <w:bCs/>
        </w:rPr>
        <w:t>A mis abuelitos, por poner mi vida en manos del Señor cada día, por sus oraciones, su fe inquebrantable y su amor sincero.</w:t>
      </w:r>
    </w:p>
    <w:p w14:paraId="1A61C880" w14:textId="530F054E" w:rsidR="00D17403" w:rsidRPr="000E0B55" w:rsidRDefault="000E0B55" w:rsidP="000E0B55">
      <w:pPr>
        <w:pStyle w:val="Ttulo10"/>
        <w:spacing w:beforeAutospacing="1" w:after="0" w:line="360" w:lineRule="auto"/>
        <w:rPr>
          <w:rFonts w:cs="Times New Roman"/>
          <w:b w:val="0"/>
          <w:bCs/>
        </w:rPr>
      </w:pPr>
      <w:r w:rsidRPr="000E0B55">
        <w:rPr>
          <w:rFonts w:cs="Times New Roman"/>
          <w:b w:val="0"/>
          <w:bCs/>
        </w:rPr>
        <w:t>A mis amigos verdaderos, por acompañarme en este camino con palabras de aliento y sonrisas sinceras.</w:t>
      </w:r>
    </w:p>
    <w:p w14:paraId="5E191999" w14:textId="7F338750" w:rsidR="000E0B55" w:rsidRDefault="006F19FF" w:rsidP="000E0B55">
      <w:pPr>
        <w:spacing w:after="0" w:line="360" w:lineRule="auto"/>
        <w:jc w:val="center"/>
        <w:rPr>
          <w:rFonts w:ascii="Times New Roman" w:hAnsi="Times New Roman" w:cs="Times New Roman"/>
          <w:b/>
          <w:bCs/>
          <w:sz w:val="28"/>
          <w:szCs w:val="28"/>
        </w:rPr>
      </w:pPr>
      <w:r w:rsidRPr="00DD1A23">
        <w:rPr>
          <w:rFonts w:cs="Times New Roman"/>
        </w:rPr>
        <w:br w:type="page"/>
      </w:r>
      <w:r w:rsidR="005B5D69">
        <w:rPr>
          <w:rFonts w:ascii="Times New Roman" w:hAnsi="Times New Roman" w:cs="Times New Roman"/>
          <w:b/>
          <w:bCs/>
          <w:sz w:val="28"/>
          <w:szCs w:val="28"/>
        </w:rPr>
        <w:lastRenderedPageBreak/>
        <w:t>Agradecimiento.</w:t>
      </w:r>
    </w:p>
    <w:p w14:paraId="7BD9897E" w14:textId="77777777" w:rsidR="000E0B55" w:rsidRPr="000E0B55" w:rsidRDefault="000E0B55" w:rsidP="000E0B55">
      <w:pPr>
        <w:spacing w:after="0" w:line="360" w:lineRule="auto"/>
        <w:rPr>
          <w:rFonts w:ascii="Times New Roman" w:hAnsi="Times New Roman" w:cs="Times New Roman"/>
          <w:sz w:val="24"/>
          <w:szCs w:val="24"/>
        </w:rPr>
      </w:pPr>
      <w:r w:rsidRPr="000E0B55">
        <w:rPr>
          <w:rFonts w:ascii="Times New Roman" w:hAnsi="Times New Roman" w:cs="Times New Roman"/>
          <w:sz w:val="24"/>
          <w:szCs w:val="24"/>
        </w:rPr>
        <w:t>Quiero expresar mi más profundo agradecimiento a todas las personas que, de una u otra forma, contribuyeron a la realización de esta tesis.</w:t>
      </w:r>
    </w:p>
    <w:p w14:paraId="637CA780" w14:textId="77777777" w:rsidR="000E0B55" w:rsidRPr="000E0B55" w:rsidRDefault="000E0B55" w:rsidP="000E0B55">
      <w:pPr>
        <w:spacing w:after="0" w:line="360" w:lineRule="auto"/>
        <w:rPr>
          <w:rFonts w:ascii="Times New Roman" w:hAnsi="Times New Roman" w:cs="Times New Roman"/>
          <w:sz w:val="24"/>
          <w:szCs w:val="24"/>
        </w:rPr>
      </w:pPr>
    </w:p>
    <w:p w14:paraId="4032B5BD" w14:textId="77777777" w:rsidR="000E0B55" w:rsidRPr="000E0B55" w:rsidRDefault="000E0B55" w:rsidP="000E0B55">
      <w:pPr>
        <w:spacing w:after="0" w:line="360" w:lineRule="auto"/>
        <w:rPr>
          <w:rFonts w:ascii="Times New Roman" w:hAnsi="Times New Roman" w:cs="Times New Roman"/>
          <w:sz w:val="24"/>
          <w:szCs w:val="24"/>
        </w:rPr>
      </w:pPr>
      <w:r w:rsidRPr="000E0B55">
        <w:rPr>
          <w:rFonts w:ascii="Times New Roman" w:hAnsi="Times New Roman" w:cs="Times New Roman"/>
          <w:sz w:val="24"/>
          <w:szCs w:val="24"/>
        </w:rPr>
        <w:t>A mi familia, por ser incondicional conmigo al brindarme su amor, comprensión y apoyo durante cada momento difícil.</w:t>
      </w:r>
    </w:p>
    <w:p w14:paraId="7472DE23" w14:textId="77777777" w:rsidR="000E0B55" w:rsidRPr="000E0B55" w:rsidRDefault="000E0B55" w:rsidP="000E0B55">
      <w:pPr>
        <w:spacing w:after="0" w:line="360" w:lineRule="auto"/>
        <w:rPr>
          <w:rFonts w:ascii="Times New Roman" w:hAnsi="Times New Roman" w:cs="Times New Roman"/>
          <w:sz w:val="24"/>
          <w:szCs w:val="24"/>
        </w:rPr>
      </w:pPr>
    </w:p>
    <w:p w14:paraId="75C0D3AE" w14:textId="77777777" w:rsidR="000E0B55" w:rsidRPr="000E0B55" w:rsidRDefault="000E0B55" w:rsidP="000E0B55">
      <w:pPr>
        <w:spacing w:after="0" w:line="360" w:lineRule="auto"/>
        <w:rPr>
          <w:rFonts w:ascii="Times New Roman" w:hAnsi="Times New Roman" w:cs="Times New Roman"/>
          <w:sz w:val="24"/>
          <w:szCs w:val="24"/>
        </w:rPr>
      </w:pPr>
      <w:r w:rsidRPr="000E0B55">
        <w:rPr>
          <w:rFonts w:ascii="Times New Roman" w:hAnsi="Times New Roman" w:cs="Times New Roman"/>
          <w:sz w:val="24"/>
          <w:szCs w:val="24"/>
        </w:rPr>
        <w:t>A mi tutor de tesis, Dr. Milton Mena, por su guía, paciencia y exigencia, que me motivaron a dar lo mejor de mí en cada etapa del proceso.</w:t>
      </w:r>
    </w:p>
    <w:p w14:paraId="0185BADE" w14:textId="77777777" w:rsidR="000E0B55" w:rsidRPr="000E0B55" w:rsidRDefault="000E0B55" w:rsidP="000E0B55">
      <w:pPr>
        <w:spacing w:after="0" w:line="360" w:lineRule="auto"/>
        <w:rPr>
          <w:rFonts w:ascii="Times New Roman" w:hAnsi="Times New Roman" w:cs="Times New Roman"/>
          <w:sz w:val="24"/>
          <w:szCs w:val="24"/>
        </w:rPr>
      </w:pPr>
    </w:p>
    <w:p w14:paraId="5B566440" w14:textId="025E857C" w:rsidR="000E0B55" w:rsidRPr="000E0B55" w:rsidRDefault="000E0B55" w:rsidP="000E0B55">
      <w:pPr>
        <w:spacing w:after="0" w:line="360" w:lineRule="auto"/>
        <w:rPr>
          <w:rFonts w:ascii="Times New Roman" w:hAnsi="Times New Roman" w:cs="Times New Roman"/>
          <w:sz w:val="24"/>
          <w:szCs w:val="24"/>
        </w:rPr>
      </w:pPr>
      <w:r w:rsidRPr="000E0B55">
        <w:rPr>
          <w:rFonts w:ascii="Times New Roman" w:hAnsi="Times New Roman" w:cs="Times New Roman"/>
          <w:sz w:val="24"/>
          <w:szCs w:val="24"/>
        </w:rPr>
        <w:t>Y finalmente, a todas las personas que, con un gesto amable o una palabra de aliento, hicieron más llevadero este camino. Gracias por formar parte de este logro que hoy celebro con humildad y gratitud.</w:t>
      </w:r>
    </w:p>
    <w:p w14:paraId="02B984CC" w14:textId="77777777" w:rsidR="00D17403" w:rsidRPr="00DD1A23" w:rsidRDefault="00D17403" w:rsidP="00D17403">
      <w:pPr>
        <w:pStyle w:val="Ttulo10"/>
        <w:spacing w:before="100" w:beforeAutospacing="1" w:after="0" w:line="360" w:lineRule="auto"/>
        <w:ind w:left="1077"/>
        <w:rPr>
          <w:rFonts w:eastAsia="Calibri" w:cs="Times New Roman"/>
          <w:i/>
          <w:iCs/>
          <w:szCs w:val="24"/>
        </w:rPr>
        <w:sectPr w:rsidR="00D17403" w:rsidRPr="00DD1A23" w:rsidSect="00D17403">
          <w:footerReference w:type="default" r:id="rId9"/>
          <w:pgSz w:w="12240" w:h="15840"/>
          <w:pgMar w:top="1418" w:right="1418" w:bottom="1418" w:left="1418" w:header="0" w:footer="0" w:gutter="0"/>
          <w:pgNumType w:fmt="lowerRoman" w:start="1"/>
          <w:cols w:space="720"/>
          <w:formProt w:val="0"/>
          <w:docGrid w:linePitch="360" w:charSpace="4096"/>
        </w:sectPr>
      </w:pPr>
    </w:p>
    <w:p w14:paraId="515D6059" w14:textId="64D3EE91" w:rsidR="00F1557E" w:rsidRDefault="00F1557E" w:rsidP="000E0B5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Opinión del Tutor.</w:t>
      </w:r>
    </w:p>
    <w:p w14:paraId="68990801" w14:textId="2BB8361D" w:rsidR="00F1557E" w:rsidRPr="00F1557E" w:rsidRDefault="00F1557E" w:rsidP="00F1557E">
      <w:pPr>
        <w:spacing w:after="0" w:line="360" w:lineRule="auto"/>
        <w:jc w:val="both"/>
        <w:rPr>
          <w:rFonts w:ascii="Times New Roman" w:hAnsi="Times New Roman" w:cs="Times New Roman"/>
          <w:sz w:val="28"/>
          <w:szCs w:val="24"/>
        </w:rPr>
      </w:pPr>
      <w:r w:rsidRPr="00F1557E">
        <w:rPr>
          <w:rFonts w:ascii="Times New Roman" w:hAnsi="Times New Roman" w:cs="Times New Roman"/>
          <w:sz w:val="24"/>
          <w:szCs w:val="24"/>
        </w:rPr>
        <w:t>La Infección de Vías Urinarias o IVU es considerada una de las infecciones más frecuentes en la niñez, su recurrencia y cronicidad está relacionada a complicaciones como la cicatriz renal, insuficiencia renal e hipertensión arterial, su diagnóstico y manejo a nivel de las unidades de salud de atención primaria ha sido controversial, ya que el uso de antibióticos de manera empírica puede conllevar a mayor probabilidad de complicaciones.</w:t>
      </w:r>
    </w:p>
    <w:p w14:paraId="51D4FBAF" w14:textId="77777777" w:rsidR="00F1557E" w:rsidRPr="00F1557E" w:rsidRDefault="00F1557E" w:rsidP="00F1557E">
      <w:pPr>
        <w:spacing w:after="0" w:line="360" w:lineRule="auto"/>
        <w:jc w:val="both"/>
        <w:rPr>
          <w:rFonts w:ascii="Times New Roman" w:hAnsi="Times New Roman" w:cs="Times New Roman"/>
          <w:sz w:val="24"/>
          <w:szCs w:val="24"/>
        </w:rPr>
      </w:pPr>
    </w:p>
    <w:p w14:paraId="72C842EF" w14:textId="77777777" w:rsidR="00F1557E" w:rsidRPr="00F1557E" w:rsidRDefault="00F1557E" w:rsidP="00F1557E">
      <w:pPr>
        <w:spacing w:after="0" w:line="360" w:lineRule="auto"/>
        <w:jc w:val="both"/>
        <w:rPr>
          <w:rFonts w:ascii="Times New Roman" w:hAnsi="Times New Roman" w:cs="Times New Roman"/>
          <w:sz w:val="24"/>
          <w:szCs w:val="24"/>
        </w:rPr>
      </w:pPr>
      <w:r w:rsidRPr="00F1557E">
        <w:rPr>
          <w:rFonts w:ascii="Times New Roman" w:hAnsi="Times New Roman" w:cs="Times New Roman"/>
          <w:sz w:val="24"/>
          <w:szCs w:val="24"/>
        </w:rPr>
        <w:t xml:space="preserve">A nivel hospitalario contando con medios diagnósticos completos, su abordaje no es integral, obviando algunas condiciones particulares para cada paciente, por lo que considero que el presente tema: </w:t>
      </w:r>
      <w:r w:rsidRPr="00F1557E">
        <w:rPr>
          <w:rFonts w:ascii="Times New Roman" w:hAnsi="Times New Roman" w:cs="Times New Roman"/>
          <w:b/>
          <w:bCs/>
          <w:sz w:val="24"/>
          <w:szCs w:val="24"/>
        </w:rPr>
        <w:t xml:space="preserve">Comportamiento Clínico de la infección de vías urinarias en Pacientes ingresados en el Servicio de Pediatría del Hospital SERMESA Masaya en el período de enero a diciembre del año 2024, </w:t>
      </w:r>
      <w:r w:rsidRPr="00F1557E">
        <w:rPr>
          <w:rFonts w:ascii="Times New Roman" w:hAnsi="Times New Roman" w:cs="Times New Roman"/>
          <w:sz w:val="24"/>
          <w:szCs w:val="24"/>
        </w:rPr>
        <w:t>brindara información valiosa para un abordaje integral centrada en cada paciente, y poder tomar decisión acerca del uso de antibiótico basada en estudios de agentes microbianos y sensibilidad antibiótica con la realización de medios diagnósticos disponibles y de bajo costos.</w:t>
      </w:r>
    </w:p>
    <w:p w14:paraId="07BCCD47" w14:textId="77777777" w:rsidR="00F1557E" w:rsidRPr="00F1557E" w:rsidRDefault="00F1557E" w:rsidP="00F1557E">
      <w:pPr>
        <w:spacing w:after="0" w:line="360" w:lineRule="auto"/>
        <w:jc w:val="both"/>
        <w:rPr>
          <w:rFonts w:ascii="Times New Roman" w:hAnsi="Times New Roman" w:cs="Times New Roman"/>
          <w:sz w:val="24"/>
          <w:szCs w:val="24"/>
        </w:rPr>
      </w:pPr>
    </w:p>
    <w:p w14:paraId="711BD968" w14:textId="77777777" w:rsidR="00F1557E" w:rsidRPr="00F1557E" w:rsidRDefault="00F1557E" w:rsidP="00F1557E">
      <w:pPr>
        <w:spacing w:after="0" w:line="360" w:lineRule="auto"/>
        <w:jc w:val="both"/>
        <w:rPr>
          <w:rFonts w:ascii="Times New Roman" w:hAnsi="Times New Roman" w:cs="Times New Roman"/>
          <w:sz w:val="24"/>
          <w:szCs w:val="24"/>
        </w:rPr>
      </w:pPr>
      <w:r w:rsidRPr="00F1557E">
        <w:rPr>
          <w:rFonts w:ascii="Times New Roman" w:hAnsi="Times New Roman" w:cs="Times New Roman"/>
          <w:sz w:val="24"/>
          <w:szCs w:val="24"/>
        </w:rPr>
        <w:t>Por lo antes expuesto, considero que este estudio servirá para que el personal de salud tanto de atención primaria como hospitalaria puedan tener mayores conocimientos sobre el diagnóstico y abordaje de la IVU.</w:t>
      </w:r>
    </w:p>
    <w:p w14:paraId="547068F6" w14:textId="77777777" w:rsidR="00F1557E" w:rsidRPr="00F1557E" w:rsidRDefault="00F1557E" w:rsidP="00F1557E">
      <w:pPr>
        <w:rPr>
          <w:rFonts w:ascii="Times New Roman" w:hAnsi="Times New Roman" w:cs="Times New Roman"/>
          <w:sz w:val="24"/>
          <w:szCs w:val="24"/>
          <w:lang w:val="es-CR"/>
        </w:rPr>
      </w:pPr>
    </w:p>
    <w:p w14:paraId="77777AB5" w14:textId="77777777" w:rsidR="00F1557E" w:rsidRPr="00F1557E" w:rsidRDefault="00F1557E" w:rsidP="00F1557E">
      <w:pPr>
        <w:rPr>
          <w:rFonts w:ascii="Times New Roman" w:hAnsi="Times New Roman" w:cs="Times New Roman"/>
          <w:sz w:val="24"/>
          <w:szCs w:val="24"/>
          <w:lang w:val="es-CR"/>
        </w:rPr>
      </w:pPr>
    </w:p>
    <w:p w14:paraId="3DAB6DB0" w14:textId="77777777" w:rsidR="00F1557E" w:rsidRPr="00F1557E" w:rsidRDefault="00F1557E" w:rsidP="00F1557E">
      <w:pPr>
        <w:rPr>
          <w:rFonts w:ascii="Times New Roman" w:hAnsi="Times New Roman" w:cs="Times New Roman"/>
          <w:sz w:val="24"/>
          <w:szCs w:val="24"/>
          <w:lang w:val="es-CR"/>
        </w:rPr>
      </w:pPr>
    </w:p>
    <w:p w14:paraId="749BBD32" w14:textId="77777777" w:rsidR="00F1557E" w:rsidRPr="00F1557E" w:rsidRDefault="00F1557E" w:rsidP="00F1557E">
      <w:pPr>
        <w:rPr>
          <w:rFonts w:asciiTheme="minorHAnsi" w:hAnsiTheme="minorHAnsi" w:cstheme="minorBidi"/>
          <w:sz w:val="24"/>
          <w:szCs w:val="24"/>
          <w:lang w:val="es-CR"/>
        </w:rPr>
      </w:pPr>
    </w:p>
    <w:p w14:paraId="15B61337" w14:textId="77777777" w:rsidR="00F1557E" w:rsidRPr="00F1557E" w:rsidRDefault="00F1557E" w:rsidP="00F1557E">
      <w:pPr>
        <w:spacing w:after="0" w:line="360" w:lineRule="auto"/>
        <w:jc w:val="center"/>
        <w:rPr>
          <w:sz w:val="24"/>
          <w:szCs w:val="24"/>
        </w:rPr>
      </w:pPr>
      <w:r w:rsidRPr="00F1557E">
        <w:rPr>
          <w:rFonts w:ascii="Times New Roman" w:hAnsi="Times New Roman" w:cs="Times New Roman"/>
          <w:sz w:val="24"/>
          <w:szCs w:val="24"/>
        </w:rPr>
        <w:t>Dr. Milton Henoc Mena Gutiérrez.</w:t>
      </w:r>
    </w:p>
    <w:p w14:paraId="050BD5C3" w14:textId="77777777" w:rsidR="00F1557E" w:rsidRPr="00F1557E" w:rsidRDefault="00F1557E" w:rsidP="00F1557E">
      <w:pPr>
        <w:spacing w:after="0" w:line="360" w:lineRule="auto"/>
        <w:jc w:val="center"/>
        <w:rPr>
          <w:rFonts w:ascii="Times New Roman" w:hAnsi="Times New Roman" w:cs="Times New Roman"/>
          <w:sz w:val="24"/>
          <w:szCs w:val="24"/>
        </w:rPr>
      </w:pPr>
      <w:r w:rsidRPr="00F1557E">
        <w:rPr>
          <w:rFonts w:ascii="Times New Roman" w:hAnsi="Times New Roman" w:cs="Times New Roman"/>
          <w:sz w:val="24"/>
          <w:szCs w:val="24"/>
        </w:rPr>
        <w:t>Pediatra Nefrólogo.</w:t>
      </w:r>
    </w:p>
    <w:p w14:paraId="321456D5" w14:textId="77777777" w:rsidR="00F1557E" w:rsidRPr="00F1557E" w:rsidRDefault="00F1557E" w:rsidP="00F1557E">
      <w:pPr>
        <w:spacing w:after="0" w:line="360" w:lineRule="auto"/>
        <w:jc w:val="center"/>
        <w:rPr>
          <w:rFonts w:ascii="Times New Roman" w:hAnsi="Times New Roman" w:cs="Times New Roman"/>
          <w:sz w:val="24"/>
          <w:szCs w:val="24"/>
        </w:rPr>
      </w:pPr>
      <w:r w:rsidRPr="00F1557E">
        <w:rPr>
          <w:rFonts w:ascii="Times New Roman" w:hAnsi="Times New Roman" w:cs="Times New Roman"/>
          <w:sz w:val="24"/>
          <w:szCs w:val="24"/>
        </w:rPr>
        <w:t>Hospital Regional Escuela Camilo Ortega Saavedra.</w:t>
      </w:r>
    </w:p>
    <w:p w14:paraId="317428A3" w14:textId="77777777" w:rsidR="00F1557E" w:rsidRDefault="00F1557E" w:rsidP="00F1557E">
      <w:pPr>
        <w:spacing w:after="0" w:line="360" w:lineRule="auto"/>
        <w:rPr>
          <w:rFonts w:ascii="Times New Roman" w:hAnsi="Times New Roman" w:cs="Times New Roman"/>
          <w:b/>
          <w:bCs/>
          <w:sz w:val="28"/>
          <w:szCs w:val="28"/>
        </w:rPr>
      </w:pPr>
    </w:p>
    <w:p w14:paraId="4C093593" w14:textId="77777777" w:rsidR="00F1557E" w:rsidRDefault="00F1557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5B4084B" w14:textId="06462514" w:rsidR="000E0B55" w:rsidRDefault="005B5D69" w:rsidP="000E0B5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Resumen.</w:t>
      </w:r>
    </w:p>
    <w:p w14:paraId="0394AA80" w14:textId="3FCF7B25" w:rsidR="005B5D69" w:rsidRPr="000E0B55" w:rsidRDefault="005B5D69" w:rsidP="000E0B55">
      <w:pPr>
        <w:spacing w:after="0" w:line="360" w:lineRule="auto"/>
        <w:rPr>
          <w:rFonts w:ascii="Times New Roman" w:hAnsi="Times New Roman" w:cs="Times New Roman"/>
          <w:b/>
          <w:bCs/>
          <w:sz w:val="32"/>
          <w:szCs w:val="32"/>
        </w:rPr>
      </w:pPr>
      <w:r w:rsidRPr="000E0B55">
        <w:rPr>
          <w:rFonts w:ascii="Times New Roman" w:eastAsia="Arial" w:hAnsi="Times New Roman" w:cs="Times New Roman"/>
          <w:kern w:val="0"/>
          <w:sz w:val="24"/>
          <w:szCs w:val="28"/>
          <w:lang w:val="es-CR" w:eastAsia="es-CR" w:bidi="es-CR"/>
        </w:rPr>
        <w:t xml:space="preserve">La presente tesis es un estudio descriptivo, de corte </w:t>
      </w:r>
      <w:r w:rsidRPr="000E0B55">
        <w:rPr>
          <w:rFonts w:ascii="Times New Roman" w:hAnsi="Times New Roman" w:cs="Times New Roman"/>
          <w:sz w:val="24"/>
          <w:szCs w:val="24"/>
        </w:rPr>
        <w:t>transversal y con un enfoque mixto (cuantitativa y cualitativo), siendo su objetivo: Analizar el comportamiento clínico de la infección de vías urinarias en Pacientes ingresados en el Servicio de Pediatría del Hospital SERMESA Masaya en el período de enero a diciembre del año 2024, para lo cual se diseñara un instrumento de recolección de información que contenga las variables correspondiente a los objetivos específicos: Características sociodemográficas y clínicas de los pacientes en estudio, así como el manejo y la evolución clínica de los pacientes en estudio.</w:t>
      </w:r>
    </w:p>
    <w:p w14:paraId="4A5A08D5" w14:textId="77777777" w:rsidR="005B5D69" w:rsidRDefault="005B5D69" w:rsidP="00F21220">
      <w:pPr>
        <w:pStyle w:val="Ttulo10"/>
        <w:spacing w:before="0" w:after="0" w:line="360" w:lineRule="auto"/>
        <w:jc w:val="center"/>
        <w:rPr>
          <w:rFonts w:cs="Times New Roman"/>
          <w:sz w:val="28"/>
        </w:rPr>
      </w:pPr>
    </w:p>
    <w:p w14:paraId="7379491F" w14:textId="77777777" w:rsidR="005B5D69" w:rsidRDefault="005B5D69" w:rsidP="00F21220">
      <w:pPr>
        <w:pStyle w:val="Ttulo10"/>
        <w:spacing w:before="0" w:after="0" w:line="360" w:lineRule="auto"/>
        <w:jc w:val="center"/>
        <w:rPr>
          <w:rFonts w:cs="Times New Roman"/>
          <w:sz w:val="28"/>
        </w:rPr>
      </w:pPr>
    </w:p>
    <w:p w14:paraId="7F957EA8" w14:textId="4752774E" w:rsidR="005B5D69" w:rsidRPr="000E0B55" w:rsidRDefault="005B5D69">
      <w:pPr>
        <w:spacing w:after="0" w:line="240" w:lineRule="auto"/>
        <w:rPr>
          <w:rFonts w:ascii="Times New Roman" w:eastAsia="WenQuanYi Micro Hei" w:hAnsi="Times New Roman" w:cs="Times New Roman"/>
          <w:b/>
          <w:sz w:val="28"/>
          <w:szCs w:val="28"/>
        </w:rPr>
      </w:pPr>
      <w:r w:rsidRPr="005B5D69">
        <w:rPr>
          <w:rFonts w:ascii="Times New Roman" w:hAnsi="Times New Roman" w:cs="Times New Roman"/>
          <w:b/>
          <w:bCs/>
          <w:sz w:val="28"/>
        </w:rPr>
        <w:br w:type="page"/>
      </w:r>
    </w:p>
    <w:p w14:paraId="604099D5" w14:textId="7552ABCB" w:rsidR="003F3927" w:rsidRPr="00664DAC" w:rsidRDefault="00F21220" w:rsidP="00F21220">
      <w:pPr>
        <w:pStyle w:val="Ttulo10"/>
        <w:spacing w:before="0" w:after="0" w:line="360" w:lineRule="auto"/>
        <w:jc w:val="center"/>
        <w:rPr>
          <w:rFonts w:cs="Times New Roman"/>
          <w:sz w:val="28"/>
        </w:rPr>
      </w:pPr>
      <w:r w:rsidRPr="00664DAC">
        <w:rPr>
          <w:rFonts w:cs="Times New Roman"/>
          <w:sz w:val="28"/>
        </w:rPr>
        <w:lastRenderedPageBreak/>
        <w:t xml:space="preserve">I.- </w:t>
      </w:r>
      <w:r w:rsidR="006F19FF" w:rsidRPr="00664DAC">
        <w:rPr>
          <w:rFonts w:cs="Times New Roman"/>
          <w:sz w:val="28"/>
        </w:rPr>
        <w:t>INTRODUCCIÓN</w:t>
      </w:r>
    </w:p>
    <w:p w14:paraId="3F9B2BBB" w14:textId="77777777" w:rsidR="00F21220" w:rsidRDefault="00F21220" w:rsidP="008067AD">
      <w:pPr>
        <w:spacing w:after="0" w:line="360" w:lineRule="auto"/>
        <w:jc w:val="both"/>
        <w:rPr>
          <w:rFonts w:ascii="Times New Roman" w:hAnsi="Times New Roman" w:cs="Times New Roman"/>
          <w:sz w:val="24"/>
          <w:szCs w:val="24"/>
        </w:rPr>
      </w:pPr>
    </w:p>
    <w:p w14:paraId="191C01A2" w14:textId="08C0BD6F" w:rsidR="00F21220" w:rsidRPr="00664DAC" w:rsidRDefault="00F21220" w:rsidP="00F21220">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La infección de vías urinarias (IVU) es definida como la presencia de bacteriuria significativa con reacción inflamatoria de la orina con o sin síntomas asociados. Otros autores definen a la IVU como la colonización y multiplicación en el tracto urinario de bacterias, proveniente de la región perineal (vía ascendente) principalmente, aunque también existe la posibilidad de infección por vía sistémica (vía hematógena) o directa (cirugías urológicas, traumas abdominales, </w:t>
      </w:r>
      <w:proofErr w:type="spellStart"/>
      <w:r w:rsidRPr="00664DAC">
        <w:rPr>
          <w:rFonts w:ascii="Times New Roman" w:hAnsi="Times New Roman" w:cs="Times New Roman"/>
          <w:sz w:val="24"/>
          <w:szCs w:val="24"/>
        </w:rPr>
        <w:t>etc</w:t>
      </w:r>
      <w:proofErr w:type="spellEnd"/>
      <w:r w:rsidRPr="00664DAC">
        <w:rPr>
          <w:rFonts w:ascii="Times New Roman" w:hAnsi="Times New Roman" w:cs="Times New Roman"/>
          <w:sz w:val="24"/>
          <w:szCs w:val="24"/>
        </w:rPr>
        <w:t>).</w:t>
      </w:r>
    </w:p>
    <w:p w14:paraId="627751B5" w14:textId="77777777" w:rsidR="00F21220" w:rsidRPr="00664DAC" w:rsidRDefault="00F21220" w:rsidP="00F21220">
      <w:pPr>
        <w:spacing w:after="0" w:line="360" w:lineRule="auto"/>
        <w:jc w:val="both"/>
        <w:rPr>
          <w:rFonts w:ascii="Times New Roman" w:hAnsi="Times New Roman" w:cs="Times New Roman"/>
          <w:sz w:val="24"/>
          <w:szCs w:val="24"/>
        </w:rPr>
      </w:pPr>
    </w:p>
    <w:p w14:paraId="16866CE4" w14:textId="77777777" w:rsidR="00F21220" w:rsidRPr="00664DAC" w:rsidRDefault="00F21220" w:rsidP="00F21220">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La IVU está considerada como una de las infecciones bacterianas más comunes en la niñez, es superada en frecuencia por las infecciones respiratorias. La sintomatología es variada y es difícil su diagnóstico, así como distinguir la cistitis de pielonefritis y de otras patologías, sobre todo en los niños pequeños.  </w:t>
      </w:r>
    </w:p>
    <w:p w14:paraId="3E0C1C07" w14:textId="77777777" w:rsidR="00F21220" w:rsidRPr="00664DAC" w:rsidRDefault="00F21220" w:rsidP="00F21220">
      <w:pPr>
        <w:spacing w:after="0" w:line="360" w:lineRule="auto"/>
        <w:jc w:val="both"/>
        <w:rPr>
          <w:rFonts w:ascii="Times New Roman" w:hAnsi="Times New Roman" w:cs="Times New Roman"/>
          <w:sz w:val="24"/>
          <w:szCs w:val="24"/>
        </w:rPr>
      </w:pPr>
    </w:p>
    <w:p w14:paraId="719C1108" w14:textId="77777777" w:rsidR="00F21220" w:rsidRPr="00664DAC" w:rsidRDefault="00F21220" w:rsidP="00F21220">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La IVU a repetición puede conllevar a cicatrices renales, que, a su vez, podrían llevar a largo plazo, a insuficiencia renal e hipertensión arterial. El riesgo de lesiones renales aumenta al existir una anomalía anatómica o funcional, que predisponga a infecciones frecuentes. </w:t>
      </w:r>
    </w:p>
    <w:p w14:paraId="0B464D9B" w14:textId="77777777" w:rsidR="00F21220" w:rsidRPr="00664DAC" w:rsidRDefault="00F21220" w:rsidP="00F21220">
      <w:pPr>
        <w:spacing w:after="0" w:line="360" w:lineRule="auto"/>
        <w:jc w:val="both"/>
        <w:rPr>
          <w:rFonts w:ascii="Times New Roman" w:hAnsi="Times New Roman" w:cs="Times New Roman"/>
          <w:sz w:val="24"/>
          <w:szCs w:val="24"/>
        </w:rPr>
      </w:pPr>
    </w:p>
    <w:p w14:paraId="231BE3CA" w14:textId="77777777" w:rsidR="00F21220" w:rsidRPr="00664DAC" w:rsidRDefault="00F21220" w:rsidP="00F21220">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El manejo tiene que ser oportuno e integral, por lo que se debe de elegir una adecuada selección de antibiótico basada en estudios de agentes patógenos y sensibilidad antibiótica, en caso de ser así, la bacteria se vuelve resistente, el paciente no mejora, las complicaciones surgen, la mortalidad se incrementa, y el costo de atención en salud aumenta.  </w:t>
      </w:r>
    </w:p>
    <w:p w14:paraId="5B75D539" w14:textId="77777777" w:rsidR="000C3FFA" w:rsidRDefault="000C3FFA" w:rsidP="00F21220">
      <w:pPr>
        <w:spacing w:after="0" w:line="360" w:lineRule="auto"/>
        <w:jc w:val="both"/>
        <w:rPr>
          <w:rFonts w:ascii="Times New Roman" w:hAnsi="Times New Roman" w:cs="Times New Roman"/>
        </w:rPr>
      </w:pPr>
    </w:p>
    <w:p w14:paraId="59FCC114" w14:textId="508803BE" w:rsidR="000C3FFA" w:rsidRDefault="000C3FFA">
      <w:pPr>
        <w:spacing w:after="0" w:line="240" w:lineRule="auto"/>
        <w:rPr>
          <w:rFonts w:ascii="Times New Roman" w:hAnsi="Times New Roman" w:cs="Times New Roman"/>
        </w:rPr>
      </w:pPr>
      <w:r>
        <w:rPr>
          <w:rFonts w:ascii="Times New Roman" w:hAnsi="Times New Roman" w:cs="Times New Roman"/>
        </w:rPr>
        <w:br w:type="page"/>
      </w:r>
    </w:p>
    <w:p w14:paraId="4D1323BF" w14:textId="77777777" w:rsidR="005B5D69" w:rsidRDefault="005B5D69" w:rsidP="005B5D69">
      <w:pPr>
        <w:spacing w:after="0" w:line="360" w:lineRule="auto"/>
        <w:jc w:val="center"/>
      </w:pPr>
      <w:r>
        <w:rPr>
          <w:rFonts w:ascii="Times New Roman" w:hAnsi="Times New Roman" w:cs="Times New Roman"/>
          <w:b/>
          <w:bCs/>
          <w:sz w:val="28"/>
          <w:szCs w:val="28"/>
        </w:rPr>
        <w:lastRenderedPageBreak/>
        <w:t>IV.- Planteamiento del Problema</w:t>
      </w:r>
    </w:p>
    <w:p w14:paraId="724F3E29" w14:textId="77777777" w:rsidR="005B5D69" w:rsidRDefault="005B5D69" w:rsidP="005B5D69">
      <w:pPr>
        <w:spacing w:after="0" w:line="360" w:lineRule="auto"/>
        <w:jc w:val="both"/>
        <w:rPr>
          <w:rFonts w:ascii="Times New Roman" w:hAnsi="Times New Roman" w:cs="Times New Roman"/>
        </w:rPr>
      </w:pPr>
    </w:p>
    <w:p w14:paraId="6510A853" w14:textId="77777777" w:rsidR="005B5D69" w:rsidRPr="0017470E" w:rsidRDefault="005B5D69" w:rsidP="005B5D69">
      <w:pPr>
        <w:spacing w:after="0" w:line="360" w:lineRule="auto"/>
        <w:jc w:val="both"/>
        <w:rPr>
          <w:sz w:val="24"/>
          <w:szCs w:val="24"/>
        </w:rPr>
      </w:pPr>
      <w:r w:rsidRPr="0017470E">
        <w:rPr>
          <w:rFonts w:ascii="Times New Roman" w:hAnsi="Times New Roman" w:cs="Times New Roman"/>
          <w:sz w:val="24"/>
          <w:szCs w:val="24"/>
        </w:rPr>
        <w:t>La infección de vías urinarias en general, se ha convertido en un problema de salud pública bastante frecuente, ya que su diagnóstico ha sido definido inadecuadamente, en algunos casos no se presta atención a la sintomatología o va enmascarado por otra patología, o lo contrario que la IVU es diagnosticada sin buscar otra causa de la sintomatología, en el caso del área pediátrica, la frecuencia de hospitalización solamente es superada por las infecciones respiratorias superiores y gastrointestinales, lo que lo convierte en una patología a brindarle seguimiento.</w:t>
      </w:r>
    </w:p>
    <w:p w14:paraId="4B1654B0" w14:textId="77777777" w:rsidR="005B5D69" w:rsidRPr="0017470E" w:rsidRDefault="005B5D69" w:rsidP="005B5D69">
      <w:pPr>
        <w:spacing w:after="0" w:line="360" w:lineRule="auto"/>
        <w:jc w:val="both"/>
        <w:rPr>
          <w:rFonts w:ascii="Times New Roman" w:hAnsi="Times New Roman" w:cs="Times New Roman"/>
          <w:sz w:val="24"/>
          <w:szCs w:val="24"/>
        </w:rPr>
      </w:pPr>
    </w:p>
    <w:p w14:paraId="32BBCA4A" w14:textId="77777777" w:rsidR="005B5D69" w:rsidRPr="0017470E" w:rsidRDefault="005B5D69" w:rsidP="005B5D69">
      <w:pPr>
        <w:spacing w:after="0" w:line="360" w:lineRule="auto"/>
        <w:jc w:val="both"/>
        <w:rPr>
          <w:sz w:val="24"/>
          <w:szCs w:val="24"/>
        </w:rPr>
      </w:pPr>
      <w:r w:rsidRPr="0017470E">
        <w:rPr>
          <w:rFonts w:ascii="Times New Roman" w:hAnsi="Times New Roman" w:cs="Times New Roman"/>
          <w:sz w:val="24"/>
          <w:szCs w:val="24"/>
        </w:rPr>
        <w:t>Es importante abordar el tema de la IVU en el contexto de hospitalización, ya que podemos detectar deficiencias en el diagnóstico de IVU, poder identificar otras patologías como diagnóstico diferencia, tratarlas oportunamente y evitar las complicaciones como; sepsis, abscesos y cicatrices renales y falla renal.</w:t>
      </w:r>
    </w:p>
    <w:p w14:paraId="694C575D" w14:textId="77777777" w:rsidR="005B5D69" w:rsidRPr="0017470E" w:rsidRDefault="005B5D69" w:rsidP="005B5D69">
      <w:pPr>
        <w:spacing w:after="0" w:line="360" w:lineRule="auto"/>
        <w:jc w:val="both"/>
        <w:rPr>
          <w:rFonts w:ascii="Times New Roman" w:hAnsi="Times New Roman" w:cs="Times New Roman"/>
          <w:sz w:val="24"/>
          <w:szCs w:val="24"/>
        </w:rPr>
      </w:pPr>
    </w:p>
    <w:p w14:paraId="30C08CDD" w14:textId="77777777" w:rsidR="005B5D69" w:rsidRPr="0017470E" w:rsidRDefault="005B5D69" w:rsidP="005B5D69">
      <w:pPr>
        <w:spacing w:after="0" w:line="360" w:lineRule="auto"/>
        <w:jc w:val="both"/>
        <w:rPr>
          <w:sz w:val="24"/>
          <w:szCs w:val="24"/>
        </w:rPr>
      </w:pPr>
      <w:r w:rsidRPr="0017470E">
        <w:rPr>
          <w:rFonts w:ascii="Times New Roman" w:hAnsi="Times New Roman" w:cs="Times New Roman"/>
          <w:sz w:val="24"/>
          <w:szCs w:val="24"/>
        </w:rPr>
        <w:t xml:space="preserve">Es por esto que se realiza la siguiente pregunta. </w:t>
      </w:r>
    </w:p>
    <w:p w14:paraId="65E8BA59" w14:textId="77777777" w:rsidR="005B5D69" w:rsidRPr="0017470E" w:rsidRDefault="005B5D69" w:rsidP="005B5D69">
      <w:pPr>
        <w:spacing w:after="0" w:line="360" w:lineRule="auto"/>
        <w:jc w:val="both"/>
        <w:rPr>
          <w:sz w:val="24"/>
          <w:szCs w:val="24"/>
        </w:rPr>
      </w:pPr>
      <w:r w:rsidRPr="0017470E">
        <w:rPr>
          <w:rFonts w:ascii="Times New Roman" w:hAnsi="Times New Roman" w:cs="Times New Roman"/>
          <w:sz w:val="24"/>
          <w:szCs w:val="24"/>
        </w:rPr>
        <w:t xml:space="preserve">¿Cuál es el comportamiento clínico de la infección de vías urinarias en Pacientes ingresados en el Servicio de Pediatría del Hospital SERMESA Masaya en el período de enero a diciembre del año 2024? </w:t>
      </w:r>
    </w:p>
    <w:p w14:paraId="2C41CDC9" w14:textId="77777777" w:rsidR="005B5D69" w:rsidRPr="0017470E" w:rsidRDefault="005B5D69" w:rsidP="005B5D69">
      <w:pPr>
        <w:spacing w:after="0" w:line="360" w:lineRule="auto"/>
        <w:jc w:val="both"/>
        <w:rPr>
          <w:rFonts w:ascii="Times New Roman" w:hAnsi="Times New Roman" w:cs="Times New Roman"/>
          <w:sz w:val="24"/>
          <w:szCs w:val="24"/>
        </w:rPr>
      </w:pPr>
    </w:p>
    <w:p w14:paraId="73806F9C" w14:textId="77777777" w:rsidR="005B5D69" w:rsidRPr="0017470E" w:rsidRDefault="005B5D69" w:rsidP="005B5D69">
      <w:pPr>
        <w:spacing w:after="0" w:line="360" w:lineRule="auto"/>
        <w:jc w:val="both"/>
        <w:rPr>
          <w:sz w:val="24"/>
          <w:szCs w:val="24"/>
        </w:rPr>
      </w:pPr>
      <w:r w:rsidRPr="0017470E">
        <w:rPr>
          <w:rFonts w:ascii="Times New Roman" w:hAnsi="Times New Roman" w:cs="Times New Roman"/>
          <w:sz w:val="24"/>
          <w:szCs w:val="24"/>
        </w:rPr>
        <w:t>¿Existe relación entre la edad, sexo, patologías asociadas, características perinatales y frecuencia de hospitalarios con las complicaciones que presentaron los niños con IVU?</w:t>
      </w:r>
    </w:p>
    <w:p w14:paraId="21469A7A" w14:textId="77777777" w:rsidR="005B5D69" w:rsidRPr="0017470E" w:rsidRDefault="005B5D69" w:rsidP="005B5D69">
      <w:pPr>
        <w:spacing w:after="0" w:line="360" w:lineRule="auto"/>
        <w:jc w:val="both"/>
        <w:rPr>
          <w:rFonts w:ascii="Times New Roman" w:hAnsi="Times New Roman" w:cs="Times New Roman"/>
          <w:sz w:val="24"/>
          <w:szCs w:val="24"/>
        </w:rPr>
      </w:pPr>
    </w:p>
    <w:p w14:paraId="2CA0F5E4" w14:textId="77777777" w:rsidR="005B5D69" w:rsidRPr="0017470E" w:rsidRDefault="005B5D69" w:rsidP="005B5D69">
      <w:pPr>
        <w:spacing w:after="0" w:line="360" w:lineRule="auto"/>
        <w:jc w:val="both"/>
        <w:rPr>
          <w:sz w:val="24"/>
          <w:szCs w:val="24"/>
        </w:rPr>
      </w:pPr>
      <w:r w:rsidRPr="0017470E">
        <w:rPr>
          <w:rFonts w:ascii="Times New Roman" w:hAnsi="Times New Roman" w:cs="Times New Roman"/>
          <w:sz w:val="24"/>
          <w:szCs w:val="24"/>
        </w:rPr>
        <w:t>¿Fue adecuado el manejo de los niños con IVU ingresados en el Hospital SERMESA Masaya en el período de estudio?</w:t>
      </w:r>
    </w:p>
    <w:p w14:paraId="5ABE6218" w14:textId="77777777" w:rsidR="005B5D69" w:rsidRDefault="005B5D6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C7AFF2C" w14:textId="626F167B" w:rsidR="000C3FFA" w:rsidRDefault="000C3FFA" w:rsidP="000C3FFA">
      <w:pPr>
        <w:spacing w:after="0" w:line="360" w:lineRule="auto"/>
        <w:jc w:val="center"/>
      </w:pPr>
      <w:r>
        <w:rPr>
          <w:rFonts w:ascii="Times New Roman" w:hAnsi="Times New Roman" w:cs="Times New Roman"/>
          <w:b/>
          <w:bCs/>
          <w:sz w:val="28"/>
          <w:szCs w:val="28"/>
        </w:rPr>
        <w:lastRenderedPageBreak/>
        <w:t>II.- Antecedentes</w:t>
      </w:r>
    </w:p>
    <w:p w14:paraId="159C2709" w14:textId="77777777" w:rsidR="000C3FFA" w:rsidRDefault="000C3FFA" w:rsidP="000C3FF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Internacionales</w:t>
      </w:r>
    </w:p>
    <w:p w14:paraId="2292350D"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En el estudio de Amaya Sorto 2013, en el que incluyeron 38 pacientes, los cuales tenían edad media de 18 meses, a todos se les realizó USG renal durante la fase aguda de la enfermedad y gammagrafía renal estática entre 6 y 12 meses después del cuadro agudo. En los casos con cicatriz renal, ausencia o disminución de captación del radiofármaco, se les realizó </w:t>
      </w:r>
      <w:proofErr w:type="spellStart"/>
      <w:r w:rsidRPr="00664DAC">
        <w:rPr>
          <w:rFonts w:ascii="Times New Roman" w:hAnsi="Times New Roman" w:cs="Times New Roman"/>
          <w:sz w:val="24"/>
          <w:szCs w:val="24"/>
        </w:rPr>
        <w:t>uretrocistografía</w:t>
      </w:r>
      <w:proofErr w:type="spellEnd"/>
      <w:r w:rsidRPr="00664DAC">
        <w:rPr>
          <w:rFonts w:ascii="Times New Roman" w:hAnsi="Times New Roman" w:cs="Times New Roman"/>
          <w:sz w:val="24"/>
          <w:szCs w:val="24"/>
        </w:rPr>
        <w:t xml:space="preserve"> miccional. La realización de USG en fase aguda demostró dilatación pélvica renal en 7.9% de los pacientes y asimetría renal en 2.6%. En 5.2% de los pacientes se demostró cicatriz renal y en 28.4% hipofunción de la corteza renal. La </w:t>
      </w:r>
      <w:proofErr w:type="spellStart"/>
      <w:r w:rsidRPr="00664DAC">
        <w:rPr>
          <w:rFonts w:ascii="Times New Roman" w:hAnsi="Times New Roman" w:cs="Times New Roman"/>
          <w:sz w:val="24"/>
          <w:szCs w:val="24"/>
        </w:rPr>
        <w:t>uretrocistografía</w:t>
      </w:r>
      <w:proofErr w:type="spellEnd"/>
      <w:r w:rsidRPr="00664DAC">
        <w:rPr>
          <w:rFonts w:ascii="Times New Roman" w:hAnsi="Times New Roman" w:cs="Times New Roman"/>
          <w:sz w:val="24"/>
          <w:szCs w:val="24"/>
        </w:rPr>
        <w:t xml:space="preserve"> miccional demostró reflujo </w:t>
      </w:r>
      <w:proofErr w:type="spellStart"/>
      <w:r w:rsidRPr="00664DAC">
        <w:rPr>
          <w:rFonts w:ascii="Times New Roman" w:hAnsi="Times New Roman" w:cs="Times New Roman"/>
          <w:sz w:val="24"/>
          <w:szCs w:val="24"/>
        </w:rPr>
        <w:t>vesicoureteral</w:t>
      </w:r>
      <w:proofErr w:type="spellEnd"/>
      <w:r w:rsidRPr="00664DAC">
        <w:rPr>
          <w:rFonts w:ascii="Times New Roman" w:hAnsi="Times New Roman" w:cs="Times New Roman"/>
          <w:sz w:val="24"/>
          <w:szCs w:val="24"/>
        </w:rPr>
        <w:t xml:space="preserve"> grado III en una niña. No existió relación entre el inicio de los síntomas, el comienzo de la terapéutica y la lesión cortical. (2)</w:t>
      </w:r>
    </w:p>
    <w:p w14:paraId="5E09F0B6" w14:textId="77777777" w:rsidR="000C3FFA" w:rsidRPr="00664DAC" w:rsidRDefault="000C3FFA" w:rsidP="000C3FFA">
      <w:pPr>
        <w:spacing w:after="0" w:line="360" w:lineRule="auto"/>
        <w:jc w:val="both"/>
        <w:rPr>
          <w:rFonts w:ascii="Times New Roman" w:hAnsi="Times New Roman" w:cs="Times New Roman"/>
          <w:sz w:val="24"/>
          <w:szCs w:val="24"/>
        </w:rPr>
      </w:pPr>
    </w:p>
    <w:p w14:paraId="3E6470C6"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Estudio desarrollado en Puerto Rico por Sánchez, et al, titulado “Infección Urinaria en Niños y Niñas internados: Características Clínicas y Microbiológicas” se encontró que la infección urinaria en niños se relaciona con la recurrencia o reinfección tras analizar varios casos se asume que todas tienen que ver con </w:t>
      </w:r>
      <w:proofErr w:type="spellStart"/>
      <w:r w:rsidRPr="00664DAC">
        <w:rPr>
          <w:rFonts w:ascii="Times New Roman" w:hAnsi="Times New Roman" w:cs="Times New Roman"/>
          <w:sz w:val="24"/>
          <w:szCs w:val="24"/>
        </w:rPr>
        <w:t>urosepsis</w:t>
      </w:r>
      <w:proofErr w:type="spellEnd"/>
      <w:r w:rsidRPr="00664DAC">
        <w:rPr>
          <w:rFonts w:ascii="Times New Roman" w:hAnsi="Times New Roman" w:cs="Times New Roman"/>
          <w:sz w:val="24"/>
          <w:szCs w:val="24"/>
        </w:rPr>
        <w:t xml:space="preserve"> donde sobresalen los bacilos gran negativos. (19)</w:t>
      </w:r>
    </w:p>
    <w:p w14:paraId="2E474308" w14:textId="77777777" w:rsidR="000C3FFA" w:rsidRPr="00664DAC" w:rsidRDefault="000C3FFA" w:rsidP="000C3FFA">
      <w:pPr>
        <w:spacing w:after="0" w:line="360" w:lineRule="auto"/>
        <w:jc w:val="both"/>
        <w:rPr>
          <w:rFonts w:ascii="Times New Roman" w:hAnsi="Times New Roman" w:cs="Times New Roman"/>
          <w:sz w:val="24"/>
          <w:szCs w:val="24"/>
        </w:rPr>
      </w:pPr>
    </w:p>
    <w:p w14:paraId="7EE36158"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Daniela </w:t>
      </w:r>
      <w:proofErr w:type="spellStart"/>
      <w:r w:rsidRPr="00664DAC">
        <w:rPr>
          <w:rFonts w:ascii="Times New Roman" w:hAnsi="Times New Roman" w:cs="Times New Roman"/>
          <w:sz w:val="24"/>
          <w:szCs w:val="24"/>
        </w:rPr>
        <w:t>Ocen</w:t>
      </w:r>
      <w:proofErr w:type="spellEnd"/>
      <w:r w:rsidRPr="00664DAC">
        <w:rPr>
          <w:rFonts w:ascii="Times New Roman" w:hAnsi="Times New Roman" w:cs="Times New Roman"/>
          <w:sz w:val="24"/>
          <w:szCs w:val="24"/>
        </w:rPr>
        <w:t xml:space="preserve"> en el año 2015, caracterizo a los pacientes pediátricos con infección de vías urinarias hospitalizados en el Hospital de Bosa de Bogotá durante el año 2014, obteniendo los siguientes resultados: La IVU fue más frecuente en el género en el 77%, la edad predominante fueron los menores de 3 años con más del 50%. El 25% de los casos presentaron factores de riesgo de los cuales la IVU previa fue la más común. En cuanto a las manifestaciones clínicas la fiebre fue el síntoma predominante en los menores de seis años y el dolor abdominal en los mayores de seis años. El urocultivo fue positivo en el 30% de los casos, siendo el la E. </w:t>
      </w:r>
      <w:proofErr w:type="spellStart"/>
      <w:r w:rsidRPr="00664DAC">
        <w:rPr>
          <w:rFonts w:ascii="Times New Roman" w:hAnsi="Times New Roman" w:cs="Times New Roman"/>
          <w:sz w:val="24"/>
          <w:szCs w:val="24"/>
        </w:rPr>
        <w:t>Coli</w:t>
      </w:r>
      <w:proofErr w:type="spellEnd"/>
      <w:r w:rsidRPr="00664DAC">
        <w:rPr>
          <w:rFonts w:ascii="Times New Roman" w:hAnsi="Times New Roman" w:cs="Times New Roman"/>
          <w:sz w:val="24"/>
          <w:szCs w:val="24"/>
        </w:rPr>
        <w:t xml:space="preserve"> el germen más frecuente con el 95% y el tratamiento antibiótico más utilizado fue la cefalotina en un 54% de los casos seguido de la ceftriaxona en un 19%.  (16)</w:t>
      </w:r>
    </w:p>
    <w:p w14:paraId="741A6C32" w14:textId="77777777" w:rsidR="000C3FFA" w:rsidRPr="00664DAC" w:rsidRDefault="000C3FFA" w:rsidP="000C3FFA">
      <w:pPr>
        <w:spacing w:after="0" w:line="360" w:lineRule="auto"/>
        <w:jc w:val="both"/>
        <w:rPr>
          <w:rFonts w:ascii="Times New Roman" w:hAnsi="Times New Roman" w:cs="Times New Roman"/>
          <w:sz w:val="24"/>
          <w:szCs w:val="24"/>
        </w:rPr>
      </w:pPr>
    </w:p>
    <w:p w14:paraId="34B5A47D" w14:textId="77777777" w:rsidR="000C3FFA" w:rsidRPr="00664DAC" w:rsidRDefault="000C3FFA" w:rsidP="000C3FFA">
      <w:pPr>
        <w:spacing w:after="0" w:line="360" w:lineRule="auto"/>
        <w:jc w:val="both"/>
        <w:rPr>
          <w:sz w:val="24"/>
          <w:szCs w:val="24"/>
        </w:rPr>
      </w:pPr>
      <w:proofErr w:type="spellStart"/>
      <w:r w:rsidRPr="00664DAC">
        <w:rPr>
          <w:rFonts w:ascii="Times New Roman" w:hAnsi="Times New Roman" w:cs="Times New Roman"/>
          <w:sz w:val="24"/>
          <w:szCs w:val="24"/>
        </w:rPr>
        <w:t>Garout</w:t>
      </w:r>
      <w:proofErr w:type="spellEnd"/>
      <w:r w:rsidRPr="00664DAC">
        <w:rPr>
          <w:rFonts w:ascii="Times New Roman" w:hAnsi="Times New Roman" w:cs="Times New Roman"/>
          <w:sz w:val="24"/>
          <w:szCs w:val="24"/>
        </w:rPr>
        <w:t xml:space="preserve">, </w:t>
      </w:r>
      <w:proofErr w:type="spellStart"/>
      <w:r w:rsidRPr="00664DAC">
        <w:rPr>
          <w:rFonts w:ascii="Times New Roman" w:hAnsi="Times New Roman" w:cs="Times New Roman"/>
          <w:sz w:val="24"/>
          <w:szCs w:val="24"/>
        </w:rPr>
        <w:t>Kurdi</w:t>
      </w:r>
      <w:proofErr w:type="spellEnd"/>
      <w:r w:rsidRPr="00664DAC">
        <w:rPr>
          <w:rFonts w:ascii="Times New Roman" w:hAnsi="Times New Roman" w:cs="Times New Roman"/>
          <w:sz w:val="24"/>
          <w:szCs w:val="24"/>
        </w:rPr>
        <w:t xml:space="preserve">, </w:t>
      </w:r>
      <w:proofErr w:type="spellStart"/>
      <w:r w:rsidRPr="00664DAC">
        <w:rPr>
          <w:rFonts w:ascii="Times New Roman" w:hAnsi="Times New Roman" w:cs="Times New Roman"/>
          <w:sz w:val="24"/>
          <w:szCs w:val="24"/>
        </w:rPr>
        <w:t>Shilli</w:t>
      </w:r>
      <w:proofErr w:type="spellEnd"/>
      <w:r w:rsidRPr="00664DAC">
        <w:rPr>
          <w:rFonts w:ascii="Times New Roman" w:hAnsi="Times New Roman" w:cs="Times New Roman"/>
          <w:sz w:val="24"/>
          <w:szCs w:val="24"/>
        </w:rPr>
        <w:t xml:space="preserve">, Kari en el 2015, en su artículo “Infección del tracto urinario en niños menores de 5 años. Etiología y anomalías urológicas asociadas”. todos los niños con ITU confirmada fueron evaluados en el Hospital Universitario Rey Abdulaziz, </w:t>
      </w:r>
      <w:proofErr w:type="spellStart"/>
      <w:r w:rsidRPr="00664DAC">
        <w:rPr>
          <w:rFonts w:ascii="Times New Roman" w:hAnsi="Times New Roman" w:cs="Times New Roman"/>
          <w:sz w:val="24"/>
          <w:szCs w:val="24"/>
        </w:rPr>
        <w:t>Riyadh</w:t>
      </w:r>
      <w:proofErr w:type="spellEnd"/>
      <w:r w:rsidRPr="00664DAC">
        <w:rPr>
          <w:rFonts w:ascii="Times New Roman" w:hAnsi="Times New Roman" w:cs="Times New Roman"/>
          <w:sz w:val="24"/>
          <w:szCs w:val="24"/>
        </w:rPr>
        <w:t xml:space="preserve">, Reino de Arabia Saudita. Se revisaron archivos de 279 niños que presentaban ITU, menores de 5 años. Las anomalías urológicas </w:t>
      </w:r>
      <w:r w:rsidRPr="00664DAC">
        <w:rPr>
          <w:rFonts w:ascii="Times New Roman" w:hAnsi="Times New Roman" w:cs="Times New Roman"/>
          <w:sz w:val="24"/>
          <w:szCs w:val="24"/>
        </w:rPr>
        <w:lastRenderedPageBreak/>
        <w:t>se encontraron en el 28% de la población. El 21% de las personas con ITU única no presentaba anomalías y se reportaron anomalías urológicas en el 51% de aquellos con episodios recurrentes de ITU. (8)</w:t>
      </w:r>
    </w:p>
    <w:p w14:paraId="37741FA9" w14:textId="77777777" w:rsidR="000C3FFA" w:rsidRPr="00664DAC" w:rsidRDefault="000C3FFA" w:rsidP="000C3FFA">
      <w:pPr>
        <w:spacing w:after="0" w:line="360" w:lineRule="auto"/>
        <w:jc w:val="both"/>
        <w:rPr>
          <w:rFonts w:ascii="Times New Roman" w:hAnsi="Times New Roman" w:cs="Times New Roman"/>
          <w:sz w:val="24"/>
          <w:szCs w:val="24"/>
        </w:rPr>
      </w:pPr>
    </w:p>
    <w:p w14:paraId="7CEF5E79"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Hinojosa en el 2016, identifico los factores de riesgo para infección del tracto urinario recurrente en el servicio de Pediatría del Centro Médico Naval. Se estudió a 60 pacientes pediátricos que acudieron al Centro Médico Naval entre el 2010 al 2016, los cuales fueron divididos en 2 grupos: 20 pacientes con diagnóstico de ITU recurrente y 40 controles. De los 60 pacientes que conformaron la muestra el 33% presentó ITU recurrente. En el análisis de las variables estudiadas se encontró que el reflujo </w:t>
      </w:r>
      <w:proofErr w:type="spellStart"/>
      <w:r w:rsidRPr="00664DAC">
        <w:rPr>
          <w:rFonts w:ascii="Times New Roman" w:hAnsi="Times New Roman" w:cs="Times New Roman"/>
          <w:sz w:val="24"/>
          <w:szCs w:val="24"/>
        </w:rPr>
        <w:t>vesicoureteral</w:t>
      </w:r>
      <w:proofErr w:type="spellEnd"/>
      <w:r w:rsidRPr="00664DAC">
        <w:rPr>
          <w:rFonts w:ascii="Times New Roman" w:hAnsi="Times New Roman" w:cs="Times New Roman"/>
          <w:sz w:val="24"/>
          <w:szCs w:val="24"/>
        </w:rPr>
        <w:t xml:space="preserve"> (RVU), malformación renal y de vía urinaria, sexo femenino y la edad de 6 meses a 5 años aumentaron el riesgo de desarrollar ITU recurrente. Se comportaron como factores de riesgo para ITU recurrente el RVU, la presencia de malformación renal y de vía urinaria, el sexo femenino y la edad entre 6 meses a 5 años. (10)</w:t>
      </w:r>
    </w:p>
    <w:p w14:paraId="06083E1F" w14:textId="77777777" w:rsidR="000C3FFA" w:rsidRPr="00664DAC" w:rsidRDefault="000C3FFA" w:rsidP="000C3FFA">
      <w:pPr>
        <w:spacing w:after="0" w:line="360" w:lineRule="auto"/>
        <w:jc w:val="both"/>
        <w:rPr>
          <w:rFonts w:ascii="Times New Roman" w:hAnsi="Times New Roman" w:cs="Times New Roman"/>
          <w:sz w:val="24"/>
          <w:szCs w:val="24"/>
        </w:rPr>
      </w:pPr>
    </w:p>
    <w:p w14:paraId="0543EFFA" w14:textId="77777777" w:rsidR="000C3FFA" w:rsidRPr="00664DAC" w:rsidRDefault="000C3FFA" w:rsidP="000C3FFA">
      <w:pPr>
        <w:spacing w:after="0" w:line="360" w:lineRule="auto"/>
        <w:jc w:val="both"/>
        <w:rPr>
          <w:sz w:val="24"/>
          <w:szCs w:val="24"/>
        </w:rPr>
      </w:pPr>
      <w:bookmarkStart w:id="0" w:name="_Hlk196480749"/>
      <w:proofErr w:type="spellStart"/>
      <w:r w:rsidRPr="00664DAC">
        <w:rPr>
          <w:rFonts w:ascii="Times New Roman" w:hAnsi="Times New Roman" w:cs="Times New Roman"/>
          <w:sz w:val="24"/>
          <w:szCs w:val="24"/>
        </w:rPr>
        <w:t>Boaz</w:t>
      </w:r>
      <w:proofErr w:type="spellEnd"/>
      <w:r w:rsidRPr="00664DAC">
        <w:rPr>
          <w:rFonts w:ascii="Times New Roman" w:hAnsi="Times New Roman" w:cs="Times New Roman"/>
          <w:sz w:val="24"/>
          <w:szCs w:val="24"/>
        </w:rPr>
        <w:t xml:space="preserve"> et al. En </w:t>
      </w:r>
      <w:bookmarkEnd w:id="0"/>
      <w:r w:rsidRPr="00664DAC">
        <w:rPr>
          <w:rFonts w:ascii="Times New Roman" w:hAnsi="Times New Roman" w:cs="Times New Roman"/>
          <w:sz w:val="24"/>
          <w:szCs w:val="24"/>
        </w:rPr>
        <w:t>el año 2017, en su estudio Infección del tracto urinario en niños, destaca que las IVU ocurren con más frecuencia en los primeros 2 años de vida, el primer pico se da en el primer año de vida, y el segundo ocurre entre las edades de 2 a 4 años durante el entrenamiento para ir al baño. Después de los 6 años, las infecciones del tracto urinario son infrecuente. (5)</w:t>
      </w:r>
    </w:p>
    <w:p w14:paraId="1A59EC97" w14:textId="77777777" w:rsidR="000C3FFA" w:rsidRPr="00664DAC" w:rsidRDefault="000C3FFA" w:rsidP="000C3FFA">
      <w:pPr>
        <w:spacing w:after="0" w:line="360" w:lineRule="auto"/>
        <w:jc w:val="both"/>
        <w:rPr>
          <w:rFonts w:ascii="Times New Roman" w:hAnsi="Times New Roman" w:cs="Times New Roman"/>
          <w:sz w:val="24"/>
          <w:szCs w:val="24"/>
        </w:rPr>
      </w:pPr>
    </w:p>
    <w:p w14:paraId="06D61B20"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Ortiz en el año 2018, presento tesis sobre IVU en el niño menor de 5 años, encontrando que las IVU fueron </w:t>
      </w:r>
      <w:proofErr w:type="spellStart"/>
      <w:r w:rsidRPr="00664DAC">
        <w:rPr>
          <w:rFonts w:ascii="Times New Roman" w:hAnsi="Times New Roman" w:cs="Times New Roman"/>
          <w:sz w:val="24"/>
          <w:szCs w:val="24"/>
        </w:rPr>
        <w:t>mas</w:t>
      </w:r>
      <w:proofErr w:type="spellEnd"/>
      <w:r w:rsidRPr="00664DAC">
        <w:rPr>
          <w:rFonts w:ascii="Times New Roman" w:hAnsi="Times New Roman" w:cs="Times New Roman"/>
          <w:sz w:val="24"/>
          <w:szCs w:val="24"/>
        </w:rPr>
        <w:t xml:space="preserve"> frecuentes en el sexo femenino en un 43%, el 47% fueron en el grupo de 1 año de edad, la ITU que con mayor frecuencia se diagnostica es la Cistitis Aguda con un 61%, en los urocultivos la bacteria aislada con mayor frecuencia fue la E. Colli en 84%, el </w:t>
      </w:r>
      <w:proofErr w:type="spellStart"/>
      <w:r w:rsidRPr="00664DAC">
        <w:rPr>
          <w:rFonts w:ascii="Times New Roman" w:hAnsi="Times New Roman" w:cs="Times New Roman"/>
          <w:sz w:val="24"/>
          <w:szCs w:val="24"/>
        </w:rPr>
        <w:t>Trimetroprim</w:t>
      </w:r>
      <w:proofErr w:type="spellEnd"/>
      <w:r w:rsidRPr="00664DAC">
        <w:rPr>
          <w:rFonts w:ascii="Times New Roman" w:hAnsi="Times New Roman" w:cs="Times New Roman"/>
          <w:sz w:val="24"/>
          <w:szCs w:val="24"/>
        </w:rPr>
        <w:t xml:space="preserve"> con Sulfametoxazol es el fármaco más utilizado (27%), el 3% de los pacientes presentaron alguna complicación y el 64% se curaron, el 36.1% recayó más de una ocasión, los factores de riesgo más frecuentes fueron: estreñimiento, higiene inadecuada y las malformaciones urinarias son factores de riesgo y acudir a guardería presenta una probabilidad de 1.8 veces de presentar cuadros de IVU. (17)</w:t>
      </w:r>
    </w:p>
    <w:p w14:paraId="5EDB4BED" w14:textId="77777777" w:rsidR="000C3FFA" w:rsidRPr="00664DAC" w:rsidRDefault="000C3FFA" w:rsidP="000C3FFA">
      <w:pPr>
        <w:spacing w:after="0" w:line="360" w:lineRule="auto"/>
        <w:jc w:val="both"/>
        <w:rPr>
          <w:rFonts w:ascii="Times New Roman" w:hAnsi="Times New Roman" w:cs="Times New Roman"/>
          <w:sz w:val="24"/>
          <w:szCs w:val="24"/>
        </w:rPr>
      </w:pPr>
    </w:p>
    <w:p w14:paraId="1DFCB0DF"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Troche et al. 2018, en su revisión titulada “Infección urinaria: un problema frecuente en Pediatría, detalla que los factores de riesgo para la IVU son la oliguria, fiebre recurrente, malformación </w:t>
      </w:r>
      <w:r w:rsidRPr="00664DAC">
        <w:rPr>
          <w:rFonts w:ascii="Times New Roman" w:hAnsi="Times New Roman" w:cs="Times New Roman"/>
          <w:sz w:val="24"/>
          <w:szCs w:val="24"/>
        </w:rPr>
        <w:lastRenderedPageBreak/>
        <w:t>urinaria, historia familiar de reflujo vésicouretral o enfermedad renal, constipación, disfunción miccional, vejiga aumentada de tamaño, masas abdominales, déficit de crecimiento, hipertensión arterial, falta de adherencia al tratamiento y el sexo masculino en menores de 6 meses de edad. (22)</w:t>
      </w:r>
    </w:p>
    <w:p w14:paraId="021A1276" w14:textId="77777777" w:rsidR="000C3FFA" w:rsidRPr="00664DAC" w:rsidRDefault="000C3FFA" w:rsidP="000C3FFA">
      <w:pPr>
        <w:spacing w:after="0" w:line="360" w:lineRule="auto"/>
        <w:jc w:val="both"/>
        <w:rPr>
          <w:rFonts w:ascii="Times New Roman" w:hAnsi="Times New Roman" w:cs="Times New Roman"/>
          <w:sz w:val="24"/>
          <w:szCs w:val="24"/>
        </w:rPr>
      </w:pPr>
    </w:p>
    <w:p w14:paraId="3D42FC3A"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Piñeiro et al. 2019 en su estudio “Recomendaciones sobre el diagnóstico y tratamiento de la infección urinaria” refiere que la IVU es una patología frecuente en niños que se presentan mayormente en lactantes menores de 3 meses, la edad y el sexo son factores determinantes en la incidencia siendo más frecuente en varones menores de 6 meses y en mujeres a partir del año de vida. (18)</w:t>
      </w:r>
    </w:p>
    <w:p w14:paraId="4DD3223A" w14:textId="77777777" w:rsidR="000C3FFA" w:rsidRPr="00664DAC" w:rsidRDefault="000C3FFA" w:rsidP="000C3FFA">
      <w:pPr>
        <w:spacing w:after="0" w:line="360" w:lineRule="auto"/>
        <w:jc w:val="both"/>
        <w:rPr>
          <w:rFonts w:ascii="Times New Roman" w:hAnsi="Times New Roman" w:cs="Times New Roman"/>
          <w:sz w:val="24"/>
          <w:szCs w:val="24"/>
        </w:rPr>
      </w:pPr>
    </w:p>
    <w:p w14:paraId="37D4DDCB"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Montes 2019 en su investigación “Factores de riesgo de infección del tracto urinario en lactantes. Hospital Pediátrico General Milanés”, describe que los principales factores de riesgo que predisponen a los niños son la inmunodeficiencia, desnutrición y las malformaciones o alteraciones estructurales a nivel urogenital, pero también tienen influencia las técnicas de aseo y uso de pañales. (14)</w:t>
      </w:r>
    </w:p>
    <w:p w14:paraId="7C4D7C99" w14:textId="77777777" w:rsidR="000C3FFA" w:rsidRPr="00664DAC" w:rsidRDefault="000C3FFA" w:rsidP="000C3FFA">
      <w:pPr>
        <w:spacing w:after="0" w:line="360" w:lineRule="auto"/>
        <w:jc w:val="both"/>
        <w:rPr>
          <w:rFonts w:ascii="Times New Roman" w:hAnsi="Times New Roman" w:cs="Times New Roman"/>
          <w:sz w:val="24"/>
          <w:szCs w:val="24"/>
        </w:rPr>
      </w:pPr>
    </w:p>
    <w:p w14:paraId="43B20134" w14:textId="77777777" w:rsidR="000C3FFA" w:rsidRPr="00664DAC" w:rsidRDefault="000C3FFA" w:rsidP="000C3FFA">
      <w:pPr>
        <w:spacing w:after="0" w:line="360" w:lineRule="auto"/>
        <w:jc w:val="both"/>
        <w:rPr>
          <w:sz w:val="24"/>
          <w:szCs w:val="24"/>
        </w:rPr>
      </w:pPr>
      <w:proofErr w:type="spellStart"/>
      <w:r w:rsidRPr="00664DAC">
        <w:rPr>
          <w:rFonts w:ascii="Times New Roman" w:hAnsi="Times New Roman" w:cs="Times New Roman"/>
          <w:sz w:val="24"/>
          <w:szCs w:val="24"/>
        </w:rPr>
        <w:t>Latacela</w:t>
      </w:r>
      <w:proofErr w:type="spellEnd"/>
      <w:r w:rsidRPr="00664DAC">
        <w:rPr>
          <w:rFonts w:ascii="Times New Roman" w:hAnsi="Times New Roman" w:cs="Times New Roman"/>
          <w:sz w:val="24"/>
          <w:szCs w:val="24"/>
        </w:rPr>
        <w:t xml:space="preserve"> Julia, en año 2020, presento su estudio “Factores de riesgo asociados a Infecciones de Vías Urinarias en población infantil”, trabajo para la obtención del título de Licenciada en Enfermería, en Cuenca Ecuador, encontrando que los principales factores de riesgo para la infección del tracto urinario está el género femenino, menores de 6 años, en episodios infrecuentes se relaciona con la </w:t>
      </w:r>
      <w:proofErr w:type="spellStart"/>
      <w:r w:rsidRPr="00664DAC">
        <w:rPr>
          <w:rFonts w:ascii="Times New Roman" w:hAnsi="Times New Roman" w:cs="Times New Roman"/>
          <w:sz w:val="24"/>
          <w:szCs w:val="24"/>
        </w:rPr>
        <w:t>Escherichia</w:t>
      </w:r>
      <w:proofErr w:type="spellEnd"/>
      <w:r w:rsidRPr="00664DAC">
        <w:rPr>
          <w:rFonts w:ascii="Times New Roman" w:hAnsi="Times New Roman" w:cs="Times New Roman"/>
          <w:sz w:val="24"/>
          <w:szCs w:val="24"/>
        </w:rPr>
        <w:t xml:space="preserve"> </w:t>
      </w:r>
      <w:proofErr w:type="spellStart"/>
      <w:r w:rsidRPr="00664DAC">
        <w:rPr>
          <w:rFonts w:ascii="Times New Roman" w:hAnsi="Times New Roman" w:cs="Times New Roman"/>
          <w:sz w:val="24"/>
          <w:szCs w:val="24"/>
        </w:rPr>
        <w:t>coli</w:t>
      </w:r>
      <w:proofErr w:type="spellEnd"/>
      <w:r w:rsidRPr="00664DAC">
        <w:rPr>
          <w:rFonts w:ascii="Times New Roman" w:hAnsi="Times New Roman" w:cs="Times New Roman"/>
          <w:sz w:val="24"/>
          <w:szCs w:val="24"/>
        </w:rPr>
        <w:t xml:space="preserve">, mientras que las infecciones recurrentes y la bacteriuria asintomática suelen ser el resultado de malformaciones del tracto urinario, alteraciones de la vejiga o malformaciones </w:t>
      </w:r>
      <w:proofErr w:type="spellStart"/>
      <w:r w:rsidRPr="00664DAC">
        <w:rPr>
          <w:rFonts w:ascii="Times New Roman" w:hAnsi="Times New Roman" w:cs="Times New Roman"/>
          <w:sz w:val="24"/>
          <w:szCs w:val="24"/>
        </w:rPr>
        <w:t>nefrourológicas</w:t>
      </w:r>
      <w:proofErr w:type="spellEnd"/>
      <w:r w:rsidRPr="00664DAC">
        <w:rPr>
          <w:rFonts w:ascii="Times New Roman" w:hAnsi="Times New Roman" w:cs="Times New Roman"/>
          <w:sz w:val="24"/>
          <w:szCs w:val="24"/>
        </w:rPr>
        <w:t>. (11)</w:t>
      </w:r>
    </w:p>
    <w:p w14:paraId="1EE4F90A" w14:textId="77777777" w:rsidR="000C3FFA" w:rsidRPr="00664DAC" w:rsidRDefault="000C3FFA" w:rsidP="000C3FFA">
      <w:pPr>
        <w:spacing w:after="0" w:line="360" w:lineRule="auto"/>
        <w:jc w:val="both"/>
        <w:rPr>
          <w:rFonts w:ascii="Times New Roman" w:hAnsi="Times New Roman" w:cs="Times New Roman"/>
          <w:sz w:val="24"/>
          <w:szCs w:val="24"/>
        </w:rPr>
      </w:pPr>
    </w:p>
    <w:p w14:paraId="5132C39B" w14:textId="77777777"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En el 2021, en Cuenca, Ecuador, Arias et al, realizaron un estudio transversal analítico, el universo lo constituyó los niños hospitalizados en pediatría de 0 -5 años del Hospital ¨José Carrasco Arteaga¨ de Cuenca-Ecuador, la muestra fue de 147 casos, la prevalencia de IVU fue 11%, se presentaron como factores protectores edad &lt; 1 año y el sexo masculino. Los factores de riesgo fueron el nivel socioeconómico medio-bajo, balanitis, fimosis, sinequias, el antecedente de infección del tracto urinario, y estreñimiento. La hidronefrosis fue el hallazgo ecográfico más frecuente. (3)</w:t>
      </w:r>
    </w:p>
    <w:p w14:paraId="2386FC62" w14:textId="77777777" w:rsidR="000C3FFA" w:rsidRPr="00664DAC" w:rsidRDefault="000C3FFA" w:rsidP="000C3FFA">
      <w:pPr>
        <w:spacing w:after="0" w:line="360" w:lineRule="auto"/>
        <w:jc w:val="both"/>
        <w:rPr>
          <w:rFonts w:ascii="Times New Roman" w:hAnsi="Times New Roman" w:cs="Times New Roman"/>
          <w:sz w:val="24"/>
          <w:szCs w:val="24"/>
        </w:rPr>
      </w:pPr>
    </w:p>
    <w:p w14:paraId="4D781077" w14:textId="36110EEF" w:rsidR="007C72E1" w:rsidRDefault="007C72E1" w:rsidP="000C3FFA">
      <w:pPr>
        <w:spacing w:after="0" w:line="360" w:lineRule="auto"/>
        <w:jc w:val="both"/>
        <w:rPr>
          <w:rFonts w:ascii="Times New Roman" w:hAnsi="Times New Roman" w:cs="Times New Roman"/>
          <w:sz w:val="24"/>
          <w:szCs w:val="24"/>
        </w:rPr>
      </w:pPr>
      <w:r w:rsidRPr="007C72E1">
        <w:rPr>
          <w:rFonts w:ascii="Times New Roman" w:hAnsi="Times New Roman" w:cs="Times New Roman"/>
          <w:sz w:val="24"/>
          <w:szCs w:val="24"/>
        </w:rPr>
        <w:lastRenderedPageBreak/>
        <w:t xml:space="preserve">En el año 2021 Jarvis </w:t>
      </w:r>
      <w:proofErr w:type="spellStart"/>
      <w:r w:rsidRPr="007C72E1">
        <w:rPr>
          <w:rFonts w:ascii="Times New Roman" w:hAnsi="Times New Roman" w:cs="Times New Roman"/>
          <w:sz w:val="24"/>
          <w:szCs w:val="24"/>
        </w:rPr>
        <w:t>Raraz</w:t>
      </w:r>
      <w:proofErr w:type="spellEnd"/>
      <w:r w:rsidRPr="007C72E1">
        <w:rPr>
          <w:rFonts w:ascii="Times New Roman" w:hAnsi="Times New Roman" w:cs="Times New Roman"/>
          <w:sz w:val="24"/>
          <w:szCs w:val="24"/>
        </w:rPr>
        <w:t xml:space="preserve"> y Col. realizo estudio sobre Resistencia antibiótica de </w:t>
      </w:r>
      <w:proofErr w:type="spellStart"/>
      <w:r w:rsidRPr="007C72E1">
        <w:rPr>
          <w:rFonts w:ascii="Times New Roman" w:hAnsi="Times New Roman" w:cs="Times New Roman"/>
          <w:sz w:val="24"/>
          <w:szCs w:val="24"/>
        </w:rPr>
        <w:t>Escherichia</w:t>
      </w:r>
      <w:proofErr w:type="spellEnd"/>
      <w:r w:rsidRPr="007C72E1">
        <w:rPr>
          <w:rFonts w:ascii="Times New Roman" w:hAnsi="Times New Roman" w:cs="Times New Roman"/>
          <w:sz w:val="24"/>
          <w:szCs w:val="24"/>
        </w:rPr>
        <w:t xml:space="preserve"> </w:t>
      </w:r>
      <w:proofErr w:type="spellStart"/>
      <w:r w:rsidRPr="007C72E1">
        <w:rPr>
          <w:rFonts w:ascii="Times New Roman" w:hAnsi="Times New Roman" w:cs="Times New Roman"/>
          <w:sz w:val="24"/>
          <w:szCs w:val="24"/>
        </w:rPr>
        <w:t>coli</w:t>
      </w:r>
      <w:proofErr w:type="spellEnd"/>
      <w:r w:rsidRPr="007C72E1">
        <w:rPr>
          <w:rFonts w:ascii="Times New Roman" w:hAnsi="Times New Roman" w:cs="Times New Roman"/>
          <w:sz w:val="24"/>
          <w:szCs w:val="24"/>
        </w:rPr>
        <w:t xml:space="preserve"> y </w:t>
      </w:r>
      <w:proofErr w:type="spellStart"/>
      <w:r w:rsidRPr="007C72E1">
        <w:rPr>
          <w:rFonts w:ascii="Times New Roman" w:hAnsi="Times New Roman" w:cs="Times New Roman"/>
          <w:sz w:val="24"/>
          <w:szCs w:val="24"/>
        </w:rPr>
        <w:t>Staphylococcus</w:t>
      </w:r>
      <w:proofErr w:type="spellEnd"/>
      <w:r w:rsidRPr="007C72E1">
        <w:rPr>
          <w:rFonts w:ascii="Times New Roman" w:hAnsi="Times New Roman" w:cs="Times New Roman"/>
          <w:sz w:val="24"/>
          <w:szCs w:val="24"/>
        </w:rPr>
        <w:t xml:space="preserve"> </w:t>
      </w:r>
      <w:proofErr w:type="spellStart"/>
      <w:r w:rsidRPr="007C72E1">
        <w:rPr>
          <w:rFonts w:ascii="Times New Roman" w:hAnsi="Times New Roman" w:cs="Times New Roman"/>
          <w:sz w:val="24"/>
          <w:szCs w:val="24"/>
        </w:rPr>
        <w:t>saprophyticusen</w:t>
      </w:r>
      <w:proofErr w:type="spellEnd"/>
      <w:r w:rsidRPr="007C72E1">
        <w:rPr>
          <w:rFonts w:ascii="Times New Roman" w:hAnsi="Times New Roman" w:cs="Times New Roman"/>
          <w:sz w:val="24"/>
          <w:szCs w:val="24"/>
        </w:rPr>
        <w:t xml:space="preserve"> la infección urinaria. Estudio descriptivo, retrospectivo de corte transversal, en el servicio de Medicina Interna del Hospital Municipal los Olivos (HMLO) en Perú, encontrando que los agentes microbianos más frecuentes fueron: la </w:t>
      </w:r>
      <w:proofErr w:type="spellStart"/>
      <w:r w:rsidRPr="007C72E1">
        <w:rPr>
          <w:rFonts w:ascii="Times New Roman" w:hAnsi="Times New Roman" w:cs="Times New Roman"/>
          <w:sz w:val="24"/>
          <w:szCs w:val="24"/>
        </w:rPr>
        <w:t>Escherichia</w:t>
      </w:r>
      <w:proofErr w:type="spellEnd"/>
      <w:r w:rsidRPr="007C72E1">
        <w:rPr>
          <w:rFonts w:ascii="Times New Roman" w:hAnsi="Times New Roman" w:cs="Times New Roman"/>
          <w:sz w:val="24"/>
          <w:szCs w:val="24"/>
        </w:rPr>
        <w:t xml:space="preserve"> </w:t>
      </w:r>
      <w:proofErr w:type="spellStart"/>
      <w:r w:rsidRPr="007C72E1">
        <w:rPr>
          <w:rFonts w:ascii="Times New Roman" w:hAnsi="Times New Roman" w:cs="Times New Roman"/>
          <w:sz w:val="24"/>
          <w:szCs w:val="24"/>
        </w:rPr>
        <w:t>colli</w:t>
      </w:r>
      <w:proofErr w:type="spellEnd"/>
      <w:r w:rsidRPr="007C72E1">
        <w:rPr>
          <w:rFonts w:ascii="Times New Roman" w:hAnsi="Times New Roman" w:cs="Times New Roman"/>
          <w:sz w:val="24"/>
          <w:szCs w:val="24"/>
        </w:rPr>
        <w:t xml:space="preserve"> con 85,3%, </w:t>
      </w:r>
      <w:proofErr w:type="spellStart"/>
      <w:r w:rsidRPr="007C72E1">
        <w:rPr>
          <w:rFonts w:ascii="Times New Roman" w:hAnsi="Times New Roman" w:cs="Times New Roman"/>
          <w:sz w:val="24"/>
          <w:szCs w:val="24"/>
        </w:rPr>
        <w:t>Staphylococcus</w:t>
      </w:r>
      <w:proofErr w:type="spellEnd"/>
      <w:r w:rsidRPr="007C72E1">
        <w:rPr>
          <w:rFonts w:ascii="Times New Roman" w:hAnsi="Times New Roman" w:cs="Times New Roman"/>
          <w:sz w:val="24"/>
          <w:szCs w:val="24"/>
        </w:rPr>
        <w:t xml:space="preserve"> saprophyticus 4.2% y </w:t>
      </w:r>
      <w:proofErr w:type="spellStart"/>
      <w:r w:rsidRPr="007C72E1">
        <w:rPr>
          <w:rFonts w:ascii="Times New Roman" w:hAnsi="Times New Roman" w:cs="Times New Roman"/>
          <w:sz w:val="24"/>
          <w:szCs w:val="24"/>
        </w:rPr>
        <w:t>Klebsiella</w:t>
      </w:r>
      <w:proofErr w:type="spellEnd"/>
      <w:r w:rsidRPr="007C72E1">
        <w:rPr>
          <w:rFonts w:ascii="Times New Roman" w:hAnsi="Times New Roman" w:cs="Times New Roman"/>
          <w:sz w:val="24"/>
          <w:szCs w:val="24"/>
        </w:rPr>
        <w:t xml:space="preserve"> </w:t>
      </w:r>
      <w:proofErr w:type="spellStart"/>
      <w:r w:rsidRPr="007C72E1">
        <w:rPr>
          <w:rFonts w:ascii="Times New Roman" w:hAnsi="Times New Roman" w:cs="Times New Roman"/>
          <w:sz w:val="24"/>
          <w:szCs w:val="24"/>
        </w:rPr>
        <w:t>pneumoniae</w:t>
      </w:r>
      <w:proofErr w:type="spellEnd"/>
      <w:r w:rsidRPr="007C72E1">
        <w:rPr>
          <w:rFonts w:ascii="Times New Roman" w:hAnsi="Times New Roman" w:cs="Times New Roman"/>
          <w:sz w:val="24"/>
          <w:szCs w:val="24"/>
        </w:rPr>
        <w:t xml:space="preserve"> 3,1%. Los antibióticos más resistentes fueron: </w:t>
      </w:r>
      <w:proofErr w:type="spellStart"/>
      <w:r w:rsidRPr="007C72E1">
        <w:rPr>
          <w:rFonts w:ascii="Times New Roman" w:hAnsi="Times New Roman" w:cs="Times New Roman"/>
          <w:sz w:val="24"/>
          <w:szCs w:val="24"/>
        </w:rPr>
        <w:t>trimetoprim</w:t>
      </w:r>
      <w:proofErr w:type="spellEnd"/>
      <w:r w:rsidRPr="007C72E1">
        <w:rPr>
          <w:rFonts w:ascii="Times New Roman" w:hAnsi="Times New Roman" w:cs="Times New Roman"/>
          <w:sz w:val="24"/>
          <w:szCs w:val="24"/>
        </w:rPr>
        <w:t>/sulfametoxazol 89,6%, ampicilina 86%, piperacilina 84,6%, tetraciclina 79,2% y ciprofloxacino</w:t>
      </w:r>
      <w:r w:rsidR="00B5077F">
        <w:rPr>
          <w:rFonts w:ascii="Times New Roman" w:hAnsi="Times New Roman" w:cs="Times New Roman"/>
          <w:sz w:val="24"/>
          <w:szCs w:val="24"/>
        </w:rPr>
        <w:t xml:space="preserve"> </w:t>
      </w:r>
      <w:r w:rsidRPr="007C72E1">
        <w:rPr>
          <w:rFonts w:ascii="Times New Roman" w:hAnsi="Times New Roman" w:cs="Times New Roman"/>
          <w:sz w:val="24"/>
          <w:szCs w:val="24"/>
        </w:rPr>
        <w:t xml:space="preserve">70,8%. Los antibióticos más sensibles fueron: amikacina 100%, </w:t>
      </w:r>
      <w:proofErr w:type="spellStart"/>
      <w:r w:rsidRPr="007C72E1">
        <w:rPr>
          <w:rFonts w:ascii="Times New Roman" w:hAnsi="Times New Roman" w:cs="Times New Roman"/>
          <w:sz w:val="24"/>
          <w:szCs w:val="24"/>
        </w:rPr>
        <w:t>imipenem</w:t>
      </w:r>
      <w:proofErr w:type="spellEnd"/>
      <w:r w:rsidRPr="007C72E1">
        <w:rPr>
          <w:rFonts w:ascii="Times New Roman" w:hAnsi="Times New Roman" w:cs="Times New Roman"/>
          <w:sz w:val="24"/>
          <w:szCs w:val="24"/>
        </w:rPr>
        <w:t xml:space="preserve"> 100%, ertapenem98%, meropenem 96% y piperacilina/tazobactam 96%. </w:t>
      </w:r>
      <w:r w:rsidR="00B5077F">
        <w:rPr>
          <w:rFonts w:ascii="Times New Roman" w:hAnsi="Times New Roman" w:cs="Times New Roman"/>
          <w:sz w:val="24"/>
          <w:szCs w:val="24"/>
        </w:rPr>
        <w:t>(11)</w:t>
      </w:r>
    </w:p>
    <w:p w14:paraId="6BF5B3AE" w14:textId="77777777" w:rsidR="007C72E1" w:rsidRDefault="007C72E1" w:rsidP="000C3FFA">
      <w:pPr>
        <w:spacing w:after="0" w:line="360" w:lineRule="auto"/>
        <w:jc w:val="both"/>
        <w:rPr>
          <w:rFonts w:ascii="Times New Roman" w:hAnsi="Times New Roman" w:cs="Times New Roman"/>
          <w:sz w:val="24"/>
          <w:szCs w:val="24"/>
        </w:rPr>
      </w:pPr>
    </w:p>
    <w:p w14:paraId="0C8D04BC" w14:textId="121C8A63"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Cueto et al. En el 2022 En su estudio Factores asociados a Infección del Tracto Urinario en recién nacidos y lactantes hospitalizados en el Hospital Militar Central, encontró que la frecuencia de infecciones urinarias se presentó principalmente en el género femenino (52%), predominio en las edades de 28 días a 2 años. La bacteria aislada en la mayoría de los casos fue E. </w:t>
      </w:r>
      <w:proofErr w:type="spellStart"/>
      <w:r w:rsidRPr="00664DAC">
        <w:rPr>
          <w:rFonts w:ascii="Times New Roman" w:hAnsi="Times New Roman" w:cs="Times New Roman"/>
          <w:sz w:val="24"/>
          <w:szCs w:val="24"/>
        </w:rPr>
        <w:t>Coli</w:t>
      </w:r>
      <w:proofErr w:type="spellEnd"/>
      <w:r w:rsidRPr="00664DAC">
        <w:rPr>
          <w:rFonts w:ascii="Times New Roman" w:hAnsi="Times New Roman" w:cs="Times New Roman"/>
          <w:sz w:val="24"/>
          <w:szCs w:val="24"/>
        </w:rPr>
        <w:t xml:space="preserve"> (61%). Las manifestaciones clínicas más frecuentes fueron: fiebre (23%) en el grupo de 2 años y 1 día a 3 años, 27% en el grupo de 28 días a 2 años y 4.6% en el grupo de 0 a 27 días. (6)</w:t>
      </w:r>
    </w:p>
    <w:p w14:paraId="18FB5E91" w14:textId="77777777" w:rsidR="000C3FFA" w:rsidRDefault="000C3FFA" w:rsidP="000C3FFA">
      <w:pPr>
        <w:spacing w:after="0" w:line="360" w:lineRule="auto"/>
        <w:jc w:val="both"/>
        <w:rPr>
          <w:rFonts w:ascii="Times New Roman" w:hAnsi="Times New Roman" w:cs="Times New Roman"/>
        </w:rPr>
      </w:pPr>
    </w:p>
    <w:p w14:paraId="7E6791FA" w14:textId="77777777" w:rsidR="000C3FFA" w:rsidRDefault="000C3FFA" w:rsidP="000C3FF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Nacionales</w:t>
      </w:r>
    </w:p>
    <w:p w14:paraId="66581197" w14:textId="47D61EAE"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Narváez Luisa en el año 2015, presento su estudio con el objetivo de este estudio fue describir el comportamiento clínico epidemiológico de los niños con infección de vías urinarias ingresados en Medicina Pediátrica, siendo sus resultados los siguientes: predominio de las infecciones de vías urinarias en las niñas (57%), procedente del área urbana (55%) y del grupo </w:t>
      </w:r>
      <w:proofErr w:type="spellStart"/>
      <w:r w:rsidRPr="00664DAC">
        <w:rPr>
          <w:rFonts w:ascii="Times New Roman" w:hAnsi="Times New Roman" w:cs="Times New Roman"/>
          <w:sz w:val="24"/>
          <w:szCs w:val="24"/>
        </w:rPr>
        <w:t>etáreo</w:t>
      </w:r>
      <w:proofErr w:type="spellEnd"/>
      <w:r w:rsidRPr="00664DAC">
        <w:rPr>
          <w:rFonts w:ascii="Times New Roman" w:hAnsi="Times New Roman" w:cs="Times New Roman"/>
          <w:sz w:val="24"/>
          <w:szCs w:val="24"/>
        </w:rPr>
        <w:t xml:space="preserve"> de menores de 2 años (53%). Entre las manifestaciones clínicas predomino la fiebre y la irritabilidad. (1</w:t>
      </w:r>
      <w:r w:rsidR="0073645A">
        <w:rPr>
          <w:rFonts w:ascii="Times New Roman" w:hAnsi="Times New Roman" w:cs="Times New Roman"/>
          <w:sz w:val="24"/>
          <w:szCs w:val="24"/>
        </w:rPr>
        <w:t>6</w:t>
      </w:r>
      <w:r w:rsidRPr="00664DAC">
        <w:rPr>
          <w:rFonts w:ascii="Times New Roman" w:hAnsi="Times New Roman" w:cs="Times New Roman"/>
          <w:sz w:val="24"/>
          <w:szCs w:val="24"/>
        </w:rPr>
        <w:t>)</w:t>
      </w:r>
    </w:p>
    <w:p w14:paraId="5BA7ABBD" w14:textId="77777777" w:rsidR="000C3FFA" w:rsidRPr="00664DAC" w:rsidRDefault="000C3FFA" w:rsidP="000C3FFA">
      <w:pPr>
        <w:spacing w:after="0" w:line="360" w:lineRule="auto"/>
        <w:jc w:val="both"/>
        <w:rPr>
          <w:rFonts w:ascii="Times New Roman" w:hAnsi="Times New Roman" w:cs="Times New Roman"/>
          <w:sz w:val="24"/>
          <w:szCs w:val="24"/>
        </w:rPr>
      </w:pPr>
    </w:p>
    <w:p w14:paraId="4A74625A" w14:textId="1A9F02AD" w:rsidR="000C3FFA" w:rsidRPr="00664DAC" w:rsidRDefault="000C3FFA" w:rsidP="000C3FFA">
      <w:pPr>
        <w:spacing w:after="0" w:line="360" w:lineRule="auto"/>
        <w:jc w:val="both"/>
        <w:rPr>
          <w:sz w:val="24"/>
          <w:szCs w:val="24"/>
        </w:rPr>
      </w:pPr>
      <w:r w:rsidRPr="00664DAC">
        <w:rPr>
          <w:rFonts w:ascii="Times New Roman" w:hAnsi="Times New Roman" w:cs="Times New Roman"/>
          <w:sz w:val="24"/>
          <w:szCs w:val="24"/>
        </w:rPr>
        <w:t xml:space="preserve">Mayorga en el año 2019, encontró el género femenino predominante, el grupo </w:t>
      </w:r>
      <w:proofErr w:type="spellStart"/>
      <w:r w:rsidRPr="00664DAC">
        <w:rPr>
          <w:rFonts w:ascii="Times New Roman" w:hAnsi="Times New Roman" w:cs="Times New Roman"/>
          <w:sz w:val="24"/>
          <w:szCs w:val="24"/>
        </w:rPr>
        <w:t>etareo</w:t>
      </w:r>
      <w:proofErr w:type="spellEnd"/>
      <w:r w:rsidRPr="00664DAC">
        <w:rPr>
          <w:rFonts w:ascii="Times New Roman" w:hAnsi="Times New Roman" w:cs="Times New Roman"/>
          <w:sz w:val="24"/>
          <w:szCs w:val="24"/>
        </w:rPr>
        <w:t xml:space="preserve"> que más se presento fue 19 a 24 meses seguido de 1 a 6 meses. La mayoría de los pacientes representados por el género femenino presentaron mala higiene como factor de riesgo predisponente para infección del tracto urinario, más de la mitad de los pacientes tuvieron una biometría hemática completa con reporte de leucocitos mayor de 10,000 x mm3 fueron lo que presentaron fiebre El grupo etario 1 a 6 meses predominó con mayor estancia intrahospitalaria. (1</w:t>
      </w:r>
      <w:r w:rsidR="0073645A">
        <w:rPr>
          <w:rFonts w:ascii="Times New Roman" w:hAnsi="Times New Roman" w:cs="Times New Roman"/>
          <w:sz w:val="24"/>
          <w:szCs w:val="24"/>
        </w:rPr>
        <w:t>4</w:t>
      </w:r>
      <w:r w:rsidRPr="00664DAC">
        <w:rPr>
          <w:rFonts w:ascii="Times New Roman" w:hAnsi="Times New Roman" w:cs="Times New Roman"/>
          <w:sz w:val="24"/>
          <w:szCs w:val="24"/>
        </w:rPr>
        <w:t>)</w:t>
      </w:r>
    </w:p>
    <w:p w14:paraId="6DEDF7BA" w14:textId="77777777" w:rsidR="000C3FFA" w:rsidRPr="00664DAC" w:rsidRDefault="000C3FFA" w:rsidP="000C3FFA">
      <w:pPr>
        <w:spacing w:after="0" w:line="360" w:lineRule="auto"/>
        <w:jc w:val="both"/>
        <w:rPr>
          <w:rFonts w:ascii="Times New Roman" w:hAnsi="Times New Roman" w:cs="Times New Roman"/>
          <w:sz w:val="24"/>
          <w:szCs w:val="24"/>
        </w:rPr>
      </w:pPr>
    </w:p>
    <w:p w14:paraId="5D457D06"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lastRenderedPageBreak/>
        <w:t xml:space="preserve">Estudio realizado por Benavides </w:t>
      </w:r>
      <w:proofErr w:type="spellStart"/>
      <w:r w:rsidRPr="00664DAC">
        <w:rPr>
          <w:rFonts w:ascii="Times New Roman" w:hAnsi="Times New Roman" w:cs="Times New Roman"/>
          <w:sz w:val="24"/>
          <w:szCs w:val="24"/>
        </w:rPr>
        <w:t>Geysel</w:t>
      </w:r>
      <w:proofErr w:type="spellEnd"/>
      <w:r w:rsidRPr="00664DAC">
        <w:rPr>
          <w:rFonts w:ascii="Times New Roman" w:hAnsi="Times New Roman" w:cs="Times New Roman"/>
          <w:sz w:val="24"/>
          <w:szCs w:val="24"/>
        </w:rPr>
        <w:t xml:space="preserve"> en el año 2022, sobre el comportamiento clínico y epidemiológico de las infecciones de vías urinarias en niños de 1 mes a 5 años, con una muestra de 120 pacientes, obtuvo los siguientes resultados: predomino el grupo de 1 a 2 años (43.3%), el sexo femenino (76.7%) y la procedencia rural (65%). El síntoma de la enfermedad que predominó fue la fiebre (52%) y la disuria (32%). Un 12% tuvo una hospitalización anterior, la lactancia exclusiva fue una condición previa protectora en los pacientes. La clasificación alta fue la que predominó (76%) y el 90% no tuvo complicaciones. La estancia hospitalaria predominante fue el rango de 4 a 7 días (49%), con respecto a las comorbilidades en un 69% de pacientes no tenían condiciones de riesgo. La leucocitosis (92.5%) y la leucocituria (90%) son los hallazgos más predominantes. El 25% de pacientes predomino el ultrasonido normal. La </w:t>
      </w:r>
      <w:proofErr w:type="spellStart"/>
      <w:r w:rsidRPr="00664DAC">
        <w:rPr>
          <w:rFonts w:ascii="Times New Roman" w:hAnsi="Times New Roman" w:cs="Times New Roman"/>
          <w:sz w:val="24"/>
          <w:szCs w:val="24"/>
        </w:rPr>
        <w:t>Escherichia</w:t>
      </w:r>
      <w:proofErr w:type="spellEnd"/>
      <w:r w:rsidRPr="00664DAC">
        <w:rPr>
          <w:rFonts w:ascii="Times New Roman" w:hAnsi="Times New Roman" w:cs="Times New Roman"/>
          <w:sz w:val="24"/>
          <w:szCs w:val="24"/>
        </w:rPr>
        <w:t xml:space="preserve"> </w:t>
      </w:r>
      <w:proofErr w:type="spellStart"/>
      <w:r w:rsidRPr="00664DAC">
        <w:rPr>
          <w:rFonts w:ascii="Times New Roman" w:hAnsi="Times New Roman" w:cs="Times New Roman"/>
          <w:sz w:val="24"/>
          <w:szCs w:val="24"/>
        </w:rPr>
        <w:t>coli</w:t>
      </w:r>
      <w:proofErr w:type="spellEnd"/>
      <w:r w:rsidRPr="00664DAC">
        <w:rPr>
          <w:rFonts w:ascii="Times New Roman" w:hAnsi="Times New Roman" w:cs="Times New Roman"/>
          <w:sz w:val="24"/>
          <w:szCs w:val="24"/>
        </w:rPr>
        <w:t xml:space="preserve"> (39%) es el uropatógenos predominante en las infecciones, con una sensibilidad mayor al 80% en la mayoría de los antibióticos estudiados. (4)</w:t>
      </w:r>
    </w:p>
    <w:p w14:paraId="5DFE0640" w14:textId="77777777" w:rsidR="000C3FFA" w:rsidRPr="00664DAC" w:rsidRDefault="000C3FFA" w:rsidP="000C3FFA">
      <w:pPr>
        <w:spacing w:after="0" w:line="360" w:lineRule="auto"/>
        <w:jc w:val="both"/>
        <w:rPr>
          <w:rFonts w:ascii="Times New Roman" w:hAnsi="Times New Roman" w:cs="Times New Roman"/>
          <w:sz w:val="24"/>
          <w:szCs w:val="24"/>
        </w:rPr>
      </w:pPr>
    </w:p>
    <w:p w14:paraId="1848623F" w14:textId="2BEDBEF7" w:rsidR="000C3FFA" w:rsidRDefault="000C3FFA">
      <w:pPr>
        <w:spacing w:after="0" w:line="240" w:lineRule="auto"/>
        <w:rPr>
          <w:rFonts w:ascii="Times New Roman" w:hAnsi="Times New Roman" w:cs="Times New Roman"/>
        </w:rPr>
      </w:pPr>
      <w:r>
        <w:rPr>
          <w:rFonts w:ascii="Times New Roman" w:hAnsi="Times New Roman" w:cs="Times New Roman"/>
        </w:rPr>
        <w:br w:type="page"/>
      </w:r>
    </w:p>
    <w:p w14:paraId="239FFC05" w14:textId="1F07D773" w:rsidR="000C3FFA" w:rsidRDefault="000C3FFA" w:rsidP="000C3FFA">
      <w:pPr>
        <w:spacing w:after="0" w:line="360" w:lineRule="auto"/>
        <w:jc w:val="center"/>
      </w:pPr>
      <w:r>
        <w:rPr>
          <w:rFonts w:ascii="Times New Roman" w:hAnsi="Times New Roman" w:cs="Times New Roman"/>
          <w:b/>
          <w:bCs/>
          <w:sz w:val="28"/>
          <w:szCs w:val="28"/>
        </w:rPr>
        <w:lastRenderedPageBreak/>
        <w:t>III.- Justificación</w:t>
      </w:r>
    </w:p>
    <w:p w14:paraId="4B941D0A" w14:textId="77777777" w:rsidR="000C3FFA" w:rsidRPr="00664DAC" w:rsidRDefault="000C3FFA" w:rsidP="000C3FFA">
      <w:pPr>
        <w:spacing w:after="0" w:line="360" w:lineRule="auto"/>
        <w:rPr>
          <w:rFonts w:ascii="Times New Roman" w:hAnsi="Times New Roman" w:cs="Times New Roman"/>
          <w:sz w:val="24"/>
          <w:szCs w:val="24"/>
        </w:rPr>
      </w:pPr>
    </w:p>
    <w:p w14:paraId="0C2ADE94"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Las IVU se pueden presentar a cualquier edad, su frecuencia y magnitud en la niñez causan un gran malestar en el niño y en la familia, su diagnóstico oportuno y un tratamiento adecuado pueden prevenir complicaciones como la pielonefritis o sepsis de origen urinario y secuelas como cicatrices renales, hipertensión arterial y lesión renal crónica.</w:t>
      </w:r>
    </w:p>
    <w:p w14:paraId="63A9945A" w14:textId="77777777" w:rsidR="000C3FFA" w:rsidRPr="00664DAC" w:rsidRDefault="000C3FFA" w:rsidP="000C3FFA">
      <w:pPr>
        <w:spacing w:after="0" w:line="360" w:lineRule="auto"/>
        <w:jc w:val="both"/>
        <w:rPr>
          <w:rFonts w:ascii="Times New Roman" w:hAnsi="Times New Roman" w:cs="Times New Roman"/>
          <w:sz w:val="24"/>
          <w:szCs w:val="24"/>
        </w:rPr>
      </w:pPr>
    </w:p>
    <w:p w14:paraId="7BAD308F"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Con este trabajo se pretende conocer el comportamiento de las IVU en niños ingresados por esta enfermedad, su manejo y evolución con el propósito de evaluar su comportamiento por diferentes grupos </w:t>
      </w:r>
      <w:proofErr w:type="spellStart"/>
      <w:r w:rsidRPr="00664DAC">
        <w:rPr>
          <w:rFonts w:ascii="Times New Roman" w:hAnsi="Times New Roman" w:cs="Times New Roman"/>
          <w:sz w:val="24"/>
          <w:szCs w:val="24"/>
        </w:rPr>
        <w:t>etareos</w:t>
      </w:r>
      <w:proofErr w:type="spellEnd"/>
      <w:r w:rsidRPr="00664DAC">
        <w:rPr>
          <w:rFonts w:ascii="Times New Roman" w:hAnsi="Times New Roman" w:cs="Times New Roman"/>
          <w:sz w:val="24"/>
          <w:szCs w:val="24"/>
        </w:rPr>
        <w:t>, identificando aspectos que orienten a un mejor abordaje y poder contribuir a futuros manejos de esta patología.</w:t>
      </w:r>
    </w:p>
    <w:p w14:paraId="3E2CE56C" w14:textId="77777777" w:rsidR="000C3FFA" w:rsidRPr="00664DAC" w:rsidRDefault="000C3FFA" w:rsidP="000C3FFA">
      <w:pPr>
        <w:spacing w:after="0" w:line="360" w:lineRule="auto"/>
        <w:jc w:val="both"/>
        <w:rPr>
          <w:rFonts w:ascii="Times New Roman" w:hAnsi="Times New Roman" w:cs="Times New Roman"/>
          <w:sz w:val="24"/>
          <w:szCs w:val="24"/>
        </w:rPr>
      </w:pPr>
    </w:p>
    <w:p w14:paraId="5B6A234B"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La mayoría de los estudios de IVU se centran en los pacientes adultos, principalmente en la embarazada, por ser un grupo especial, pero la niñez representa un grupo vulnerable y poco estudiado, por lo que este tema será de interés para las autoridades sanitarias, ya que podrán establecer líneas estratégicas de acción en el abordaje de las IVU.</w:t>
      </w:r>
    </w:p>
    <w:p w14:paraId="11D8E3E4" w14:textId="77777777" w:rsidR="000C3FFA" w:rsidRPr="00664DAC" w:rsidRDefault="000C3FFA" w:rsidP="000C3FFA">
      <w:pPr>
        <w:spacing w:after="0" w:line="360" w:lineRule="auto"/>
        <w:jc w:val="both"/>
        <w:rPr>
          <w:rFonts w:ascii="Times New Roman" w:hAnsi="Times New Roman" w:cs="Times New Roman"/>
          <w:sz w:val="24"/>
          <w:szCs w:val="24"/>
        </w:rPr>
      </w:pPr>
    </w:p>
    <w:p w14:paraId="48AB6E08" w14:textId="77777777" w:rsidR="000C3FFA" w:rsidRPr="00664DAC" w:rsidRDefault="000C3FFA" w:rsidP="000C3FFA">
      <w:pPr>
        <w:spacing w:after="0" w:line="360" w:lineRule="auto"/>
        <w:jc w:val="both"/>
        <w:rPr>
          <w:rFonts w:ascii="Times New Roman" w:hAnsi="Times New Roman" w:cs="Times New Roman"/>
          <w:b/>
          <w:bCs/>
          <w:sz w:val="24"/>
          <w:szCs w:val="24"/>
        </w:rPr>
      </w:pPr>
      <w:r w:rsidRPr="00664DAC">
        <w:rPr>
          <w:rFonts w:ascii="Times New Roman" w:hAnsi="Times New Roman" w:cs="Times New Roman"/>
          <w:b/>
          <w:bCs/>
          <w:sz w:val="24"/>
          <w:szCs w:val="24"/>
        </w:rPr>
        <w:t>Conveniencia</w:t>
      </w:r>
    </w:p>
    <w:p w14:paraId="73A8F854"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Este estudio tiene la finalidad de contribuir al abordaje de las IVU en la población pediátrica, ya que la frecuencia de esta patología alerta a lesiones anatómicas presentes en los pacientes, manejo inadecuado que deben de corregirse para evitar consecuencias a corto y largo plazo. </w:t>
      </w:r>
    </w:p>
    <w:p w14:paraId="344B9D09" w14:textId="77777777" w:rsidR="000C3FFA" w:rsidRPr="00664DAC" w:rsidRDefault="000C3FFA" w:rsidP="000C3FFA">
      <w:pPr>
        <w:spacing w:after="0" w:line="360" w:lineRule="auto"/>
        <w:jc w:val="both"/>
        <w:rPr>
          <w:rFonts w:ascii="Times New Roman" w:hAnsi="Times New Roman" w:cs="Times New Roman"/>
          <w:sz w:val="24"/>
          <w:szCs w:val="24"/>
        </w:rPr>
      </w:pPr>
    </w:p>
    <w:p w14:paraId="53D4391C" w14:textId="77777777" w:rsidR="000C3FFA" w:rsidRPr="00664DAC" w:rsidRDefault="000C3FFA" w:rsidP="000C3FFA">
      <w:pPr>
        <w:spacing w:after="0" w:line="360" w:lineRule="auto"/>
        <w:jc w:val="both"/>
        <w:rPr>
          <w:rFonts w:ascii="Times New Roman" w:hAnsi="Times New Roman" w:cs="Times New Roman"/>
          <w:b/>
          <w:bCs/>
          <w:sz w:val="24"/>
          <w:szCs w:val="24"/>
        </w:rPr>
      </w:pPr>
      <w:r w:rsidRPr="00664DAC">
        <w:rPr>
          <w:rFonts w:ascii="Times New Roman" w:hAnsi="Times New Roman" w:cs="Times New Roman"/>
          <w:b/>
          <w:bCs/>
          <w:sz w:val="24"/>
          <w:szCs w:val="24"/>
        </w:rPr>
        <w:t>Relevancia social</w:t>
      </w:r>
    </w:p>
    <w:p w14:paraId="0F9FD505"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Los resultados serán presentados al personal médico y a las autoridades del Hospital SERMESA y otras unidades e instituciones interesadas en el tema con el objetivo de mejorar el abordaje de esta patología en las unidades de salud. </w:t>
      </w:r>
    </w:p>
    <w:p w14:paraId="01BBDF3C" w14:textId="77777777" w:rsidR="000C3FFA" w:rsidRPr="00664DAC" w:rsidRDefault="000C3FFA" w:rsidP="000C3FFA">
      <w:pPr>
        <w:spacing w:after="0" w:line="360" w:lineRule="auto"/>
        <w:jc w:val="both"/>
        <w:rPr>
          <w:rFonts w:ascii="Times New Roman" w:hAnsi="Times New Roman" w:cs="Times New Roman"/>
          <w:sz w:val="24"/>
          <w:szCs w:val="24"/>
        </w:rPr>
      </w:pPr>
    </w:p>
    <w:p w14:paraId="1F6FC00A" w14:textId="77777777" w:rsidR="000C3FFA" w:rsidRPr="00664DAC" w:rsidRDefault="000C3FFA" w:rsidP="000C3FFA">
      <w:pPr>
        <w:spacing w:after="0" w:line="360" w:lineRule="auto"/>
        <w:jc w:val="both"/>
        <w:rPr>
          <w:rFonts w:ascii="Times New Roman" w:hAnsi="Times New Roman" w:cs="Times New Roman"/>
          <w:b/>
          <w:bCs/>
          <w:sz w:val="24"/>
          <w:szCs w:val="24"/>
        </w:rPr>
      </w:pPr>
      <w:r w:rsidRPr="00664DAC">
        <w:rPr>
          <w:rFonts w:ascii="Times New Roman" w:hAnsi="Times New Roman" w:cs="Times New Roman"/>
          <w:b/>
          <w:bCs/>
          <w:sz w:val="24"/>
          <w:szCs w:val="24"/>
        </w:rPr>
        <w:t xml:space="preserve">Implicaciones practica </w:t>
      </w:r>
    </w:p>
    <w:p w14:paraId="1D26FECD"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Favorecerá el abordaje oportuno y practico de las IVU en las unidades de salud, tanto de sus causas como de sus consecuencias.</w:t>
      </w:r>
    </w:p>
    <w:p w14:paraId="7C09CDAB" w14:textId="77777777" w:rsidR="000C3FFA" w:rsidRPr="00664DAC" w:rsidRDefault="000C3FFA" w:rsidP="000C3FFA">
      <w:pPr>
        <w:spacing w:after="0" w:line="360" w:lineRule="auto"/>
        <w:jc w:val="both"/>
        <w:rPr>
          <w:rFonts w:ascii="Times New Roman" w:hAnsi="Times New Roman" w:cs="Times New Roman"/>
          <w:sz w:val="24"/>
          <w:szCs w:val="24"/>
        </w:rPr>
      </w:pPr>
    </w:p>
    <w:p w14:paraId="1F24191A" w14:textId="77777777" w:rsidR="000C3FFA" w:rsidRPr="00664DAC" w:rsidRDefault="000C3FFA" w:rsidP="000C3FFA">
      <w:pPr>
        <w:spacing w:after="0" w:line="360" w:lineRule="auto"/>
        <w:jc w:val="both"/>
        <w:rPr>
          <w:rFonts w:ascii="Times New Roman" w:hAnsi="Times New Roman" w:cs="Times New Roman"/>
          <w:b/>
          <w:bCs/>
          <w:sz w:val="24"/>
          <w:szCs w:val="24"/>
        </w:rPr>
      </w:pPr>
      <w:r w:rsidRPr="00664DAC">
        <w:rPr>
          <w:rFonts w:ascii="Times New Roman" w:hAnsi="Times New Roman" w:cs="Times New Roman"/>
          <w:b/>
          <w:bCs/>
          <w:sz w:val="24"/>
          <w:szCs w:val="24"/>
        </w:rPr>
        <w:lastRenderedPageBreak/>
        <w:t>Valor Teórico</w:t>
      </w:r>
    </w:p>
    <w:p w14:paraId="46E3B736"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Desde el punto de vista teórico, la identificación de las causas y el abordaje integral de las IVU, es la clave del éxito para disminuir las complicaciones a largo plazo y los gastos en salud.</w:t>
      </w:r>
    </w:p>
    <w:p w14:paraId="0073ABF0" w14:textId="77777777" w:rsidR="00664DAC" w:rsidRDefault="00664DAC" w:rsidP="000C3FFA">
      <w:pPr>
        <w:spacing w:after="0" w:line="360" w:lineRule="auto"/>
        <w:jc w:val="both"/>
        <w:rPr>
          <w:rFonts w:ascii="Times New Roman" w:hAnsi="Times New Roman" w:cs="Times New Roman"/>
          <w:b/>
          <w:bCs/>
          <w:sz w:val="24"/>
          <w:szCs w:val="24"/>
        </w:rPr>
      </w:pPr>
    </w:p>
    <w:p w14:paraId="5F2EA19D" w14:textId="653013C7" w:rsidR="000C3FFA" w:rsidRPr="00664DAC" w:rsidRDefault="000C3FFA" w:rsidP="000C3FFA">
      <w:pPr>
        <w:spacing w:after="0" w:line="360" w:lineRule="auto"/>
        <w:jc w:val="both"/>
        <w:rPr>
          <w:rFonts w:ascii="Times New Roman" w:hAnsi="Times New Roman" w:cs="Times New Roman"/>
          <w:b/>
          <w:bCs/>
          <w:sz w:val="24"/>
          <w:szCs w:val="24"/>
        </w:rPr>
      </w:pPr>
      <w:r w:rsidRPr="00664DAC">
        <w:rPr>
          <w:rFonts w:ascii="Times New Roman" w:hAnsi="Times New Roman" w:cs="Times New Roman"/>
          <w:b/>
          <w:bCs/>
          <w:sz w:val="24"/>
          <w:szCs w:val="24"/>
        </w:rPr>
        <w:t>Relevancia Metodológica</w:t>
      </w:r>
    </w:p>
    <w:p w14:paraId="1AFADA5B" w14:textId="77777777" w:rsidR="000C3FFA" w:rsidRPr="00664DAC" w:rsidRDefault="000C3FFA" w:rsidP="000C3FFA">
      <w:pPr>
        <w:spacing w:after="0" w:line="360" w:lineRule="auto"/>
        <w:jc w:val="both"/>
        <w:rPr>
          <w:rFonts w:ascii="Times New Roman" w:hAnsi="Times New Roman" w:cs="Times New Roman"/>
          <w:sz w:val="24"/>
          <w:szCs w:val="24"/>
        </w:rPr>
      </w:pPr>
      <w:r w:rsidRPr="00664DAC">
        <w:rPr>
          <w:rFonts w:ascii="Times New Roman" w:hAnsi="Times New Roman" w:cs="Times New Roman"/>
          <w:sz w:val="24"/>
          <w:szCs w:val="24"/>
        </w:rPr>
        <w:t xml:space="preserve">Este estudio servirá de punto de partida para un abordaje oportuno e integral de los pacientes pediátricos con IVU. </w:t>
      </w:r>
    </w:p>
    <w:p w14:paraId="5AC3C66C" w14:textId="77777777" w:rsidR="000C3FFA" w:rsidRPr="00664DAC" w:rsidRDefault="000C3FFA" w:rsidP="000C3FFA">
      <w:pPr>
        <w:spacing w:after="0" w:line="360" w:lineRule="auto"/>
        <w:jc w:val="both"/>
        <w:rPr>
          <w:sz w:val="24"/>
          <w:szCs w:val="24"/>
        </w:rPr>
      </w:pPr>
    </w:p>
    <w:p w14:paraId="0D0463F2" w14:textId="77777777" w:rsidR="000C3FFA" w:rsidRDefault="000C3FFA" w:rsidP="00F21220">
      <w:pPr>
        <w:spacing w:after="0" w:line="360" w:lineRule="auto"/>
        <w:jc w:val="both"/>
        <w:rPr>
          <w:rFonts w:ascii="Times New Roman" w:hAnsi="Times New Roman" w:cs="Times New Roman"/>
        </w:rPr>
      </w:pPr>
    </w:p>
    <w:p w14:paraId="1E48A59E" w14:textId="507D11D9" w:rsidR="00F21220" w:rsidRPr="005B5D69" w:rsidRDefault="00F21220" w:rsidP="005B5D69">
      <w:pPr>
        <w:rPr>
          <w:rFonts w:ascii="Times New Roman" w:hAnsi="Times New Roman" w:cs="Times New Roman"/>
        </w:rPr>
      </w:pPr>
    </w:p>
    <w:p w14:paraId="64066A99" w14:textId="77777777" w:rsidR="00F21220" w:rsidRDefault="00F21220" w:rsidP="00F21220">
      <w:pPr>
        <w:spacing w:after="0" w:line="360" w:lineRule="auto"/>
        <w:jc w:val="both"/>
        <w:rPr>
          <w:rFonts w:ascii="Times New Roman" w:hAnsi="Times New Roman" w:cs="Times New Roman"/>
        </w:rPr>
      </w:pPr>
      <w:r>
        <w:br w:type="page"/>
      </w:r>
    </w:p>
    <w:p w14:paraId="1073FED6" w14:textId="77777777" w:rsidR="00F21220" w:rsidRDefault="00F21220" w:rsidP="00F21220">
      <w:pPr>
        <w:spacing w:after="0" w:line="360" w:lineRule="auto"/>
        <w:jc w:val="center"/>
      </w:pPr>
      <w:r>
        <w:rPr>
          <w:rFonts w:ascii="Times New Roman" w:hAnsi="Times New Roman" w:cs="Times New Roman"/>
          <w:b/>
          <w:bCs/>
          <w:sz w:val="28"/>
          <w:szCs w:val="28"/>
        </w:rPr>
        <w:lastRenderedPageBreak/>
        <w:t>V.- Objetivos</w:t>
      </w:r>
    </w:p>
    <w:p w14:paraId="4D04069C" w14:textId="77777777" w:rsidR="00F21220" w:rsidRDefault="00F21220" w:rsidP="00F21220">
      <w:pPr>
        <w:spacing w:after="0" w:line="360" w:lineRule="auto"/>
        <w:jc w:val="both"/>
        <w:rPr>
          <w:rFonts w:ascii="Times New Roman" w:hAnsi="Times New Roman" w:cs="Times New Roman"/>
        </w:rPr>
      </w:pPr>
    </w:p>
    <w:p w14:paraId="2E7E6CF8" w14:textId="77777777" w:rsidR="00F21220" w:rsidRPr="0017470E" w:rsidRDefault="00F21220" w:rsidP="00F21220">
      <w:pPr>
        <w:spacing w:after="0" w:line="360" w:lineRule="auto"/>
        <w:jc w:val="both"/>
        <w:rPr>
          <w:rFonts w:ascii="Times New Roman" w:hAnsi="Times New Roman" w:cs="Times New Roman"/>
          <w:sz w:val="24"/>
          <w:szCs w:val="24"/>
        </w:rPr>
      </w:pPr>
      <w:bookmarkStart w:id="1" w:name="_Hlk199494823"/>
      <w:r w:rsidRPr="0017470E">
        <w:rPr>
          <w:rFonts w:ascii="Times New Roman" w:hAnsi="Times New Roman" w:cs="Times New Roman"/>
          <w:sz w:val="24"/>
          <w:szCs w:val="24"/>
        </w:rPr>
        <w:t>Objetivo General.</w:t>
      </w:r>
    </w:p>
    <w:p w14:paraId="4327439B"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Analizar el comportamiento clínico de la infección de vías urinarias en Pacientes ingresados en el Servicio de Pediatría del Hospital SERMESA Masaya en el período de enero a diciembre del año 2024</w:t>
      </w:r>
    </w:p>
    <w:p w14:paraId="54595F28" w14:textId="77777777" w:rsidR="00F21220" w:rsidRPr="0017470E" w:rsidRDefault="00F21220" w:rsidP="00F21220">
      <w:pPr>
        <w:spacing w:after="0" w:line="360" w:lineRule="auto"/>
        <w:jc w:val="both"/>
        <w:rPr>
          <w:rFonts w:ascii="Times New Roman" w:hAnsi="Times New Roman" w:cs="Times New Roman"/>
          <w:sz w:val="24"/>
          <w:szCs w:val="24"/>
        </w:rPr>
      </w:pPr>
    </w:p>
    <w:p w14:paraId="03A4772C"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Objetivos Específicos.</w:t>
      </w:r>
    </w:p>
    <w:p w14:paraId="577C8D34"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1. Describir las características sociodemográficas de los pacientes en estudio.</w:t>
      </w:r>
    </w:p>
    <w:p w14:paraId="6041E2E6"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2. Identificar las características clínicas y manejo de los pacientes pediátricos en estudio.</w:t>
      </w:r>
    </w:p>
    <w:p w14:paraId="5AAA77AE"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3. Describir la evolución clínica de los pacientes en estudio.</w:t>
      </w:r>
    </w:p>
    <w:bookmarkEnd w:id="1"/>
    <w:p w14:paraId="58BE3E27" w14:textId="77777777" w:rsidR="00F21220" w:rsidRDefault="00F21220" w:rsidP="00F21220">
      <w:pPr>
        <w:spacing w:after="0" w:line="360" w:lineRule="auto"/>
        <w:jc w:val="both"/>
        <w:rPr>
          <w:rFonts w:ascii="Times New Roman" w:hAnsi="Times New Roman" w:cs="Times New Roman"/>
        </w:rPr>
      </w:pPr>
    </w:p>
    <w:p w14:paraId="1563463F" w14:textId="77777777" w:rsidR="00F21220" w:rsidRDefault="00F21220" w:rsidP="00F21220">
      <w:pPr>
        <w:spacing w:after="0" w:line="360" w:lineRule="auto"/>
        <w:jc w:val="both"/>
        <w:rPr>
          <w:rFonts w:ascii="Times New Roman" w:hAnsi="Times New Roman" w:cs="Times New Roman"/>
        </w:rPr>
      </w:pPr>
    </w:p>
    <w:p w14:paraId="1C8A9DD4" w14:textId="77777777" w:rsidR="00F21220" w:rsidRDefault="00F21220" w:rsidP="00F21220">
      <w:pPr>
        <w:spacing w:after="0" w:line="360" w:lineRule="auto"/>
        <w:jc w:val="both"/>
        <w:rPr>
          <w:rFonts w:ascii="Times New Roman" w:hAnsi="Times New Roman" w:cs="Times New Roman"/>
        </w:rPr>
      </w:pPr>
    </w:p>
    <w:p w14:paraId="0CD597AC" w14:textId="77777777" w:rsidR="00F21220" w:rsidRDefault="00F21220" w:rsidP="00F21220">
      <w:pPr>
        <w:spacing w:after="0" w:line="360" w:lineRule="auto"/>
        <w:jc w:val="both"/>
        <w:rPr>
          <w:rFonts w:ascii="Times New Roman" w:hAnsi="Times New Roman" w:cs="Times New Roman"/>
        </w:rPr>
      </w:pPr>
    </w:p>
    <w:p w14:paraId="79286A29" w14:textId="77777777" w:rsidR="00F21220" w:rsidRDefault="00F21220" w:rsidP="00F21220">
      <w:pPr>
        <w:spacing w:after="0" w:line="360" w:lineRule="auto"/>
        <w:jc w:val="both"/>
        <w:rPr>
          <w:rFonts w:ascii="Times New Roman" w:hAnsi="Times New Roman" w:cs="Times New Roman"/>
        </w:rPr>
      </w:pPr>
      <w:r>
        <w:br w:type="page"/>
      </w:r>
    </w:p>
    <w:p w14:paraId="1E7DAE71" w14:textId="77777777" w:rsidR="00F21220" w:rsidRDefault="00F21220" w:rsidP="00F21220">
      <w:pPr>
        <w:spacing w:after="0" w:line="360" w:lineRule="auto"/>
        <w:jc w:val="center"/>
      </w:pPr>
      <w:r>
        <w:rPr>
          <w:rFonts w:ascii="Times New Roman" w:hAnsi="Times New Roman" w:cs="Times New Roman"/>
          <w:b/>
          <w:bCs/>
          <w:sz w:val="28"/>
          <w:szCs w:val="28"/>
        </w:rPr>
        <w:lastRenderedPageBreak/>
        <w:t>VI.- Marco Teórico</w:t>
      </w:r>
    </w:p>
    <w:p w14:paraId="6A789DA8" w14:textId="77777777" w:rsidR="00F21220" w:rsidRDefault="00F21220" w:rsidP="00F21220">
      <w:pPr>
        <w:spacing w:after="0" w:line="360" w:lineRule="auto"/>
        <w:jc w:val="both"/>
        <w:rPr>
          <w:b/>
          <w:bCs/>
          <w:i/>
          <w:iCs/>
          <w:sz w:val="28"/>
          <w:szCs w:val="28"/>
          <w:u w:val="single"/>
        </w:rPr>
      </w:pPr>
      <w:r>
        <w:rPr>
          <w:rFonts w:ascii="Times New Roman" w:hAnsi="Times New Roman" w:cs="Times New Roman"/>
          <w:b/>
          <w:bCs/>
          <w:i/>
          <w:iCs/>
          <w:sz w:val="28"/>
          <w:szCs w:val="28"/>
          <w:u w:val="single"/>
        </w:rPr>
        <w:t>Definición</w:t>
      </w:r>
    </w:p>
    <w:p w14:paraId="304524DA"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Es la colonización, invasión y proliferación bacteriana que compromete el tracto urinario desde la uretra o la vejiga hasta el parénquima renal. Su diagnóstico es complicado principalmente en los niños más pequeños debido a que la sintomatología es muy inespecífica. Sin embargo, la presentación clínica puede ser definida según su localización, evolución, compromiso estructural y recurrencia. Operativamente la infección de vías urinarias es definida como la coexistencia de bacteriuria, leucocituria y un número significativo de bacterias en un urocultivo.</w:t>
      </w:r>
    </w:p>
    <w:p w14:paraId="67A38B78" w14:textId="77777777" w:rsidR="00F21220" w:rsidRDefault="00F21220" w:rsidP="00F21220">
      <w:pPr>
        <w:spacing w:after="0" w:line="360" w:lineRule="auto"/>
        <w:jc w:val="both"/>
        <w:rPr>
          <w:rFonts w:ascii="Times New Roman" w:hAnsi="Times New Roman" w:cs="Times New Roman"/>
        </w:rPr>
      </w:pPr>
    </w:p>
    <w:p w14:paraId="082A775A" w14:textId="77777777" w:rsidR="00F21220" w:rsidRDefault="00F21220" w:rsidP="00F21220">
      <w:pPr>
        <w:spacing w:after="0" w:line="36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Clasificación.</w:t>
      </w:r>
    </w:p>
    <w:p w14:paraId="60317BBB"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Infección urinaria recurrente</w:t>
      </w:r>
    </w:p>
    <w:p w14:paraId="65648C13"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≥3 episodios de ITU bajas.</w:t>
      </w:r>
    </w:p>
    <w:p w14:paraId="5D5E9841"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≥2 ITU altas.</w:t>
      </w:r>
    </w:p>
    <w:p w14:paraId="1103F046"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1 ITU alta más 1 ITU baja en un año.</w:t>
      </w:r>
    </w:p>
    <w:p w14:paraId="5F256E2B"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Infección urinaria atípica o complicada</w:t>
      </w:r>
    </w:p>
    <w:p w14:paraId="3A003F10"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xml:space="preserve">ITU alta que evoluciona en forma tórpida. Además de los síntomas descritos se pueden observar elementos que sugieren alteraciones anatómicas o funcionales de la vía urinaria tales como: flujo urinario escaso, masa abdominal o vesical, aumento de creatinina plasmática, sepsis, falta de respuesta al tratamiento antibiótico a las 48 horas, infección por germen no E. </w:t>
      </w:r>
      <w:proofErr w:type="spellStart"/>
      <w:r w:rsidRPr="0017470E">
        <w:rPr>
          <w:rFonts w:ascii="Times New Roman" w:hAnsi="Times New Roman" w:cs="Times New Roman"/>
          <w:sz w:val="24"/>
          <w:szCs w:val="24"/>
        </w:rPr>
        <w:t>coli</w:t>
      </w:r>
      <w:proofErr w:type="spellEnd"/>
    </w:p>
    <w:p w14:paraId="368021AE"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Bacteriuria asintomática</w:t>
      </w:r>
    </w:p>
    <w:p w14:paraId="6C98D405" w14:textId="7F16DE18"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Presencia de bacterias en orina, urocultivo positivo, en pacientes sin sintomatología clínica. (1</w:t>
      </w:r>
      <w:r w:rsidR="0073645A">
        <w:rPr>
          <w:rFonts w:ascii="Times New Roman" w:hAnsi="Times New Roman" w:cs="Times New Roman"/>
          <w:sz w:val="24"/>
          <w:szCs w:val="24"/>
        </w:rPr>
        <w:t>3</w:t>
      </w:r>
      <w:r w:rsidRPr="0017470E">
        <w:rPr>
          <w:rFonts w:ascii="Times New Roman" w:hAnsi="Times New Roman" w:cs="Times New Roman"/>
          <w:sz w:val="24"/>
          <w:szCs w:val="24"/>
        </w:rPr>
        <w:t>)</w:t>
      </w:r>
    </w:p>
    <w:p w14:paraId="3E0AAC6B"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De acuerdo al sitio:</w:t>
      </w:r>
    </w:p>
    <w:p w14:paraId="3A854E3A"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Cistitis (tracto urinario bajo): inflamación de la vejiga o uretra, con síntomas miccionales y ausencia de dolor lumbar. Bajo riesgo de lesión del parénquima renal.</w:t>
      </w:r>
    </w:p>
    <w:p w14:paraId="2716DA3E"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xml:space="preserve">- Pielonefritis (tracto urinario alto): infección piógena de la pelvis y parénquima renal, con síntomas de fiebre mayor 38°C y alto potencial de daño renal y cicatrices corticales. </w:t>
      </w:r>
    </w:p>
    <w:p w14:paraId="32BF47D4"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De acuerdo a episodios:</w:t>
      </w:r>
    </w:p>
    <w:p w14:paraId="6F33588B"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Primera infección.</w:t>
      </w:r>
    </w:p>
    <w:p w14:paraId="1FD8C61B"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Recurrencia, que a su vez se divide en: no resuelta, persistente o reinfección.</w:t>
      </w:r>
    </w:p>
    <w:p w14:paraId="5A34CC27"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De acuerdo a los síntomas</w:t>
      </w:r>
    </w:p>
    <w:p w14:paraId="3688E5E9"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lastRenderedPageBreak/>
        <w:t>- Bacteriuria asintomática: presencia de un recuento significativo de bacterias en la orina, en ausencia de signos y síntomas clínicos.</w:t>
      </w:r>
    </w:p>
    <w:p w14:paraId="3CE8EB25"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IVU sintomática.</w:t>
      </w:r>
    </w:p>
    <w:p w14:paraId="4E91B991"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Complicaciones</w:t>
      </w:r>
    </w:p>
    <w:p w14:paraId="4788C252"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IVU no complicada, generalmente afecta al tracto urinario bajo, morfología y función renal normal. Pacientes inmunocompetentes, mayores de 2 años, sin fiebre o fiebre menor 38°C, síntomas miccionales, normohidratado, buen estado general y generalmente reactantes de fase aguda negativos.</w:t>
      </w:r>
    </w:p>
    <w:p w14:paraId="6493AB0A"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IVU complicada, en menores de 2 años, principalmente en recién nacidos con síntomas de pielonefritis, fiebre mayor 38.5°C, tóxicos, deshidratados. Malformaciones urinarias, alteración mecánica o funcional renal y falta de respuesta al tratamiento después de 48-72 horas de haberlo iniciado. (1)</w:t>
      </w:r>
    </w:p>
    <w:p w14:paraId="10158404" w14:textId="77777777" w:rsidR="00F21220" w:rsidRPr="0017470E" w:rsidRDefault="00F21220" w:rsidP="00F21220">
      <w:pPr>
        <w:spacing w:after="0" w:line="360" w:lineRule="auto"/>
        <w:jc w:val="both"/>
        <w:rPr>
          <w:rFonts w:ascii="Times New Roman" w:hAnsi="Times New Roman" w:cs="Times New Roman"/>
          <w:sz w:val="24"/>
          <w:szCs w:val="24"/>
        </w:rPr>
      </w:pPr>
    </w:p>
    <w:p w14:paraId="247637B7"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Las IVU son un problema clínico frecuente y potencialmente importante en pediatría, que agrupa diferentes presentaciones situaciones clínicas, cuyo denominador común es la presencia de organismos patógenos en el tracto urinario. Las IVU constituyen el motivo de consulta pediátrica más frecuente en relación con el aparato urinario durante cualquier época del año y a cualquier edad, representando un problema clínico de primer orden, no sólo por su elevada frecuencia, sino por la importancia que tienen su detección y tratamiento precoz.</w:t>
      </w:r>
    </w:p>
    <w:p w14:paraId="66442C0A" w14:textId="77777777" w:rsidR="00F21220" w:rsidRDefault="00F21220" w:rsidP="00F21220">
      <w:pPr>
        <w:spacing w:after="0" w:line="360" w:lineRule="auto"/>
        <w:jc w:val="both"/>
        <w:rPr>
          <w:b/>
          <w:bCs/>
        </w:rPr>
      </w:pPr>
    </w:p>
    <w:p w14:paraId="605A5D30" w14:textId="77777777" w:rsidR="00F21220" w:rsidRDefault="00F21220" w:rsidP="00F21220">
      <w:pPr>
        <w:spacing w:after="0" w:line="36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Epidemiología</w:t>
      </w:r>
    </w:p>
    <w:p w14:paraId="05B5E750" w14:textId="334B795D"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La prevalencia de IVU está influenciada por dos variables: edad y sexo. En el primer año de vida es más frecuente en niños (3.7%) que en niñas (2%). Se incrementa más en lactante con fiebre, menor de 2 meses de edad, con una incidencia de 5% en niñas y 20.3% en niños no circuncidados. La incidencia se invierte en la etapa prepuberal con un 3% en niñas y 1% en niños. (2</w:t>
      </w:r>
      <w:r w:rsidR="0073645A">
        <w:rPr>
          <w:rFonts w:ascii="Times New Roman" w:hAnsi="Times New Roman" w:cs="Times New Roman"/>
          <w:sz w:val="24"/>
          <w:szCs w:val="24"/>
        </w:rPr>
        <w:t>1</w:t>
      </w:r>
      <w:r w:rsidRPr="0017470E">
        <w:rPr>
          <w:rFonts w:ascii="Times New Roman" w:hAnsi="Times New Roman" w:cs="Times New Roman"/>
          <w:sz w:val="24"/>
          <w:szCs w:val="24"/>
        </w:rPr>
        <w:t>)</w:t>
      </w:r>
    </w:p>
    <w:p w14:paraId="2E77989E" w14:textId="77777777" w:rsidR="00F21220" w:rsidRDefault="00F21220" w:rsidP="00F21220">
      <w:pPr>
        <w:spacing w:after="0" w:line="360" w:lineRule="auto"/>
        <w:jc w:val="both"/>
        <w:rPr>
          <w:rFonts w:ascii="Times New Roman" w:hAnsi="Times New Roman" w:cs="Times New Roman"/>
        </w:rPr>
      </w:pPr>
    </w:p>
    <w:p w14:paraId="3D26B3D9" w14:textId="77777777" w:rsidR="00F21220" w:rsidRDefault="00F21220" w:rsidP="00F21220">
      <w:pPr>
        <w:spacing w:after="0" w:line="36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Etiopatogenia</w:t>
      </w:r>
    </w:p>
    <w:p w14:paraId="10CE6C7E"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La vía habitual de llegada de microorganismos al aparato urinario es la ascendente, a partir de gérmenes del intestino que colonizan la uretra o la zona perineal, salvo en el periodo neonatal o circunstancias concretas en las que puede producirse por vía hematógena. La patogenia de la IVU es compleja y existen múltiples factores (bacterianos, inmunitarios, anatómicos, urodinámicos, </w:t>
      </w:r>
      <w:r w:rsidRPr="0017470E">
        <w:rPr>
          <w:rFonts w:ascii="Times New Roman" w:hAnsi="Times New Roman" w:cs="Times New Roman"/>
          <w:sz w:val="24"/>
          <w:szCs w:val="24"/>
        </w:rPr>
        <w:lastRenderedPageBreak/>
        <w:t xml:space="preserve">genéticos, etc.) que pueden influir en la localización, curso y pronóstico de la misma, si bien el vaciamiento vesical frecuente y completo constituye el principal mecanismo de defensa frente a la IVU. </w:t>
      </w:r>
    </w:p>
    <w:p w14:paraId="5A24DD63" w14:textId="77777777" w:rsidR="00F21220" w:rsidRPr="0017470E" w:rsidRDefault="00F21220" w:rsidP="00F21220">
      <w:pPr>
        <w:spacing w:after="0" w:line="360" w:lineRule="auto"/>
        <w:jc w:val="both"/>
        <w:rPr>
          <w:rFonts w:ascii="Times New Roman" w:hAnsi="Times New Roman" w:cs="Times New Roman"/>
          <w:sz w:val="24"/>
          <w:szCs w:val="24"/>
        </w:rPr>
      </w:pPr>
    </w:p>
    <w:p w14:paraId="534E00F8"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Actualmente se acepta la existencia de una predisposición individual y genética a padecer una IVU, existiendo polimorfismos que condicionan mayor susceptibilidad para presentar IVU recurrente y daño renal progresivo como consecuencia del proceso inflamatorio local. En función de la interrelación entre la capacidad defensiva del huésped y la virulencia bacteriana, la IVU se manifestará de forma más o menos grave. (9)</w:t>
      </w:r>
    </w:p>
    <w:p w14:paraId="72881A69" w14:textId="77777777" w:rsidR="00F21220" w:rsidRPr="0017470E" w:rsidRDefault="00F21220" w:rsidP="00F21220">
      <w:pPr>
        <w:spacing w:after="0" w:line="360" w:lineRule="auto"/>
        <w:jc w:val="both"/>
        <w:rPr>
          <w:rFonts w:ascii="Times New Roman" w:hAnsi="Times New Roman" w:cs="Times New Roman"/>
          <w:sz w:val="24"/>
          <w:szCs w:val="24"/>
        </w:rPr>
      </w:pPr>
    </w:p>
    <w:p w14:paraId="6A6A12B2"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El germen más frecuentemente implicado en la IVU en niños es </w:t>
      </w:r>
      <w:proofErr w:type="spellStart"/>
      <w:r w:rsidRPr="0017470E">
        <w:rPr>
          <w:rFonts w:ascii="Times New Roman" w:hAnsi="Times New Roman" w:cs="Times New Roman"/>
          <w:sz w:val="24"/>
          <w:szCs w:val="24"/>
        </w:rPr>
        <w:t>Escherichia</w:t>
      </w:r>
      <w:proofErr w:type="spellEnd"/>
      <w:r w:rsidRPr="0017470E">
        <w:rPr>
          <w:rFonts w:ascii="Times New Roman" w:hAnsi="Times New Roman" w:cs="Times New Roman"/>
          <w:sz w:val="24"/>
          <w:szCs w:val="24"/>
        </w:rPr>
        <w:t xml:space="preserve"> </w:t>
      </w:r>
      <w:proofErr w:type="spellStart"/>
      <w:r w:rsidRPr="0017470E">
        <w:rPr>
          <w:rFonts w:ascii="Times New Roman" w:hAnsi="Times New Roman" w:cs="Times New Roman"/>
          <w:sz w:val="24"/>
          <w:szCs w:val="24"/>
        </w:rPr>
        <w:t>coli</w:t>
      </w:r>
      <w:proofErr w:type="spellEnd"/>
      <w:r w:rsidRPr="0017470E">
        <w:rPr>
          <w:rFonts w:ascii="Times New Roman" w:hAnsi="Times New Roman" w:cs="Times New Roman"/>
          <w:sz w:val="24"/>
          <w:szCs w:val="24"/>
        </w:rPr>
        <w:t xml:space="preserve">, responsable de más del 75% del total de las infecciones y de casi el 90% de las infecciones no complicadas. El resto de microorganismos son poco frecuentes y ninguno de ellos llega a causar por sí solo el 5% de las IVU, siendo los principales las enterobacterias como Klebsiella, Proteus, Enterobacter, Pseudomonas aeruginosa y Enterococcus. El estafilococo coagulasa negativo puede originar IVU en recién nacidos y el Staphylococcus saprophyticus en mujeres jóvenes y adolescentes. Las infecciones causadas por gérmenes distintos a E. </w:t>
      </w:r>
      <w:proofErr w:type="spellStart"/>
      <w:r w:rsidRPr="0017470E">
        <w:rPr>
          <w:rFonts w:ascii="Times New Roman" w:hAnsi="Times New Roman" w:cs="Times New Roman"/>
          <w:sz w:val="24"/>
          <w:szCs w:val="24"/>
        </w:rPr>
        <w:t>coli</w:t>
      </w:r>
      <w:proofErr w:type="spellEnd"/>
      <w:r w:rsidRPr="0017470E">
        <w:rPr>
          <w:rFonts w:ascii="Times New Roman" w:hAnsi="Times New Roman" w:cs="Times New Roman"/>
          <w:sz w:val="24"/>
          <w:szCs w:val="24"/>
        </w:rPr>
        <w:t xml:space="preserve">, se consideran “infecciones atípicas” y tienen más riesgo de acompañarse de patología subyacente. </w:t>
      </w:r>
    </w:p>
    <w:p w14:paraId="025C2DE1" w14:textId="77777777" w:rsidR="00F21220" w:rsidRDefault="00F21220" w:rsidP="00F21220">
      <w:pPr>
        <w:spacing w:after="0" w:line="360" w:lineRule="auto"/>
        <w:jc w:val="both"/>
        <w:rPr>
          <w:rFonts w:ascii="Times New Roman" w:hAnsi="Times New Roman" w:cs="Times New Roman"/>
        </w:rPr>
      </w:pPr>
    </w:p>
    <w:p w14:paraId="2558C3D7" w14:textId="77777777" w:rsidR="00F21220" w:rsidRDefault="00F21220" w:rsidP="00F21220">
      <w:pPr>
        <w:spacing w:after="0" w:line="36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Factores de riesgo</w:t>
      </w:r>
    </w:p>
    <w:p w14:paraId="595DE44D"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t>Factores ligados al huésped</w:t>
      </w:r>
    </w:p>
    <w:p w14:paraId="020C3C9C"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En relación con la edad, las IVU son más frecuentes durante los dos primeros años de la vida, aunque pueden aparecer durante toda la infancia. </w:t>
      </w:r>
    </w:p>
    <w:p w14:paraId="2A7DEFF6" w14:textId="77777777" w:rsidR="00F21220" w:rsidRPr="0017470E" w:rsidRDefault="00F21220" w:rsidP="00F21220">
      <w:pPr>
        <w:spacing w:after="0" w:line="360" w:lineRule="auto"/>
        <w:jc w:val="both"/>
        <w:rPr>
          <w:rFonts w:ascii="Times New Roman" w:hAnsi="Times New Roman" w:cs="Times New Roman"/>
          <w:sz w:val="24"/>
          <w:szCs w:val="24"/>
        </w:rPr>
      </w:pPr>
    </w:p>
    <w:p w14:paraId="3C6B6831"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En cuanto al sexo prevalece en varones por debajo del año de edad y en mujeres por debajo de los cuatro años. Entre los cinco y catorce años el descenso de incidencia en los varones es muy marcado, siendo este descenso menor en el sexo femenino. </w:t>
      </w:r>
    </w:p>
    <w:p w14:paraId="7F88F6A4" w14:textId="77777777" w:rsidR="00F21220" w:rsidRPr="0017470E" w:rsidRDefault="00F21220" w:rsidP="00F21220">
      <w:pPr>
        <w:spacing w:after="0" w:line="360" w:lineRule="auto"/>
        <w:jc w:val="both"/>
        <w:rPr>
          <w:rFonts w:ascii="Times New Roman" w:hAnsi="Times New Roman" w:cs="Times New Roman"/>
          <w:sz w:val="24"/>
          <w:szCs w:val="24"/>
        </w:rPr>
      </w:pPr>
    </w:p>
    <w:p w14:paraId="446ADF6C"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La herencia juega un papel no bien determinado; sin embargo, existen evidencias de que los familiares de primer grado de niños con IVU están más predispuestos a padecer IVU. </w:t>
      </w:r>
    </w:p>
    <w:p w14:paraId="530A1729" w14:textId="77777777" w:rsidR="00F21220" w:rsidRDefault="00F21220" w:rsidP="00F21220">
      <w:pPr>
        <w:spacing w:after="0" w:line="360" w:lineRule="auto"/>
        <w:jc w:val="both"/>
        <w:rPr>
          <w:rFonts w:ascii="Times New Roman" w:hAnsi="Times New Roman" w:cs="Times New Roman"/>
        </w:rPr>
      </w:pPr>
    </w:p>
    <w:p w14:paraId="4527736F"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lastRenderedPageBreak/>
        <w:t xml:space="preserve">En el caso de las mujeres con IVU recurrentes tienen una mayor densidad de receptores para E. </w:t>
      </w:r>
      <w:proofErr w:type="spellStart"/>
      <w:r w:rsidRPr="0017470E">
        <w:rPr>
          <w:rFonts w:ascii="Times New Roman" w:hAnsi="Times New Roman" w:cs="Times New Roman"/>
          <w:sz w:val="24"/>
          <w:szCs w:val="24"/>
        </w:rPr>
        <w:t>coli</w:t>
      </w:r>
      <w:proofErr w:type="spellEnd"/>
      <w:r w:rsidRPr="0017470E">
        <w:rPr>
          <w:rFonts w:ascii="Times New Roman" w:hAnsi="Times New Roman" w:cs="Times New Roman"/>
          <w:sz w:val="24"/>
          <w:szCs w:val="24"/>
        </w:rPr>
        <w:t xml:space="preserve"> en el área periuretral. Por otro lado, determinados déficits inmunitarios pueden ser secundarios a factores constitucionales o a situaciones de malnutrición con cierta familiaridad. </w:t>
      </w:r>
    </w:p>
    <w:p w14:paraId="1584469D" w14:textId="77777777" w:rsidR="00F21220" w:rsidRPr="0017470E" w:rsidRDefault="00F21220" w:rsidP="00F21220">
      <w:pPr>
        <w:spacing w:after="0" w:line="360" w:lineRule="auto"/>
        <w:jc w:val="both"/>
        <w:rPr>
          <w:rFonts w:ascii="Times New Roman" w:hAnsi="Times New Roman" w:cs="Times New Roman"/>
          <w:sz w:val="24"/>
          <w:szCs w:val="24"/>
        </w:rPr>
      </w:pPr>
    </w:p>
    <w:p w14:paraId="0E95ADFC"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Las condiciones anatomo fisiológicas del aparato urinario en la infancia tienen una gran importancia con respecto a la predisposición a padecer IVU. Un niño no circuncidado, el riesgo de padecer una IVU es hasta cuatro veces superior al de los varones circuncidados, tanto por las características de la mucosa como por la existencia de una posible obstrucción parcial del meato uretral. En el niño mayor la uretra es larga y flexuosa, lo que dificulta la infección ascendente, mientras que en la niña la uretra es pequeña, ancha y recta, facilitando la ascensión de microorganismos. </w:t>
      </w:r>
    </w:p>
    <w:p w14:paraId="1F4051D3" w14:textId="77777777" w:rsidR="00F21220" w:rsidRPr="0017470E" w:rsidRDefault="00F21220" w:rsidP="00F21220">
      <w:pPr>
        <w:spacing w:after="0" w:line="360" w:lineRule="auto"/>
        <w:jc w:val="both"/>
        <w:rPr>
          <w:rFonts w:ascii="Times New Roman" w:hAnsi="Times New Roman" w:cs="Times New Roman"/>
          <w:sz w:val="24"/>
          <w:szCs w:val="24"/>
        </w:rPr>
      </w:pPr>
    </w:p>
    <w:p w14:paraId="018FC4C0"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Estas condiciones son el motivo de la mayor incidencia de IVU en el sexo femenino, justificándose la menor diferencia que existe entre ambos sexos durante el primer año en el hecho de que, en esta época de la vida, el tamaño de la uretra es similar en ambos sexos y que, tanto en niños como en niñas, el factor suciedad (contacto con heces) es semejante. También son factores que predisponen a la IVU en los primeros meses de vida la disposición anatómica especialmente baja del riñón, el tono débil de la musculatura de pelvis y cálices renales en los primeros días de vida, y la excesiva longitud de los uréteres, que puede motivar acodaduras en su trayecto y retención de orina. Asimismo, podría influir la intensidad de la circulación enterorrenal, con conexiones linfáticas que unen el intestino con los distintos tramos del tracto urinario.</w:t>
      </w:r>
    </w:p>
    <w:p w14:paraId="037BBCF7" w14:textId="77777777" w:rsidR="00F21220" w:rsidRDefault="00F21220" w:rsidP="00F21220">
      <w:pPr>
        <w:spacing w:after="0" w:line="360" w:lineRule="auto"/>
        <w:jc w:val="both"/>
        <w:rPr>
          <w:rFonts w:ascii="Times New Roman" w:hAnsi="Times New Roman" w:cs="Times New Roman"/>
        </w:rPr>
      </w:pPr>
    </w:p>
    <w:p w14:paraId="3D0D0096"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Las malformaciones y anomalías congénitas y adquiridas. Son factores patogénicos de suma importancia al producir estasis urinaria (estenosis a nivel pieloureteral o ureterovesical, válvulas de uretra posterior) o permitir el reflujo de orina desde la vejiga (reflujo </w:t>
      </w:r>
      <w:proofErr w:type="spellStart"/>
      <w:r w:rsidRPr="0017470E">
        <w:rPr>
          <w:rFonts w:ascii="Times New Roman" w:hAnsi="Times New Roman" w:cs="Times New Roman"/>
          <w:sz w:val="24"/>
          <w:szCs w:val="24"/>
        </w:rPr>
        <w:t>vesicoureteral</w:t>
      </w:r>
      <w:proofErr w:type="spellEnd"/>
      <w:r w:rsidRPr="0017470E">
        <w:rPr>
          <w:rFonts w:ascii="Times New Roman" w:hAnsi="Times New Roman" w:cs="Times New Roman"/>
          <w:sz w:val="24"/>
          <w:szCs w:val="24"/>
        </w:rPr>
        <w:t xml:space="preserve">. El RVU primario es la anomalía urológica observada más frecuentemente en niños, con una prevalencia global del 1% y una prevalencia de hasta el 40% en niños pequeños con IVU febril. La mayor parte de los RVU son consecuencia de una alteración del desarrollo de las uniones </w:t>
      </w:r>
      <w:proofErr w:type="spellStart"/>
      <w:r w:rsidRPr="0017470E">
        <w:rPr>
          <w:rFonts w:ascii="Times New Roman" w:hAnsi="Times New Roman" w:cs="Times New Roman"/>
          <w:sz w:val="24"/>
          <w:szCs w:val="24"/>
        </w:rPr>
        <w:t>vésico</w:t>
      </w:r>
      <w:proofErr w:type="spellEnd"/>
      <w:r w:rsidRPr="0017470E">
        <w:rPr>
          <w:rFonts w:ascii="Times New Roman" w:hAnsi="Times New Roman" w:cs="Times New Roman"/>
          <w:sz w:val="24"/>
          <w:szCs w:val="24"/>
        </w:rPr>
        <w:t xml:space="preserve"> ureterales presentando los uréteres un recorrido intramural acortado en su entrada en la pared de la vejiga y sin formar un ángulo adecuado. </w:t>
      </w:r>
    </w:p>
    <w:p w14:paraId="36DC49F3" w14:textId="77777777" w:rsidR="00F21220" w:rsidRDefault="00F21220" w:rsidP="00F21220">
      <w:pPr>
        <w:spacing w:after="0" w:line="360" w:lineRule="auto"/>
        <w:jc w:val="both"/>
        <w:rPr>
          <w:rFonts w:ascii="Times New Roman" w:hAnsi="Times New Roman" w:cs="Times New Roman"/>
        </w:rPr>
      </w:pPr>
    </w:p>
    <w:p w14:paraId="3C0DC67F"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lastRenderedPageBreak/>
        <w:t xml:space="preserve">Etnias, se ha observado que los niños blancos tienen una prevalencia de dos a cuatro veces mayor de infección urinaria que los niños negros, los factores genéticos familiares de primer grado de niños con infección del tracto urinario son más propensas a tener IVU que las personas sin una historia. </w:t>
      </w:r>
    </w:p>
    <w:p w14:paraId="7784BA18" w14:textId="77777777" w:rsidR="00F21220" w:rsidRDefault="00F21220" w:rsidP="00F21220">
      <w:pPr>
        <w:spacing w:after="0" w:line="360" w:lineRule="auto"/>
        <w:jc w:val="both"/>
        <w:rPr>
          <w:rFonts w:ascii="Times New Roman" w:hAnsi="Times New Roman" w:cs="Times New Roman"/>
        </w:rPr>
      </w:pPr>
    </w:p>
    <w:p w14:paraId="39E42142" w14:textId="77777777" w:rsidR="00F21220" w:rsidRDefault="00F21220" w:rsidP="00F21220">
      <w:pPr>
        <w:spacing w:after="0" w:line="36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Abordaje Diagnóstico</w:t>
      </w:r>
    </w:p>
    <w:p w14:paraId="7FDCA23C"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Es de suma importancia realizar una completa e integral historia clínica, con énfasis en las siguientes condiciones propias del paciente y de su entorno, con el propósito de identificar los factores de riesgo.</w:t>
      </w:r>
    </w:p>
    <w:p w14:paraId="4E48E004" w14:textId="77777777" w:rsidR="00F21220" w:rsidRPr="0017470E" w:rsidRDefault="00F21220" w:rsidP="00F21220">
      <w:pPr>
        <w:spacing w:after="0" w:line="360" w:lineRule="auto"/>
        <w:jc w:val="both"/>
        <w:rPr>
          <w:rFonts w:ascii="Times New Roman" w:hAnsi="Times New Roman" w:cs="Times New Roman"/>
          <w:sz w:val="24"/>
          <w:szCs w:val="24"/>
        </w:rPr>
      </w:pPr>
    </w:p>
    <w:p w14:paraId="5CC6DBFB"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Antecedente materno de IVU en el embarazo o ruptura prematura de membranas.</w:t>
      </w:r>
    </w:p>
    <w:p w14:paraId="53F226EA"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Cirugías previas que requirieron colocación de sonda vesical.</w:t>
      </w:r>
    </w:p>
    <w:p w14:paraId="0BCBCD15"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Sitio de la infección, número de episodios, sintomatología y complicaciones.</w:t>
      </w:r>
    </w:p>
    <w:p w14:paraId="24874B96"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Edad de inicio para control de esfínteres.</w:t>
      </w:r>
    </w:p>
    <w:p w14:paraId="756B92BB"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Ingesta de líquidos.</w:t>
      </w:r>
    </w:p>
    <w:p w14:paraId="3AE8F696"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IVU bajas de repetición.</w:t>
      </w:r>
    </w:p>
    <w:p w14:paraId="1648ACA4"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Retraso pondoestatural.</w:t>
      </w:r>
    </w:p>
    <w:p w14:paraId="7D13C260"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Hábitos de aseo en el área genital en mujeres.</w:t>
      </w:r>
    </w:p>
    <w:p w14:paraId="7A14E2EB"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Hábitos miccionales (vaciamiento urinario) e intestinales, incluidos incontinencia diurna y nocturna, estreñimiento y encopresis.</w:t>
      </w:r>
    </w:p>
    <w:p w14:paraId="0E524FEE" w14:textId="77777777" w:rsidR="00F21220" w:rsidRDefault="00F21220" w:rsidP="00F21220">
      <w:pPr>
        <w:spacing w:after="0" w:line="360" w:lineRule="auto"/>
        <w:jc w:val="both"/>
        <w:rPr>
          <w:rFonts w:ascii="Times New Roman" w:hAnsi="Times New Roman" w:cs="Times New Roman"/>
        </w:rPr>
      </w:pPr>
    </w:p>
    <w:p w14:paraId="06D10900"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t>Cuadro clínico</w:t>
      </w:r>
    </w:p>
    <w:p w14:paraId="1C52E692"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Las manifestaciones clínicas de los pacientes con IVU difieren por diferentes características como: la edad, localización del proceso infeccioso, estado nutricional, malformaciones renales, número de eventos previos de IVU y el intervalo entre cada episodio de infección.</w:t>
      </w:r>
    </w:p>
    <w:p w14:paraId="336430E7"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noProof/>
        </w:rPr>
        <w:lastRenderedPageBreak/>
        <w:drawing>
          <wp:anchor distT="0" distB="0" distL="0" distR="0" simplePos="0" relativeHeight="251661312" behindDoc="0" locked="0" layoutInCell="1" allowOverlap="1" wp14:anchorId="54979B05" wp14:editId="5722E7FB">
            <wp:simplePos x="0" y="0"/>
            <wp:positionH relativeFrom="column">
              <wp:posOffset>1035685</wp:posOffset>
            </wp:positionH>
            <wp:positionV relativeFrom="paragraph">
              <wp:posOffset>28575</wp:posOffset>
            </wp:positionV>
            <wp:extent cx="3157855" cy="2846070"/>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0"/>
                    <a:stretch>
                      <a:fillRect/>
                    </a:stretch>
                  </pic:blipFill>
                  <pic:spPr bwMode="auto">
                    <a:xfrm>
                      <a:off x="0" y="0"/>
                      <a:ext cx="3157855" cy="2846070"/>
                    </a:xfrm>
                    <a:prstGeom prst="rect">
                      <a:avLst/>
                    </a:prstGeom>
                  </pic:spPr>
                </pic:pic>
              </a:graphicData>
            </a:graphic>
          </wp:anchor>
        </w:drawing>
      </w:r>
    </w:p>
    <w:p w14:paraId="25B4DACC" w14:textId="77777777" w:rsidR="00F21220" w:rsidRDefault="00F21220" w:rsidP="00F21220">
      <w:pPr>
        <w:spacing w:after="0" w:line="360" w:lineRule="auto"/>
        <w:jc w:val="both"/>
        <w:rPr>
          <w:rFonts w:ascii="Times New Roman" w:hAnsi="Times New Roman" w:cs="Times New Roman"/>
        </w:rPr>
      </w:pPr>
    </w:p>
    <w:p w14:paraId="263A8586" w14:textId="77777777" w:rsidR="00F21220" w:rsidRDefault="00F21220" w:rsidP="00F21220">
      <w:pPr>
        <w:spacing w:after="0" w:line="360" w:lineRule="auto"/>
        <w:jc w:val="both"/>
        <w:rPr>
          <w:rFonts w:ascii="Times New Roman" w:hAnsi="Times New Roman" w:cs="Times New Roman"/>
        </w:rPr>
      </w:pPr>
    </w:p>
    <w:p w14:paraId="2E212F1C" w14:textId="77777777" w:rsidR="00F21220" w:rsidRDefault="00F21220" w:rsidP="00F21220">
      <w:pPr>
        <w:spacing w:after="0" w:line="360" w:lineRule="auto"/>
        <w:jc w:val="both"/>
        <w:rPr>
          <w:rFonts w:ascii="Times New Roman" w:hAnsi="Times New Roman" w:cs="Times New Roman"/>
        </w:rPr>
      </w:pPr>
    </w:p>
    <w:p w14:paraId="4A191F4F" w14:textId="77777777" w:rsidR="00F21220" w:rsidRDefault="00F21220" w:rsidP="00F21220">
      <w:pPr>
        <w:spacing w:after="0" w:line="360" w:lineRule="auto"/>
        <w:jc w:val="both"/>
        <w:rPr>
          <w:rFonts w:ascii="Times New Roman" w:hAnsi="Times New Roman" w:cs="Times New Roman"/>
        </w:rPr>
      </w:pPr>
    </w:p>
    <w:p w14:paraId="40D3073F" w14:textId="77777777" w:rsidR="00F21220" w:rsidRDefault="00F21220" w:rsidP="00F21220">
      <w:pPr>
        <w:spacing w:after="0" w:line="360" w:lineRule="auto"/>
        <w:jc w:val="both"/>
        <w:rPr>
          <w:rFonts w:ascii="Times New Roman" w:hAnsi="Times New Roman" w:cs="Times New Roman"/>
        </w:rPr>
      </w:pPr>
    </w:p>
    <w:p w14:paraId="7AC9C4CA" w14:textId="77777777" w:rsidR="00F21220" w:rsidRDefault="00F21220" w:rsidP="00F21220">
      <w:pPr>
        <w:spacing w:after="0" w:line="360" w:lineRule="auto"/>
        <w:jc w:val="both"/>
        <w:rPr>
          <w:rFonts w:ascii="Times New Roman" w:hAnsi="Times New Roman" w:cs="Times New Roman"/>
        </w:rPr>
      </w:pPr>
    </w:p>
    <w:p w14:paraId="298F6F79" w14:textId="77777777" w:rsidR="00F21220" w:rsidRDefault="00F21220" w:rsidP="00F21220">
      <w:pPr>
        <w:spacing w:after="0" w:line="360" w:lineRule="auto"/>
        <w:jc w:val="both"/>
        <w:rPr>
          <w:rFonts w:ascii="Times New Roman" w:hAnsi="Times New Roman" w:cs="Times New Roman"/>
        </w:rPr>
      </w:pPr>
    </w:p>
    <w:p w14:paraId="7EB4329F" w14:textId="77777777" w:rsidR="00F21220" w:rsidRDefault="00F21220" w:rsidP="00F21220">
      <w:pPr>
        <w:spacing w:after="0" w:line="360" w:lineRule="auto"/>
        <w:jc w:val="both"/>
        <w:rPr>
          <w:rFonts w:ascii="Times New Roman" w:hAnsi="Times New Roman" w:cs="Times New Roman"/>
        </w:rPr>
      </w:pPr>
    </w:p>
    <w:p w14:paraId="6206EA68" w14:textId="77777777" w:rsidR="00F21220" w:rsidRDefault="00F21220" w:rsidP="00F21220">
      <w:pPr>
        <w:spacing w:after="0" w:line="360" w:lineRule="auto"/>
        <w:jc w:val="both"/>
        <w:rPr>
          <w:rFonts w:ascii="Times New Roman" w:hAnsi="Times New Roman" w:cs="Times New Roman"/>
        </w:rPr>
      </w:pPr>
    </w:p>
    <w:p w14:paraId="3E5B804F" w14:textId="77777777" w:rsidR="00F21220" w:rsidRDefault="00F21220" w:rsidP="00F21220">
      <w:pPr>
        <w:spacing w:after="0" w:line="360" w:lineRule="auto"/>
        <w:jc w:val="both"/>
        <w:rPr>
          <w:rFonts w:ascii="Times New Roman" w:hAnsi="Times New Roman" w:cs="Times New Roman"/>
        </w:rPr>
      </w:pPr>
    </w:p>
    <w:p w14:paraId="57561916" w14:textId="77777777" w:rsidR="00F21220" w:rsidRDefault="00F21220" w:rsidP="00F21220">
      <w:pPr>
        <w:spacing w:after="0" w:line="360" w:lineRule="auto"/>
        <w:jc w:val="both"/>
        <w:rPr>
          <w:rFonts w:ascii="Times New Roman" w:hAnsi="Times New Roman" w:cs="Times New Roman"/>
        </w:rPr>
      </w:pPr>
    </w:p>
    <w:p w14:paraId="1D0D3849" w14:textId="2FCEDA05"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Además, para cada paciente, se tiene que valorar los aspectos nutricionales, crecimiento, neurodesarrollo, estado general y signos vitales en la que no debe faltar la toma de presión arterial y fiebre sin otro foco infeccioso, así mismo realizar palpación abdominal y pélvica, buscar datos de obstrucción en el trayecto urinario, dolor lumbar y constipación. En genitales masculinos la presencia de fimosis, estenosis meato urinario, orquitis o visualizar las características del chorro urinario. En genitales femeninos la fusión de labios, cuerpo extraño, vulvovaginitis o datos sugestivos de inicio de vida sexual. En columna vertebral, región sacro-coccígea, la presencia de hoyuelo sacro o quiste pilonidal. Miembros inferiores para detectar debilidad o falta de coordinación que orienten a daño neurológico. (2</w:t>
      </w:r>
      <w:r w:rsidR="0073645A">
        <w:rPr>
          <w:rFonts w:ascii="Times New Roman" w:hAnsi="Times New Roman" w:cs="Times New Roman"/>
          <w:sz w:val="24"/>
          <w:szCs w:val="24"/>
        </w:rPr>
        <w:t>2</w:t>
      </w:r>
      <w:r w:rsidRPr="0017470E">
        <w:rPr>
          <w:rFonts w:ascii="Times New Roman" w:hAnsi="Times New Roman" w:cs="Times New Roman"/>
          <w:sz w:val="24"/>
          <w:szCs w:val="24"/>
        </w:rPr>
        <w:t>)</w:t>
      </w:r>
    </w:p>
    <w:p w14:paraId="1F351373" w14:textId="77777777" w:rsidR="00F21220" w:rsidRDefault="00F21220" w:rsidP="00F21220">
      <w:pPr>
        <w:spacing w:after="0" w:line="360" w:lineRule="auto"/>
        <w:jc w:val="both"/>
        <w:rPr>
          <w:rFonts w:ascii="Times New Roman" w:hAnsi="Times New Roman" w:cs="Times New Roman"/>
        </w:rPr>
      </w:pPr>
    </w:p>
    <w:p w14:paraId="5237EED4"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t>Diagnóstico</w:t>
      </w:r>
    </w:p>
    <w:p w14:paraId="46D222DE"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Se tiene que tomar en consideración el cuadro clínico y parámetros de laboratorio principalmente, el examen general de orina (EGO), la interpretación de las tiras reactiva y el urocultivo, considerado como el “estándar de oro” para establecer el diagnóstico. En el EGO se debe reconocer la esterasa leucocitaria, reducción de nitratos a nitritos, cuenta de células inflamatorias (más de 10 células) y presencia de bacterias. </w:t>
      </w:r>
    </w:p>
    <w:p w14:paraId="06906F0D" w14:textId="77777777" w:rsidR="00F21220" w:rsidRPr="0017470E" w:rsidRDefault="00F21220" w:rsidP="00F21220">
      <w:pPr>
        <w:spacing w:after="0" w:line="360" w:lineRule="auto"/>
        <w:jc w:val="both"/>
        <w:rPr>
          <w:rFonts w:ascii="Times New Roman" w:hAnsi="Times New Roman" w:cs="Times New Roman"/>
          <w:sz w:val="24"/>
          <w:szCs w:val="24"/>
        </w:rPr>
      </w:pPr>
    </w:p>
    <w:p w14:paraId="6E00F560"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Las tiras reactivas para el diagnóstico rápido de IVU es de gran utilidad. En su interpretación se debe atender fundamentalmente a la esterasa leucocitaria y al test de nitritos. La esterasa leucocitaria es liberada por los leucocitos, siendo por lo tanto dato indirecto de inflamación en las </w:t>
      </w:r>
      <w:r w:rsidRPr="0017470E">
        <w:rPr>
          <w:rFonts w:ascii="Times New Roman" w:hAnsi="Times New Roman" w:cs="Times New Roman"/>
          <w:sz w:val="24"/>
          <w:szCs w:val="24"/>
        </w:rPr>
        <w:lastRenderedPageBreak/>
        <w:t xml:space="preserve">vías urinarias, aunque no necesariamente de origen infeccioso. El test de nitritos se basa en la capacidad de las bacterias (excepto las </w:t>
      </w:r>
      <w:proofErr w:type="spellStart"/>
      <w:r w:rsidRPr="0017470E">
        <w:rPr>
          <w:rFonts w:ascii="Times New Roman" w:hAnsi="Times New Roman" w:cs="Times New Roman"/>
          <w:sz w:val="24"/>
          <w:szCs w:val="24"/>
        </w:rPr>
        <w:t>gram</w:t>
      </w:r>
      <w:proofErr w:type="spellEnd"/>
      <w:r w:rsidRPr="0017470E">
        <w:rPr>
          <w:rFonts w:ascii="Times New Roman" w:hAnsi="Times New Roman" w:cs="Times New Roman"/>
          <w:sz w:val="24"/>
          <w:szCs w:val="24"/>
        </w:rPr>
        <w:t xml:space="preserve"> positivas y pseudomonas) de reducir los nitratos a nitritos. </w:t>
      </w:r>
    </w:p>
    <w:p w14:paraId="35D251CC" w14:textId="77777777" w:rsidR="00F21220" w:rsidRDefault="00F21220" w:rsidP="00F21220">
      <w:pPr>
        <w:spacing w:after="0" w:line="360" w:lineRule="auto"/>
        <w:jc w:val="both"/>
        <w:rPr>
          <w:rFonts w:ascii="Times New Roman" w:hAnsi="Times New Roman" w:cs="Times New Roman"/>
        </w:rPr>
      </w:pPr>
    </w:p>
    <w:p w14:paraId="6098C491"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El Urocultivo es la prueba definitiva para el diagnóstico de IVU, orientando el tratamiento definitivo según el antibiograma, por lo que se recomienda su realización siempre que sea posible. </w:t>
      </w:r>
    </w:p>
    <w:p w14:paraId="5FB9D720" w14:textId="77777777" w:rsidR="00F21220" w:rsidRPr="0017470E" w:rsidRDefault="00F21220" w:rsidP="00F21220">
      <w:pPr>
        <w:spacing w:after="0" w:line="360" w:lineRule="auto"/>
        <w:jc w:val="both"/>
        <w:rPr>
          <w:rFonts w:ascii="Times New Roman" w:hAnsi="Times New Roman" w:cs="Times New Roman"/>
          <w:sz w:val="24"/>
          <w:szCs w:val="24"/>
        </w:rPr>
      </w:pPr>
    </w:p>
    <w:p w14:paraId="777EC867"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b/>
          <w:bCs/>
          <w:sz w:val="24"/>
          <w:szCs w:val="24"/>
        </w:rPr>
        <w:t>Estudios Complementarios</w:t>
      </w:r>
      <w:r w:rsidRPr="0017470E">
        <w:rPr>
          <w:rFonts w:ascii="Times New Roman" w:hAnsi="Times New Roman" w:cs="Times New Roman"/>
          <w:sz w:val="24"/>
          <w:szCs w:val="24"/>
        </w:rPr>
        <w:t xml:space="preserve"> </w:t>
      </w:r>
    </w:p>
    <w:p w14:paraId="55DB1931"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b/>
          <w:bCs/>
          <w:sz w:val="24"/>
          <w:szCs w:val="24"/>
        </w:rPr>
        <w:t>Ecografía renal:</w:t>
      </w:r>
      <w:r w:rsidRPr="0017470E">
        <w:rPr>
          <w:rFonts w:ascii="Times New Roman" w:hAnsi="Times New Roman" w:cs="Times New Roman"/>
          <w:sz w:val="24"/>
          <w:szCs w:val="24"/>
        </w:rPr>
        <w:t xml:space="preserve"> Este examen se realiza en búsqueda de anomalías estructurales renales congénitas, hidronefrosis y alteraciones en el parénquima renal, como quistes </w:t>
      </w:r>
      <w:proofErr w:type="spellStart"/>
      <w:r w:rsidRPr="0017470E">
        <w:rPr>
          <w:rFonts w:ascii="Times New Roman" w:hAnsi="Times New Roman" w:cs="Times New Roman"/>
          <w:sz w:val="24"/>
          <w:szCs w:val="24"/>
        </w:rPr>
        <w:t>ó</w:t>
      </w:r>
      <w:proofErr w:type="spellEnd"/>
      <w:r w:rsidRPr="0017470E">
        <w:rPr>
          <w:rFonts w:ascii="Times New Roman" w:hAnsi="Times New Roman" w:cs="Times New Roman"/>
          <w:sz w:val="24"/>
          <w:szCs w:val="24"/>
        </w:rPr>
        <w:t xml:space="preserve"> cicatrices, cálculos renales y se examina la vejiga en busca de dilatación distal de los uréteres, hipertrofia de la pared vesical y presencia de ureteroceles. </w:t>
      </w:r>
    </w:p>
    <w:p w14:paraId="51625DB8" w14:textId="77777777" w:rsidR="00F21220" w:rsidRPr="0017470E" w:rsidRDefault="00F21220" w:rsidP="00F21220">
      <w:pPr>
        <w:spacing w:after="0" w:line="360" w:lineRule="auto"/>
        <w:jc w:val="both"/>
        <w:rPr>
          <w:rFonts w:ascii="Times New Roman" w:hAnsi="Times New Roman" w:cs="Times New Roman"/>
          <w:sz w:val="24"/>
          <w:szCs w:val="24"/>
        </w:rPr>
      </w:pPr>
    </w:p>
    <w:p w14:paraId="45B22B6B"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b/>
          <w:bCs/>
          <w:sz w:val="24"/>
          <w:szCs w:val="24"/>
        </w:rPr>
        <w:t>Cistografía:</w:t>
      </w:r>
      <w:r w:rsidRPr="0017470E">
        <w:rPr>
          <w:rFonts w:ascii="Times New Roman" w:hAnsi="Times New Roman" w:cs="Times New Roman"/>
          <w:sz w:val="24"/>
          <w:szCs w:val="24"/>
        </w:rPr>
        <w:t xml:space="preserve"> Los estudios de elección para el diagnóstico de RVU son la cistouretrografía miccional (CUM) y la cistografía con radionúclidos. La primera permite, además de hacer diagnóstico de RVU, clasificar el mismo, establecer la presencia de </w:t>
      </w:r>
      <w:proofErr w:type="spellStart"/>
      <w:r w:rsidRPr="0017470E">
        <w:rPr>
          <w:rFonts w:ascii="Times New Roman" w:hAnsi="Times New Roman" w:cs="Times New Roman"/>
          <w:sz w:val="24"/>
          <w:szCs w:val="24"/>
        </w:rPr>
        <w:t>ureteroceles</w:t>
      </w:r>
      <w:proofErr w:type="spellEnd"/>
      <w:r w:rsidRPr="0017470E">
        <w:rPr>
          <w:rFonts w:ascii="Times New Roman" w:hAnsi="Times New Roman" w:cs="Times New Roman"/>
          <w:sz w:val="24"/>
          <w:szCs w:val="24"/>
        </w:rPr>
        <w:t xml:space="preserve">, divertículos vesicales </w:t>
      </w:r>
      <w:proofErr w:type="spellStart"/>
      <w:r w:rsidRPr="0017470E">
        <w:rPr>
          <w:rFonts w:ascii="Times New Roman" w:hAnsi="Times New Roman" w:cs="Times New Roman"/>
          <w:sz w:val="24"/>
          <w:szCs w:val="24"/>
        </w:rPr>
        <w:t>ó</w:t>
      </w:r>
      <w:proofErr w:type="spellEnd"/>
      <w:r w:rsidRPr="0017470E">
        <w:rPr>
          <w:rFonts w:ascii="Times New Roman" w:hAnsi="Times New Roman" w:cs="Times New Roman"/>
          <w:sz w:val="24"/>
          <w:szCs w:val="24"/>
        </w:rPr>
        <w:t xml:space="preserve"> valvas uretrales posteriores en niños, por lo que es de elección como estudio inicial de IVU en niños, así como en niñas con síndrome de eliminación disfuncional (SED). </w:t>
      </w:r>
    </w:p>
    <w:p w14:paraId="5F387DF6" w14:textId="77777777" w:rsidR="00F21220" w:rsidRDefault="00F21220" w:rsidP="00F21220">
      <w:pPr>
        <w:spacing w:after="0" w:line="360" w:lineRule="auto"/>
        <w:jc w:val="both"/>
        <w:rPr>
          <w:rFonts w:ascii="Times New Roman" w:hAnsi="Times New Roman" w:cs="Times New Roman"/>
        </w:rPr>
      </w:pPr>
    </w:p>
    <w:p w14:paraId="15453B42"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b/>
          <w:bCs/>
          <w:sz w:val="24"/>
          <w:szCs w:val="24"/>
        </w:rPr>
        <w:t>La gammagrafía</w:t>
      </w:r>
      <w:r w:rsidRPr="0017470E">
        <w:rPr>
          <w:rFonts w:ascii="Times New Roman" w:hAnsi="Times New Roman" w:cs="Times New Roman"/>
          <w:sz w:val="24"/>
          <w:szCs w:val="24"/>
        </w:rPr>
        <w:t xml:space="preserve"> en el proceso agudo permite evaluar el riesgo de desarrollo de cicatrices de acuerdo con la extensión de la pielonefritis y de la presencia de RVU.</w:t>
      </w:r>
    </w:p>
    <w:p w14:paraId="1BFF143E" w14:textId="77777777" w:rsidR="00F21220" w:rsidRPr="0017470E" w:rsidRDefault="00F21220" w:rsidP="00F21220">
      <w:pPr>
        <w:spacing w:after="0" w:line="360" w:lineRule="auto"/>
        <w:jc w:val="both"/>
        <w:rPr>
          <w:rFonts w:ascii="Times New Roman" w:hAnsi="Times New Roman" w:cs="Times New Roman"/>
          <w:sz w:val="24"/>
          <w:szCs w:val="24"/>
        </w:rPr>
      </w:pPr>
    </w:p>
    <w:p w14:paraId="23B84A05"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t>Criterios de ingreso Hospitalario</w:t>
      </w:r>
    </w:p>
    <w:p w14:paraId="6FFC5DD5"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La decisión de ingresar hospitalariamente a un niño con IVU debe de reunir una seria de parámetros sugerentes de pielonefritis o de una posible repercusión sistémica de la IVU, la alteración de la función renal y el inicio inmediato de antibioterapia o de otra terapia.</w:t>
      </w:r>
    </w:p>
    <w:p w14:paraId="3FA8A12D" w14:textId="77777777" w:rsidR="00F21220" w:rsidRPr="0017470E" w:rsidRDefault="00F21220" w:rsidP="00F21220">
      <w:pPr>
        <w:spacing w:after="0" w:line="360" w:lineRule="auto"/>
        <w:jc w:val="both"/>
        <w:rPr>
          <w:rFonts w:ascii="Times New Roman" w:hAnsi="Times New Roman" w:cs="Times New Roman"/>
          <w:sz w:val="24"/>
          <w:szCs w:val="24"/>
        </w:rPr>
      </w:pPr>
    </w:p>
    <w:p w14:paraId="433C0B4C"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t>Se consideran algunos aspectos del paciente:</w:t>
      </w:r>
    </w:p>
    <w:p w14:paraId="718A352D"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Edad menor a tres meses</w:t>
      </w:r>
    </w:p>
    <w:p w14:paraId="5E2705FE"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Riesgo de bacteriemia y sepsis urinaria.</w:t>
      </w:r>
    </w:p>
    <w:p w14:paraId="1A1DCADA"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Mal estado general y/o aspecto séptico</w:t>
      </w:r>
    </w:p>
    <w:p w14:paraId="03FBBE0D"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lastRenderedPageBreak/>
        <w:t>.-</w:t>
      </w:r>
      <w:proofErr w:type="gramEnd"/>
      <w:r w:rsidRPr="0017470E">
        <w:rPr>
          <w:rFonts w:ascii="Times New Roman" w:hAnsi="Times New Roman" w:cs="Times New Roman"/>
          <w:sz w:val="24"/>
          <w:szCs w:val="24"/>
        </w:rPr>
        <w:t xml:space="preserve"> Signos de deshidratación.</w:t>
      </w:r>
    </w:p>
    <w:p w14:paraId="6BB6BCAE"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Disminución de la respuesta a estímulos</w:t>
      </w:r>
    </w:p>
    <w:p w14:paraId="5C7155BF"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Palidez o piel moteada, etc.</w:t>
      </w:r>
    </w:p>
    <w:p w14:paraId="02F36804"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Intolerancia a la medicación o a la alimentación oral.</w:t>
      </w:r>
    </w:p>
    <w:p w14:paraId="4EEA1CF2"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Alteraciones electrolíticas o de la función renal.</w:t>
      </w:r>
    </w:p>
    <w:p w14:paraId="0665524D"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Malformaciones del sistema urinario: RVU dilatado, uropatía obstructiva, displasia renal, riñón único.</w:t>
      </w:r>
    </w:p>
    <w:p w14:paraId="78130B0B"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Antecedentes de inmunodeficiencia primaria o secundaria.</w:t>
      </w:r>
    </w:p>
    <w:p w14:paraId="0D9B923F"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Sospecha de mal cumplimiento o dificultad para el seguimiento ambulatorio.</w:t>
      </w:r>
    </w:p>
    <w:p w14:paraId="24462812"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Fiebre elevada (≥38,5 °C) en niños o niñas de tres a seis meses de edad.</w:t>
      </w:r>
    </w:p>
    <w:p w14:paraId="327C0252"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Persistencia de la fiebre tras 48-72 horas de tratamiento.</w:t>
      </w:r>
    </w:p>
    <w:p w14:paraId="5A71DE14"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Factores de riesgo de germen no habitual (antibioticoterapia reciente, hospitalización reciente, cateterismo).</w:t>
      </w:r>
    </w:p>
    <w:p w14:paraId="5D617A62"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Historia familiar de RVU o ecografía prenatal con dilatación de la vía urinaria en estudio.</w:t>
      </w:r>
    </w:p>
    <w:p w14:paraId="7FA0E8A0"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Infecciones urinarias febriles de repetición.</w:t>
      </w:r>
    </w:p>
    <w:p w14:paraId="5B0938F6" w14:textId="77777777" w:rsidR="00F21220" w:rsidRDefault="00F21220" w:rsidP="00F21220">
      <w:pPr>
        <w:spacing w:after="0" w:line="360" w:lineRule="auto"/>
        <w:jc w:val="both"/>
        <w:rPr>
          <w:rFonts w:ascii="Times New Roman" w:hAnsi="Times New Roman" w:cs="Times New Roman"/>
        </w:rPr>
      </w:pPr>
    </w:p>
    <w:p w14:paraId="0BDB1282" w14:textId="77777777" w:rsidR="00F21220" w:rsidRDefault="00F21220" w:rsidP="00F21220">
      <w:pPr>
        <w:spacing w:after="0" w:line="36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Tratamiento</w:t>
      </w:r>
    </w:p>
    <w:p w14:paraId="6E61B03C"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El propósito del tratamiento de las IVU con antibiótico es la erradicación de los gérmenes, el alivio de los síntomas y la prevención o reducción del daño renal. El inicio del tratamiento se recomienda sea de manera empírica hasta que se obtenga el resultado del urocultivo y antibiograma. (7)</w:t>
      </w:r>
    </w:p>
    <w:p w14:paraId="34B2D1AD"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noProof/>
        </w:rPr>
        <w:lastRenderedPageBreak/>
        <w:drawing>
          <wp:anchor distT="0" distB="0" distL="0" distR="0" simplePos="0" relativeHeight="251662336" behindDoc="0" locked="0" layoutInCell="1" allowOverlap="1" wp14:anchorId="712A67DD" wp14:editId="02DF87C5">
            <wp:simplePos x="0" y="0"/>
            <wp:positionH relativeFrom="column">
              <wp:posOffset>485140</wp:posOffset>
            </wp:positionH>
            <wp:positionV relativeFrom="paragraph">
              <wp:posOffset>-635</wp:posOffset>
            </wp:positionV>
            <wp:extent cx="4544060" cy="316103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1"/>
                    <a:srcRect l="25738" t="23039" r="25753" b="24718"/>
                    <a:stretch>
                      <a:fillRect/>
                    </a:stretch>
                  </pic:blipFill>
                  <pic:spPr bwMode="auto">
                    <a:xfrm>
                      <a:off x="0" y="0"/>
                      <a:ext cx="4544060" cy="3161030"/>
                    </a:xfrm>
                    <a:prstGeom prst="rect">
                      <a:avLst/>
                    </a:prstGeom>
                  </pic:spPr>
                </pic:pic>
              </a:graphicData>
            </a:graphic>
          </wp:anchor>
        </w:drawing>
      </w:r>
    </w:p>
    <w:p w14:paraId="4B22B8A2" w14:textId="77777777" w:rsidR="00F21220" w:rsidRDefault="00F21220" w:rsidP="00F21220">
      <w:pPr>
        <w:spacing w:after="0" w:line="360" w:lineRule="auto"/>
        <w:jc w:val="both"/>
        <w:rPr>
          <w:rFonts w:ascii="Times New Roman" w:hAnsi="Times New Roman" w:cs="Times New Roman"/>
        </w:rPr>
      </w:pPr>
    </w:p>
    <w:p w14:paraId="0E11F014" w14:textId="77777777" w:rsidR="00F21220" w:rsidRDefault="00F21220" w:rsidP="00F21220">
      <w:pPr>
        <w:spacing w:after="0" w:line="360" w:lineRule="auto"/>
        <w:jc w:val="both"/>
        <w:rPr>
          <w:rFonts w:ascii="Times New Roman" w:hAnsi="Times New Roman" w:cs="Times New Roman"/>
        </w:rPr>
      </w:pPr>
    </w:p>
    <w:p w14:paraId="6133DED8" w14:textId="77777777" w:rsidR="00F21220" w:rsidRDefault="00F21220" w:rsidP="00F21220">
      <w:pPr>
        <w:spacing w:after="0" w:line="360" w:lineRule="auto"/>
        <w:jc w:val="both"/>
        <w:rPr>
          <w:rFonts w:ascii="Times New Roman" w:hAnsi="Times New Roman" w:cs="Times New Roman"/>
        </w:rPr>
      </w:pPr>
    </w:p>
    <w:p w14:paraId="1DF8EB6C" w14:textId="77777777" w:rsidR="00F21220" w:rsidRDefault="00F21220" w:rsidP="00F21220">
      <w:pPr>
        <w:spacing w:after="0" w:line="360" w:lineRule="auto"/>
        <w:jc w:val="both"/>
        <w:rPr>
          <w:rFonts w:ascii="Times New Roman" w:hAnsi="Times New Roman" w:cs="Times New Roman"/>
        </w:rPr>
      </w:pPr>
    </w:p>
    <w:p w14:paraId="716C57BD" w14:textId="77777777" w:rsidR="00F21220" w:rsidRDefault="00F21220" w:rsidP="00F21220">
      <w:pPr>
        <w:spacing w:after="0" w:line="360" w:lineRule="auto"/>
        <w:jc w:val="both"/>
        <w:rPr>
          <w:rFonts w:ascii="Times New Roman" w:hAnsi="Times New Roman" w:cs="Times New Roman"/>
        </w:rPr>
      </w:pPr>
    </w:p>
    <w:p w14:paraId="646ECEC4" w14:textId="77777777" w:rsidR="00F21220" w:rsidRDefault="00F21220" w:rsidP="00F21220">
      <w:pPr>
        <w:spacing w:after="0" w:line="360" w:lineRule="auto"/>
        <w:jc w:val="both"/>
        <w:rPr>
          <w:rFonts w:ascii="Times New Roman" w:hAnsi="Times New Roman" w:cs="Times New Roman"/>
        </w:rPr>
      </w:pPr>
    </w:p>
    <w:p w14:paraId="09FF1EA1" w14:textId="77777777" w:rsidR="00F21220" w:rsidRDefault="00F21220" w:rsidP="00F21220">
      <w:pPr>
        <w:spacing w:after="0" w:line="360" w:lineRule="auto"/>
        <w:jc w:val="both"/>
        <w:rPr>
          <w:rFonts w:ascii="Times New Roman" w:hAnsi="Times New Roman" w:cs="Times New Roman"/>
        </w:rPr>
      </w:pPr>
    </w:p>
    <w:p w14:paraId="1B46CFC5" w14:textId="77777777" w:rsidR="00F21220" w:rsidRDefault="00F21220" w:rsidP="00F21220">
      <w:pPr>
        <w:spacing w:after="0" w:line="360" w:lineRule="auto"/>
        <w:jc w:val="both"/>
        <w:rPr>
          <w:rFonts w:ascii="Times New Roman" w:hAnsi="Times New Roman" w:cs="Times New Roman"/>
        </w:rPr>
      </w:pPr>
    </w:p>
    <w:p w14:paraId="069D84C6" w14:textId="77777777" w:rsidR="00F21220" w:rsidRDefault="00F21220" w:rsidP="00F21220">
      <w:pPr>
        <w:spacing w:after="0" w:line="360" w:lineRule="auto"/>
        <w:jc w:val="both"/>
        <w:rPr>
          <w:rFonts w:ascii="Times New Roman" w:hAnsi="Times New Roman" w:cs="Times New Roman"/>
        </w:rPr>
      </w:pPr>
    </w:p>
    <w:p w14:paraId="63FB48FD" w14:textId="77777777" w:rsidR="00F21220" w:rsidRDefault="00F21220" w:rsidP="00F21220">
      <w:pPr>
        <w:spacing w:after="0" w:line="360" w:lineRule="auto"/>
        <w:jc w:val="both"/>
        <w:rPr>
          <w:rFonts w:ascii="Times New Roman" w:hAnsi="Times New Roman" w:cs="Times New Roman"/>
        </w:rPr>
      </w:pPr>
    </w:p>
    <w:p w14:paraId="3A2C006E" w14:textId="77777777" w:rsidR="00F21220" w:rsidRDefault="00F21220" w:rsidP="00F21220">
      <w:pPr>
        <w:spacing w:after="0" w:line="360" w:lineRule="auto"/>
        <w:jc w:val="both"/>
        <w:rPr>
          <w:rFonts w:ascii="Times New Roman" w:hAnsi="Times New Roman" w:cs="Times New Roman"/>
          <w:sz w:val="40"/>
          <w:szCs w:val="40"/>
        </w:rPr>
      </w:pPr>
    </w:p>
    <w:p w14:paraId="10F58F72" w14:textId="77777777" w:rsidR="0017470E" w:rsidRDefault="0017470E" w:rsidP="00F21220">
      <w:pPr>
        <w:spacing w:after="0" w:line="360" w:lineRule="auto"/>
        <w:jc w:val="both"/>
      </w:pPr>
    </w:p>
    <w:p w14:paraId="77879072"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t>Cistitis</w:t>
      </w:r>
    </w:p>
    <w:p w14:paraId="26BD4E51"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Para las IVU baja, el tratamiento puede ser corto y por vía oral. En menores de seis años, el tratamiento recomendado son cefalosporinas orales de segunda o tercera generación (cefuroxima o cefixima). Como alternativa, puede considerarse amoxicilina + ácido clavulánico. En mayores de 12 años, además de las pautas anteriores, es una alternativa la fosfomicina, dado que es una dosis única, puede resultar de mayor comodidad.</w:t>
      </w:r>
    </w:p>
    <w:p w14:paraId="4772384A" w14:textId="77777777" w:rsidR="00F21220" w:rsidRPr="0017470E" w:rsidRDefault="00F21220" w:rsidP="00F21220">
      <w:pPr>
        <w:spacing w:after="0" w:line="360" w:lineRule="auto"/>
        <w:jc w:val="both"/>
        <w:rPr>
          <w:rFonts w:ascii="Times New Roman" w:hAnsi="Times New Roman" w:cs="Times New Roman"/>
          <w:sz w:val="24"/>
          <w:szCs w:val="24"/>
        </w:rPr>
      </w:pPr>
    </w:p>
    <w:p w14:paraId="03E657F0"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b/>
          <w:bCs/>
          <w:sz w:val="24"/>
          <w:szCs w:val="24"/>
        </w:rPr>
        <w:t>Pielonefritis</w:t>
      </w:r>
      <w:r w:rsidRPr="0017470E">
        <w:rPr>
          <w:rFonts w:ascii="Times New Roman" w:hAnsi="Times New Roman" w:cs="Times New Roman"/>
          <w:sz w:val="24"/>
          <w:szCs w:val="24"/>
        </w:rPr>
        <w:t xml:space="preserve"> </w:t>
      </w:r>
    </w:p>
    <w:p w14:paraId="36C838A0" w14:textId="0CB9F76F"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Las IVU alta pueden ser tratadas con antibioticoterapia oral de manera ambulatoria, con una valoración 48 posterior a iniciado el tratamiento, ya que, si estos pacientes no presentan mejoría, se deberá considerar la antibioticoterapia endovenosa e ingreso hospitalario. El fármaco de elección es la cefixima. como alternativa, se podría utilizar la cefuroxima siempre y cuando las tasas de resistencias sean inferiores al 10%.</w:t>
      </w:r>
    </w:p>
    <w:p w14:paraId="3A3132EF" w14:textId="77777777" w:rsidR="00F21220" w:rsidRPr="0017470E" w:rsidRDefault="00F21220" w:rsidP="00F21220">
      <w:pPr>
        <w:spacing w:after="0" w:line="360" w:lineRule="auto"/>
        <w:jc w:val="both"/>
        <w:rPr>
          <w:rFonts w:ascii="Times New Roman" w:hAnsi="Times New Roman" w:cs="Times New Roman"/>
          <w:sz w:val="24"/>
          <w:szCs w:val="24"/>
        </w:rPr>
      </w:pPr>
    </w:p>
    <w:p w14:paraId="0C7BC861"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t>Situaciones que requieren antibioterapia endovenosa:</w:t>
      </w:r>
    </w:p>
    <w:p w14:paraId="03C2E4A5"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Niños Menores de tres meses.</w:t>
      </w:r>
    </w:p>
    <w:p w14:paraId="66CA3248"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Uropatía obstructiva.</w:t>
      </w:r>
    </w:p>
    <w:p w14:paraId="75F7D1AA"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Reflujo </w:t>
      </w:r>
      <w:proofErr w:type="spellStart"/>
      <w:r w:rsidRPr="0017470E">
        <w:rPr>
          <w:rFonts w:ascii="Times New Roman" w:hAnsi="Times New Roman" w:cs="Times New Roman"/>
          <w:sz w:val="24"/>
          <w:szCs w:val="24"/>
        </w:rPr>
        <w:t>vesicoureteral</w:t>
      </w:r>
      <w:proofErr w:type="spellEnd"/>
      <w:r w:rsidRPr="0017470E">
        <w:rPr>
          <w:rFonts w:ascii="Times New Roman" w:hAnsi="Times New Roman" w:cs="Times New Roman"/>
          <w:sz w:val="24"/>
          <w:szCs w:val="24"/>
        </w:rPr>
        <w:t xml:space="preserve"> (RVU) de alto grado (IV-V).</w:t>
      </w:r>
    </w:p>
    <w:p w14:paraId="3F335AF9"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Inmunosupresión significativa.</w:t>
      </w:r>
    </w:p>
    <w:p w14:paraId="3035D1CF"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lastRenderedPageBreak/>
        <w:t>.-</w:t>
      </w:r>
      <w:proofErr w:type="gramEnd"/>
      <w:r w:rsidRPr="0017470E">
        <w:rPr>
          <w:rFonts w:ascii="Times New Roman" w:hAnsi="Times New Roman" w:cs="Times New Roman"/>
          <w:sz w:val="24"/>
          <w:szCs w:val="24"/>
        </w:rPr>
        <w:t xml:space="preserve"> Afectación del estado general.</w:t>
      </w:r>
    </w:p>
    <w:p w14:paraId="1BBEB364"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Imposibilidad de asegurar la toma del tratamiento o de un seguimiento correcto.</w:t>
      </w:r>
    </w:p>
    <w:p w14:paraId="7DF4B7D9"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Fracaso de tratamiento oral (persistencia de fiebre o afectación del estado general tras 48 horas de tratamiento correcto).</w:t>
      </w:r>
    </w:p>
    <w:p w14:paraId="303E0CB3" w14:textId="14A3ADE0"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Microorganismo resistente a antibióticos orales.</w:t>
      </w:r>
    </w:p>
    <w:p w14:paraId="5779F516" w14:textId="77777777" w:rsidR="00F21220" w:rsidRPr="0017470E" w:rsidRDefault="00F21220" w:rsidP="00F21220">
      <w:pPr>
        <w:spacing w:after="0" w:line="360" w:lineRule="auto"/>
        <w:jc w:val="both"/>
        <w:rPr>
          <w:rFonts w:ascii="Times New Roman" w:hAnsi="Times New Roman" w:cs="Times New Roman"/>
          <w:sz w:val="24"/>
          <w:szCs w:val="24"/>
        </w:rPr>
      </w:pPr>
    </w:p>
    <w:p w14:paraId="7CBC2075"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En estos pacientes, hay que considerar ciertos aspectos para el inicio del tratamiento: </w:t>
      </w:r>
    </w:p>
    <w:p w14:paraId="5836360B" w14:textId="02029EEE"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En el niño sano mayor de 3 meses que precisa hospitalización, el fármaco de elección es un aminoglucósido (gentamicina o amikacina).  En caso de que se trate de una sepsis de origen desconocido o meningitis, el fármaco de elección es una cefalosporina de tercera generación (ceftriaxona, cefotaxima).</w:t>
      </w:r>
    </w:p>
    <w:p w14:paraId="32C4227B" w14:textId="77777777" w:rsidR="00F21220" w:rsidRPr="0017470E" w:rsidRDefault="00F21220" w:rsidP="00F21220">
      <w:pPr>
        <w:spacing w:after="0" w:line="360" w:lineRule="auto"/>
        <w:jc w:val="both"/>
        <w:rPr>
          <w:rFonts w:ascii="Times New Roman" w:hAnsi="Times New Roman" w:cs="Times New Roman"/>
          <w:sz w:val="24"/>
          <w:szCs w:val="24"/>
        </w:rPr>
      </w:pPr>
      <w:proofErr w:type="gramStart"/>
      <w:r w:rsidRPr="0017470E">
        <w:rPr>
          <w:rFonts w:ascii="Times New Roman" w:hAnsi="Times New Roman" w:cs="Times New Roman"/>
          <w:sz w:val="24"/>
          <w:szCs w:val="24"/>
        </w:rPr>
        <w:t>.-</w:t>
      </w:r>
      <w:proofErr w:type="gramEnd"/>
      <w:r w:rsidRPr="0017470E">
        <w:rPr>
          <w:rFonts w:ascii="Times New Roman" w:hAnsi="Times New Roman" w:cs="Times New Roman"/>
          <w:sz w:val="24"/>
          <w:szCs w:val="24"/>
        </w:rPr>
        <w:t xml:space="preserve"> En el paciente menor de tres meses o que presente una uropatía obstructiva o RVU de </w:t>
      </w:r>
    </w:p>
    <w:p w14:paraId="296BA466" w14:textId="77777777"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grado IV-V, es necesario ampliar la cobertura antibiótica para cubrir microorganismos menos habituales, como </w:t>
      </w:r>
      <w:proofErr w:type="spellStart"/>
      <w:r w:rsidRPr="0017470E">
        <w:rPr>
          <w:rFonts w:ascii="Times New Roman" w:hAnsi="Times New Roman" w:cs="Times New Roman"/>
          <w:sz w:val="24"/>
          <w:szCs w:val="24"/>
        </w:rPr>
        <w:t>Enterococcus</w:t>
      </w:r>
      <w:proofErr w:type="spellEnd"/>
      <w:r w:rsidRPr="0017470E">
        <w:rPr>
          <w:rFonts w:ascii="Times New Roman" w:hAnsi="Times New Roman" w:cs="Times New Roman"/>
          <w:sz w:val="24"/>
          <w:szCs w:val="24"/>
        </w:rPr>
        <w:t xml:space="preserve"> </w:t>
      </w:r>
      <w:proofErr w:type="spellStart"/>
      <w:r w:rsidRPr="0017470E">
        <w:rPr>
          <w:rFonts w:ascii="Times New Roman" w:hAnsi="Times New Roman" w:cs="Times New Roman"/>
          <w:sz w:val="24"/>
          <w:szCs w:val="24"/>
        </w:rPr>
        <w:t>spp</w:t>
      </w:r>
      <w:proofErr w:type="spellEnd"/>
      <w:r w:rsidRPr="0017470E">
        <w:rPr>
          <w:rFonts w:ascii="Times New Roman" w:hAnsi="Times New Roman" w:cs="Times New Roman"/>
          <w:sz w:val="24"/>
          <w:szCs w:val="24"/>
        </w:rPr>
        <w:t>. Por lo tanto, se debe añadir al tratamiento (aminoglucósido o cefalosporina de tercera generación) la ampicilina.</w:t>
      </w:r>
    </w:p>
    <w:p w14:paraId="218E9D1F" w14:textId="77777777" w:rsidR="00F21220" w:rsidRDefault="00F21220" w:rsidP="00F21220">
      <w:pPr>
        <w:spacing w:after="0" w:line="360" w:lineRule="auto"/>
        <w:jc w:val="both"/>
        <w:rPr>
          <w:rFonts w:ascii="Times New Roman" w:hAnsi="Times New Roman" w:cs="Times New Roman"/>
        </w:rPr>
      </w:pPr>
    </w:p>
    <w:p w14:paraId="772E6D59" w14:textId="76DEDA4F" w:rsidR="00F21220" w:rsidRPr="0017470E" w:rsidRDefault="00F21220" w:rsidP="00F21220">
      <w:pPr>
        <w:spacing w:after="0" w:line="360" w:lineRule="auto"/>
        <w:jc w:val="both"/>
        <w:rPr>
          <w:rFonts w:ascii="Times New Roman" w:hAnsi="Times New Roman" w:cs="Times New Roman"/>
          <w:sz w:val="24"/>
          <w:szCs w:val="24"/>
        </w:rPr>
      </w:pPr>
      <w:r w:rsidRPr="0017470E">
        <w:rPr>
          <w:rFonts w:ascii="Times New Roman" w:hAnsi="Times New Roman" w:cs="Times New Roman"/>
          <w:sz w:val="24"/>
          <w:szCs w:val="24"/>
        </w:rPr>
        <w:t xml:space="preserve">El cambio de antibioticoterapia endovenosa a oral se puede realizar cuando se hayan resuelto las manifestaciones clínicas, el paciente esté evolucionando favorablemente y se conozca el patrón de susceptibilidad a antimicrobianos del agente causal. Se debe escoger un antibiótico con buena difusión en el parénquima renal, bien tolerado, con baja toxicidad y del menor espectro posible. La duración del tratamiento de una pielonefritis no complicada es de 7-10 días, aunque podría prolongarse hasta dos semanas en neonatos o pacientes con sepsis. </w:t>
      </w:r>
    </w:p>
    <w:p w14:paraId="4B25ED49" w14:textId="77777777" w:rsidR="00F21220" w:rsidRPr="0017470E" w:rsidRDefault="00F21220" w:rsidP="00F21220">
      <w:pPr>
        <w:spacing w:after="0" w:line="360" w:lineRule="auto"/>
        <w:jc w:val="both"/>
        <w:rPr>
          <w:rFonts w:ascii="Times New Roman" w:hAnsi="Times New Roman" w:cs="Times New Roman"/>
          <w:sz w:val="24"/>
          <w:szCs w:val="24"/>
        </w:rPr>
      </w:pPr>
    </w:p>
    <w:p w14:paraId="090CF066" w14:textId="77777777" w:rsidR="00F21220" w:rsidRDefault="00F21220" w:rsidP="00F21220">
      <w:pPr>
        <w:spacing w:after="0" w:line="360" w:lineRule="auto"/>
        <w:jc w:val="both"/>
        <w:rPr>
          <w:rFonts w:ascii="Times New Roman" w:hAnsi="Times New Roman" w:cs="Times New Roman"/>
        </w:rPr>
      </w:pPr>
    </w:p>
    <w:p w14:paraId="506F3B97" w14:textId="77777777" w:rsidR="00F21220" w:rsidRDefault="00F21220" w:rsidP="00F21220">
      <w:pPr>
        <w:spacing w:after="0" w:line="360" w:lineRule="auto"/>
        <w:jc w:val="both"/>
        <w:rPr>
          <w:rFonts w:ascii="Times New Roman" w:hAnsi="Times New Roman" w:cs="Times New Roman"/>
        </w:rPr>
      </w:pPr>
      <w:r>
        <w:br w:type="page"/>
      </w:r>
    </w:p>
    <w:p w14:paraId="564DF515" w14:textId="77777777" w:rsidR="00F21220" w:rsidRDefault="00F21220" w:rsidP="00F21220">
      <w:pPr>
        <w:spacing w:after="0" w:line="360" w:lineRule="auto"/>
        <w:jc w:val="center"/>
      </w:pPr>
      <w:r>
        <w:rPr>
          <w:rFonts w:ascii="Times New Roman" w:hAnsi="Times New Roman" w:cs="Times New Roman"/>
          <w:b/>
          <w:bCs/>
          <w:sz w:val="28"/>
          <w:szCs w:val="28"/>
        </w:rPr>
        <w:lastRenderedPageBreak/>
        <w:t>VII.- Diseño Metodológico</w:t>
      </w:r>
    </w:p>
    <w:p w14:paraId="07C00FAF"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 xml:space="preserve">Tipo de estudio: </w:t>
      </w:r>
    </w:p>
    <w:p w14:paraId="6E265303"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xml:space="preserve">El tipo de estudio es descriptivo: ya que consiste en describir fenómenos, situaciones, contextos y sucesos. Según el periodo, es transversal ya que aborda un fenómeno en un momento o periodo de tiempo determinado, con un enfoque mixto (cuantitativa y cualitativo): </w:t>
      </w:r>
    </w:p>
    <w:p w14:paraId="4F4B7AE6" w14:textId="77777777" w:rsidR="00F21220" w:rsidRPr="0017470E" w:rsidRDefault="00F21220" w:rsidP="00F21220">
      <w:pPr>
        <w:spacing w:after="0" w:line="360" w:lineRule="auto"/>
        <w:jc w:val="both"/>
        <w:rPr>
          <w:rFonts w:ascii="Times New Roman" w:hAnsi="Times New Roman" w:cs="Times New Roman"/>
          <w:sz w:val="24"/>
          <w:szCs w:val="24"/>
        </w:rPr>
      </w:pPr>
    </w:p>
    <w:p w14:paraId="1DB6971C"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Área y período de estudio:</w:t>
      </w:r>
    </w:p>
    <w:p w14:paraId="00CFC094"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Niños y niñas ingresadas en el servicio de Pediatría con el Diagnóstico de Infección de Vías Urinarias del Hospital SERMESA Masaya en el período comprendido entre enero a diciembre del 2024.</w:t>
      </w:r>
    </w:p>
    <w:p w14:paraId="3D1B921B" w14:textId="77777777" w:rsidR="00F21220" w:rsidRPr="0017470E" w:rsidRDefault="00F21220" w:rsidP="00F21220">
      <w:pPr>
        <w:spacing w:after="0" w:line="360" w:lineRule="auto"/>
        <w:jc w:val="both"/>
        <w:rPr>
          <w:rFonts w:ascii="Times New Roman" w:hAnsi="Times New Roman" w:cs="Times New Roman"/>
          <w:sz w:val="24"/>
          <w:szCs w:val="24"/>
        </w:rPr>
      </w:pPr>
    </w:p>
    <w:p w14:paraId="65C0F351"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Población de estudio:</w:t>
      </w:r>
    </w:p>
    <w:p w14:paraId="36436A1B"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Niños y niñas ingresadas en el servicio de Pediatría</w:t>
      </w:r>
    </w:p>
    <w:p w14:paraId="534A5511" w14:textId="77777777" w:rsidR="00F21220" w:rsidRPr="0017470E" w:rsidRDefault="00F21220" w:rsidP="00F21220">
      <w:pPr>
        <w:spacing w:after="0" w:line="360" w:lineRule="auto"/>
        <w:jc w:val="both"/>
        <w:rPr>
          <w:rFonts w:ascii="Times New Roman" w:hAnsi="Times New Roman" w:cs="Times New Roman"/>
          <w:sz w:val="24"/>
          <w:szCs w:val="24"/>
        </w:rPr>
      </w:pPr>
    </w:p>
    <w:p w14:paraId="65AE3D0C"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Universo y muestra</w:t>
      </w:r>
    </w:p>
    <w:p w14:paraId="6868E753"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Serán todos los niños y niñas ingresadas en el servicio de Pediatría en el Hospital SERMESA Masaya en el período comprendido, para lo cual se espera un total de 41 pacientes.</w:t>
      </w:r>
    </w:p>
    <w:p w14:paraId="1B7F3F8F" w14:textId="77777777" w:rsidR="00F21220" w:rsidRDefault="00F21220" w:rsidP="00F21220">
      <w:pPr>
        <w:spacing w:after="0" w:line="360" w:lineRule="auto"/>
        <w:jc w:val="both"/>
        <w:rPr>
          <w:rFonts w:ascii="Times New Roman" w:hAnsi="Times New Roman" w:cs="Times New Roman"/>
        </w:rPr>
      </w:pPr>
    </w:p>
    <w:p w14:paraId="7BB613B5"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Tipo de muestreo</w:t>
      </w:r>
    </w:p>
    <w:p w14:paraId="131F00E4"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El tipo de muestreo fue no probabilístico por conveniencia, tomando el total de universo 41 pacientes del periodo de estudio.</w:t>
      </w:r>
    </w:p>
    <w:p w14:paraId="2771E14E" w14:textId="77777777" w:rsidR="00F21220" w:rsidRPr="0017470E" w:rsidRDefault="00F21220" w:rsidP="00F21220">
      <w:pPr>
        <w:spacing w:after="0" w:line="360" w:lineRule="auto"/>
        <w:jc w:val="both"/>
        <w:rPr>
          <w:rFonts w:ascii="Times New Roman" w:hAnsi="Times New Roman" w:cs="Times New Roman"/>
          <w:sz w:val="24"/>
          <w:szCs w:val="24"/>
        </w:rPr>
      </w:pPr>
    </w:p>
    <w:p w14:paraId="56DD22D5"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 xml:space="preserve">Criterios de Inclusión: </w:t>
      </w:r>
    </w:p>
    <w:p w14:paraId="7C8E39BD"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Niños y Niñas de 1 mes hasta de 12 años de edad que ingresen con IVU a la sala de pediátrica en el periodo de estudio.</w:t>
      </w:r>
    </w:p>
    <w:p w14:paraId="774A0B3B"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Niños y Niñas con tratamiento intrahospitalario por más de 24 horas.</w:t>
      </w:r>
    </w:p>
    <w:p w14:paraId="6E9DD523"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b/>
          <w:bCs/>
          <w:sz w:val="24"/>
          <w:szCs w:val="24"/>
        </w:rPr>
        <w:t xml:space="preserve">Criterios de Exclusión: </w:t>
      </w:r>
    </w:p>
    <w:p w14:paraId="38067F8D"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Niños y Niñas menor de 1 mes de edad.</w:t>
      </w:r>
    </w:p>
    <w:p w14:paraId="6C5803FC"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Niños y Niñas que fueron ingresados a observación o en unidad de febriles (UAF) o tratados ambulatoriamente.</w:t>
      </w:r>
    </w:p>
    <w:p w14:paraId="079DCA7E"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Niños y Niñas con otras morbilidades y en estado grave</w:t>
      </w:r>
    </w:p>
    <w:p w14:paraId="4B6E05A3"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b/>
          <w:bCs/>
          <w:sz w:val="24"/>
          <w:szCs w:val="24"/>
        </w:rPr>
        <w:lastRenderedPageBreak/>
        <w:t>Fuente de información:</w:t>
      </w:r>
    </w:p>
    <w:p w14:paraId="56DB0B17"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Sera secundaria ya se realizar a través de la revisión expedientes clínicos comprendidos en el sistema computarizado Fleming.</w:t>
      </w:r>
    </w:p>
    <w:p w14:paraId="2C455922" w14:textId="77777777" w:rsidR="00F21220" w:rsidRPr="0017470E" w:rsidRDefault="00F21220" w:rsidP="00F21220">
      <w:pPr>
        <w:spacing w:after="0" w:line="360" w:lineRule="auto"/>
        <w:jc w:val="both"/>
        <w:rPr>
          <w:rFonts w:ascii="Times New Roman" w:hAnsi="Times New Roman" w:cs="Times New Roman"/>
          <w:sz w:val="24"/>
          <w:szCs w:val="24"/>
        </w:rPr>
      </w:pPr>
    </w:p>
    <w:p w14:paraId="7B7936C7"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Métodos, Técnicas e Instrumentos</w:t>
      </w:r>
      <w:r w:rsidRPr="0017470E">
        <w:rPr>
          <w:rFonts w:ascii="Times New Roman" w:eastAsia="Aptos" w:hAnsi="Times New Roman" w:cs="Times New Roman"/>
          <w:b/>
          <w:bCs/>
          <w:color w:val="000000" w:themeColor="text1"/>
          <w:sz w:val="24"/>
          <w:szCs w:val="24"/>
          <w:lang w:val="es-MX"/>
        </w:rPr>
        <w:t xml:space="preserve"> </w:t>
      </w:r>
    </w:p>
    <w:p w14:paraId="743770CB"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Procedimiento de recolección de datos:</w:t>
      </w:r>
    </w:p>
    <w:p w14:paraId="0DEF095F"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Elaboración de Instrumento de recolección de datos.</w:t>
      </w:r>
    </w:p>
    <w:p w14:paraId="26472B19"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Solicitud a través de la Universidad la autorización a la Dirección Hospitalaria, para acceder al sistema computarizado Fleming y revisar la evolución clínica de los pacientes.</w:t>
      </w:r>
    </w:p>
    <w:p w14:paraId="134D30A8"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rPr>
        <w:t>- Se revisarán los datos recopilados en el Fleming con el fin de evitar sesgos en la recolección de la información,</w:t>
      </w:r>
    </w:p>
    <w:p w14:paraId="135056F4" w14:textId="77777777" w:rsidR="00F21220" w:rsidRDefault="00F21220" w:rsidP="00F21220">
      <w:pPr>
        <w:spacing w:after="0" w:line="360" w:lineRule="auto"/>
        <w:jc w:val="both"/>
        <w:rPr>
          <w:rFonts w:ascii="Times New Roman" w:hAnsi="Times New Roman" w:cs="Times New Roman"/>
        </w:rPr>
      </w:pPr>
    </w:p>
    <w:p w14:paraId="0C2491C8" w14:textId="77777777" w:rsidR="00F21220" w:rsidRPr="0017470E" w:rsidRDefault="00F21220" w:rsidP="00F21220">
      <w:pPr>
        <w:pStyle w:val="Ttulo2"/>
        <w:spacing w:before="0" w:line="360" w:lineRule="auto"/>
        <w:jc w:val="both"/>
        <w:rPr>
          <w:b/>
          <w:bCs/>
          <w:szCs w:val="24"/>
        </w:rPr>
      </w:pPr>
      <w:bookmarkStart w:id="2" w:name="_Toc203059124"/>
      <w:r w:rsidRPr="0017470E">
        <w:rPr>
          <w:rFonts w:cs="Times New Roman"/>
          <w:b/>
          <w:bCs/>
          <w:color w:val="auto"/>
          <w:szCs w:val="24"/>
        </w:rPr>
        <w:t>Técnicas Cuantitativas de Investigación</w:t>
      </w:r>
      <w:bookmarkEnd w:id="2"/>
    </w:p>
    <w:p w14:paraId="71F94F8A" w14:textId="77777777" w:rsidR="00F21220" w:rsidRPr="0017470E" w:rsidRDefault="00F21220" w:rsidP="00F21220">
      <w:pPr>
        <w:pStyle w:val="Default"/>
        <w:spacing w:line="360" w:lineRule="auto"/>
        <w:jc w:val="both"/>
        <w:rPr>
          <w:rFonts w:hint="eastAsia"/>
        </w:rPr>
      </w:pPr>
      <w:r w:rsidRPr="0017470E">
        <w:rPr>
          <w:rFonts w:ascii="Times New Roman" w:hAnsi="Times New Roman" w:cs="Times New Roman"/>
          <w:b/>
          <w:bCs/>
          <w:color w:val="auto"/>
        </w:rPr>
        <w:t>Técnicas descriptivas</w:t>
      </w:r>
    </w:p>
    <w:p w14:paraId="046D4F95" w14:textId="77777777" w:rsidR="00F21220" w:rsidRPr="0017470E" w:rsidRDefault="00F21220" w:rsidP="00F21220">
      <w:pPr>
        <w:pStyle w:val="Default"/>
        <w:spacing w:line="360" w:lineRule="auto"/>
        <w:jc w:val="both"/>
        <w:rPr>
          <w:rFonts w:hint="eastAsia"/>
        </w:rPr>
      </w:pPr>
      <w:r w:rsidRPr="0017470E">
        <w:rPr>
          <w:rFonts w:ascii="Times New Roman" w:hAnsi="Times New Roman" w:cs="Times New Roman"/>
          <w:color w:val="auto"/>
        </w:rPr>
        <w:t xml:space="preserve">1.- Las estadísticas descriptivas para variables de categorías (nominales u ordinales). </w:t>
      </w:r>
    </w:p>
    <w:p w14:paraId="7092B0B6" w14:textId="77777777" w:rsidR="00F21220" w:rsidRPr="0017470E" w:rsidRDefault="00F21220" w:rsidP="00F21220">
      <w:pPr>
        <w:pStyle w:val="Default"/>
        <w:spacing w:line="360" w:lineRule="auto"/>
        <w:jc w:val="both"/>
        <w:rPr>
          <w:rFonts w:hint="eastAsia"/>
        </w:rPr>
      </w:pPr>
      <w:r w:rsidRPr="0017470E">
        <w:rPr>
          <w:rFonts w:ascii="Times New Roman" w:hAnsi="Times New Roman" w:cs="Times New Roman"/>
          <w:color w:val="auto"/>
        </w:rPr>
        <w:t>2.- Las estadísticas descriptivas para variables numéricas I.C. 95% para variables discretas o continúas.</w:t>
      </w:r>
    </w:p>
    <w:p w14:paraId="46922F0D" w14:textId="77777777" w:rsidR="00F21220" w:rsidRPr="0017470E" w:rsidRDefault="00F21220" w:rsidP="00F21220">
      <w:pPr>
        <w:pStyle w:val="Default"/>
        <w:spacing w:line="360" w:lineRule="auto"/>
        <w:jc w:val="both"/>
        <w:rPr>
          <w:rFonts w:hint="eastAsia"/>
        </w:rPr>
      </w:pPr>
      <w:r w:rsidRPr="0017470E">
        <w:rPr>
          <w:rFonts w:ascii="Times New Roman" w:hAnsi="Times New Roman" w:cs="Times New Roman"/>
          <w:color w:val="auto"/>
        </w:rPr>
        <w:t xml:space="preserve">3.- Gráficos para variables dicotómicas, individuales o en serie. </w:t>
      </w:r>
    </w:p>
    <w:p w14:paraId="7123E627" w14:textId="77777777" w:rsidR="00F21220" w:rsidRPr="0017470E" w:rsidRDefault="00F21220" w:rsidP="00F21220">
      <w:pPr>
        <w:pStyle w:val="Default"/>
        <w:tabs>
          <w:tab w:val="center" w:pos="4560"/>
        </w:tabs>
        <w:spacing w:line="360" w:lineRule="auto"/>
        <w:jc w:val="both"/>
        <w:rPr>
          <w:rFonts w:hint="eastAsia"/>
        </w:rPr>
      </w:pPr>
      <w:r w:rsidRPr="0017470E">
        <w:rPr>
          <w:rFonts w:ascii="Times New Roman" w:hAnsi="Times New Roman" w:cs="Times New Roman"/>
          <w:b/>
          <w:bCs/>
          <w:color w:val="auto"/>
        </w:rPr>
        <w:t>Técnicas de Asociación</w:t>
      </w:r>
      <w:r w:rsidRPr="0017470E">
        <w:rPr>
          <w:rFonts w:ascii="Times New Roman" w:hAnsi="Times New Roman" w:cs="Times New Roman"/>
          <w:b/>
          <w:bCs/>
          <w:color w:val="auto"/>
        </w:rPr>
        <w:tab/>
      </w:r>
    </w:p>
    <w:p w14:paraId="09415D9B" w14:textId="77777777" w:rsidR="00F21220" w:rsidRPr="0017470E" w:rsidRDefault="00F21220" w:rsidP="00F21220">
      <w:pPr>
        <w:pStyle w:val="Prrafodelista"/>
        <w:numPr>
          <w:ilvl w:val="0"/>
          <w:numId w:val="38"/>
        </w:numPr>
        <w:tabs>
          <w:tab w:val="left" w:pos="284"/>
        </w:tabs>
        <w:spacing w:after="0" w:line="360" w:lineRule="auto"/>
        <w:ind w:left="284" w:hanging="284"/>
        <w:jc w:val="both"/>
        <w:rPr>
          <w:sz w:val="24"/>
          <w:szCs w:val="24"/>
        </w:rPr>
      </w:pPr>
      <w:r w:rsidRPr="0017470E">
        <w:rPr>
          <w:rFonts w:ascii="Times New Roman" w:hAnsi="Times New Roman" w:cs="Times New Roman"/>
          <w:sz w:val="24"/>
          <w:szCs w:val="24"/>
        </w:rPr>
        <w:t>Razón de χ² Chi cuadrado y Valor de P</w:t>
      </w:r>
    </w:p>
    <w:p w14:paraId="2BB0CB77" w14:textId="77777777" w:rsidR="00F21220" w:rsidRPr="0017470E" w:rsidRDefault="00F21220" w:rsidP="00F21220">
      <w:pPr>
        <w:spacing w:after="0" w:line="360" w:lineRule="auto"/>
        <w:jc w:val="both"/>
        <w:rPr>
          <w:rFonts w:ascii="Times New Roman" w:hAnsi="Times New Roman" w:cs="Times New Roman"/>
          <w:sz w:val="24"/>
          <w:szCs w:val="24"/>
        </w:rPr>
      </w:pPr>
    </w:p>
    <w:p w14:paraId="387A6B00" w14:textId="77777777" w:rsidR="00F21220" w:rsidRPr="0017470E" w:rsidRDefault="00F21220" w:rsidP="00F21220">
      <w:pPr>
        <w:spacing w:after="29" w:line="360" w:lineRule="auto"/>
        <w:jc w:val="both"/>
        <w:rPr>
          <w:sz w:val="24"/>
          <w:szCs w:val="24"/>
        </w:rPr>
      </w:pPr>
      <w:r w:rsidRPr="0017470E">
        <w:rPr>
          <w:rFonts w:ascii="Times New Roman" w:hAnsi="Times New Roman" w:cs="Times New Roman"/>
          <w:b/>
          <w:bCs/>
          <w:color w:val="000000" w:themeColor="text1"/>
          <w:sz w:val="24"/>
          <w:szCs w:val="24"/>
          <w:lang w:val="es-MX"/>
        </w:rPr>
        <w:t>Procedimiento de Recolección de Datos</w:t>
      </w:r>
    </w:p>
    <w:p w14:paraId="4B679F83"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color w:val="000000" w:themeColor="text1"/>
          <w:sz w:val="24"/>
          <w:szCs w:val="24"/>
          <w:lang w:val="es-MX"/>
        </w:rPr>
        <w:t>La recolección de la información se realizará a través de un formulario diseñado por la investigadora, recopilando a través de la revisión del expediente electrónico (Fleming) con los datos consignadas en las variables a estudiar, posterior a la recolección de la información, se contará con la revisión de un médico asesor y finalmente se procederá al análisis de los mismos.</w:t>
      </w:r>
      <w:bookmarkStart w:id="3" w:name="_Toc1191684521"/>
      <w:r w:rsidRPr="0017470E">
        <w:rPr>
          <w:rFonts w:ascii="Times New Roman" w:hAnsi="Times New Roman" w:cs="Times New Roman"/>
          <w:sz w:val="24"/>
          <w:szCs w:val="24"/>
        </w:rPr>
        <w:t xml:space="preserve"> </w:t>
      </w:r>
      <w:bookmarkEnd w:id="3"/>
    </w:p>
    <w:p w14:paraId="615F4D7D" w14:textId="77777777" w:rsidR="00F21220" w:rsidRPr="0017470E" w:rsidRDefault="00F21220" w:rsidP="00F21220">
      <w:pPr>
        <w:spacing w:after="0" w:line="360" w:lineRule="auto"/>
        <w:jc w:val="both"/>
        <w:rPr>
          <w:rFonts w:ascii="Times New Roman" w:hAnsi="Times New Roman" w:cs="Times New Roman"/>
          <w:bCs/>
          <w:sz w:val="24"/>
          <w:szCs w:val="24"/>
        </w:rPr>
      </w:pPr>
    </w:p>
    <w:p w14:paraId="202C99A4"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b/>
          <w:bCs/>
          <w:sz w:val="24"/>
          <w:szCs w:val="24"/>
          <w:lang w:val="es-MX"/>
        </w:rPr>
        <w:t>Métodos e instrumentos para analizar información (plan de análisis):</w:t>
      </w:r>
    </w:p>
    <w:p w14:paraId="6A0EEB43"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lang w:val="es-MX"/>
        </w:rPr>
        <w:t xml:space="preserve">Una vez finalizado el período de recolección de los datos, mediante el análisis y completamiento del expediente clínico, estas serán procesadas y analizadas utilizando el conjunto de paquetes del programa computarizado SPSS versión 19, </w:t>
      </w:r>
      <w:r w:rsidRPr="0017470E">
        <w:rPr>
          <w:rFonts w:ascii="Times New Roman" w:hAnsi="Times New Roman" w:cs="Times New Roman"/>
          <w:color w:val="000000" w:themeColor="text1"/>
          <w:sz w:val="24"/>
          <w:szCs w:val="24"/>
          <w:lang w:val="es-MX"/>
        </w:rPr>
        <w:t xml:space="preserve">Los datos consignados en las fichas de recolección de </w:t>
      </w:r>
      <w:r w:rsidRPr="0017470E">
        <w:rPr>
          <w:rFonts w:ascii="Times New Roman" w:hAnsi="Times New Roman" w:cs="Times New Roman"/>
          <w:color w:val="000000" w:themeColor="text1"/>
          <w:sz w:val="24"/>
          <w:szCs w:val="24"/>
          <w:lang w:val="es-MX"/>
        </w:rPr>
        <w:lastRenderedPageBreak/>
        <w:t>datos serán procesados de manera digital en Excel, para luego presentar los resultados en las tablas estadísticas de acuerdo a los objetivos planteados.</w:t>
      </w:r>
    </w:p>
    <w:p w14:paraId="59645C81" w14:textId="77777777" w:rsidR="00F21220" w:rsidRPr="0017470E" w:rsidRDefault="00F21220" w:rsidP="00F21220">
      <w:pPr>
        <w:spacing w:after="0" w:line="360" w:lineRule="auto"/>
        <w:jc w:val="both"/>
        <w:rPr>
          <w:rFonts w:ascii="Times New Roman" w:hAnsi="Times New Roman" w:cs="Times New Roman"/>
          <w:sz w:val="24"/>
          <w:szCs w:val="24"/>
          <w:lang w:val="es-MX"/>
        </w:rPr>
      </w:pPr>
    </w:p>
    <w:p w14:paraId="7A3DA1AB" w14:textId="77777777" w:rsidR="00F21220" w:rsidRPr="0017470E" w:rsidRDefault="00F21220" w:rsidP="00F21220">
      <w:pPr>
        <w:spacing w:after="0" w:line="360" w:lineRule="auto"/>
        <w:jc w:val="both"/>
        <w:rPr>
          <w:sz w:val="24"/>
          <w:szCs w:val="24"/>
        </w:rPr>
      </w:pPr>
      <w:r w:rsidRPr="0017470E">
        <w:rPr>
          <w:rFonts w:ascii="Times New Roman" w:hAnsi="Times New Roman" w:cs="Times New Roman"/>
          <w:sz w:val="24"/>
          <w:szCs w:val="24"/>
          <w:lang w:val="es-MX"/>
        </w:rPr>
        <w:t xml:space="preserve">Para el análisis </w:t>
      </w:r>
      <w:proofErr w:type="spellStart"/>
      <w:r w:rsidRPr="0017470E">
        <w:rPr>
          <w:rFonts w:ascii="Times New Roman" w:hAnsi="Times New Roman" w:cs="Times New Roman"/>
          <w:sz w:val="24"/>
          <w:szCs w:val="24"/>
          <w:lang w:val="es-MX"/>
        </w:rPr>
        <w:t>univariado</w:t>
      </w:r>
      <w:proofErr w:type="spellEnd"/>
      <w:r w:rsidRPr="0017470E">
        <w:rPr>
          <w:rFonts w:ascii="Times New Roman" w:hAnsi="Times New Roman" w:cs="Times New Roman"/>
          <w:sz w:val="24"/>
          <w:szCs w:val="24"/>
          <w:lang w:val="es-MX"/>
        </w:rPr>
        <w:t>, la información se resumirá en tablas de distribución de frecuencia simple para cada una de las variables en estudio.</w:t>
      </w:r>
    </w:p>
    <w:p w14:paraId="29701109" w14:textId="77777777" w:rsidR="00F21220" w:rsidRPr="0017470E" w:rsidRDefault="00F21220" w:rsidP="00F21220">
      <w:pPr>
        <w:spacing w:after="120" w:line="360" w:lineRule="auto"/>
        <w:jc w:val="both"/>
        <w:outlineLvl w:val="1"/>
        <w:rPr>
          <w:rFonts w:ascii="Times New Roman" w:hAnsi="Times New Roman" w:cs="Times New Roman"/>
          <w:sz w:val="24"/>
          <w:szCs w:val="24"/>
          <w:lang w:val="es-MX"/>
        </w:rPr>
      </w:pPr>
    </w:p>
    <w:p w14:paraId="4B4A601C" w14:textId="77777777" w:rsidR="00F21220" w:rsidRPr="0017470E" w:rsidRDefault="00F21220" w:rsidP="00F21220">
      <w:pPr>
        <w:spacing w:after="120" w:line="360" w:lineRule="auto"/>
        <w:jc w:val="both"/>
        <w:outlineLvl w:val="1"/>
        <w:rPr>
          <w:sz w:val="24"/>
          <w:szCs w:val="24"/>
        </w:rPr>
      </w:pPr>
      <w:bookmarkStart w:id="4" w:name="_Toc1190602751"/>
      <w:bookmarkStart w:id="5" w:name="_Toc1191684551"/>
      <w:bookmarkStart w:id="6" w:name="_Toc203059125"/>
      <w:r w:rsidRPr="0017470E">
        <w:rPr>
          <w:rFonts w:ascii="Times New Roman" w:hAnsi="Times New Roman" w:cs="Times New Roman"/>
          <w:b/>
          <w:sz w:val="24"/>
          <w:szCs w:val="24"/>
        </w:rPr>
        <w:t>Plan de Tabulación</w:t>
      </w:r>
      <w:bookmarkEnd w:id="4"/>
      <w:bookmarkEnd w:id="5"/>
      <w:r w:rsidRPr="0017470E">
        <w:rPr>
          <w:rFonts w:ascii="Times New Roman" w:hAnsi="Times New Roman" w:cs="Times New Roman"/>
          <w:b/>
          <w:sz w:val="24"/>
          <w:szCs w:val="24"/>
        </w:rPr>
        <w:t xml:space="preserve"> y </w:t>
      </w:r>
      <w:r w:rsidRPr="0017470E">
        <w:rPr>
          <w:rFonts w:ascii="Times New Roman" w:hAnsi="Times New Roman" w:cs="Times New Roman"/>
          <w:b/>
          <w:bCs/>
          <w:sz w:val="24"/>
          <w:szCs w:val="24"/>
          <w:lang w:val="es-MX"/>
        </w:rPr>
        <w:t>análisis Estadístico de datos.</w:t>
      </w:r>
      <w:bookmarkEnd w:id="6"/>
    </w:p>
    <w:p w14:paraId="7F55E3D7" w14:textId="77777777" w:rsidR="00F21220" w:rsidRPr="0017470E" w:rsidRDefault="00F21220" w:rsidP="00F21220">
      <w:pPr>
        <w:spacing w:after="120" w:line="360" w:lineRule="auto"/>
        <w:jc w:val="both"/>
        <w:outlineLvl w:val="1"/>
        <w:rPr>
          <w:sz w:val="24"/>
          <w:szCs w:val="24"/>
        </w:rPr>
      </w:pPr>
      <w:bookmarkStart w:id="7" w:name="_Toc203059126"/>
      <w:r w:rsidRPr="0017470E">
        <w:rPr>
          <w:rFonts w:ascii="Times New Roman" w:hAnsi="Times New Roman" w:cs="Times New Roman"/>
          <w:b/>
          <w:sz w:val="24"/>
          <w:szCs w:val="24"/>
        </w:rPr>
        <w:t>Plan de Tabulación</w:t>
      </w:r>
      <w:bookmarkEnd w:id="7"/>
    </w:p>
    <w:p w14:paraId="1D12AEDC" w14:textId="14EB42FF" w:rsidR="00F21220" w:rsidRPr="0017470E" w:rsidRDefault="00F21220" w:rsidP="00F21220">
      <w:pPr>
        <w:spacing w:after="0" w:line="360" w:lineRule="auto"/>
        <w:jc w:val="both"/>
        <w:rPr>
          <w:sz w:val="24"/>
          <w:szCs w:val="24"/>
        </w:rPr>
      </w:pPr>
      <w:r w:rsidRPr="0017470E">
        <w:rPr>
          <w:rFonts w:ascii="Times New Roman" w:hAnsi="Times New Roman" w:cs="Times New Roman"/>
          <w:color w:val="000000"/>
          <w:sz w:val="24"/>
          <w:szCs w:val="24"/>
        </w:rPr>
        <w:t xml:space="preserve">Para responder al objetivo específico número 1, de tipo descriptivo, se presentan los cuadros de salida con el análisis de frecuencia de las variables. Las variables analizadas individualmente o presentadas en </w:t>
      </w:r>
      <w:r w:rsidR="0073645A">
        <w:rPr>
          <w:rFonts w:ascii="Times New Roman" w:hAnsi="Times New Roman" w:cs="Times New Roman"/>
          <w:color w:val="000000"/>
          <w:sz w:val="24"/>
          <w:szCs w:val="24"/>
        </w:rPr>
        <w:t xml:space="preserve">tablas </w:t>
      </w:r>
      <w:r w:rsidRPr="0017470E">
        <w:rPr>
          <w:rFonts w:ascii="Times New Roman" w:hAnsi="Times New Roman" w:cs="Times New Roman"/>
          <w:color w:val="000000"/>
          <w:sz w:val="24"/>
          <w:szCs w:val="24"/>
        </w:rPr>
        <w:t xml:space="preserve">y </w:t>
      </w:r>
      <w:r w:rsidR="0073645A" w:rsidRPr="0017470E">
        <w:rPr>
          <w:rFonts w:ascii="Times New Roman" w:hAnsi="Times New Roman" w:cs="Times New Roman"/>
          <w:color w:val="000000"/>
          <w:sz w:val="24"/>
          <w:szCs w:val="24"/>
        </w:rPr>
        <w:t>gráficos</w:t>
      </w:r>
      <w:r w:rsidRPr="0017470E">
        <w:rPr>
          <w:rFonts w:ascii="Times New Roman" w:hAnsi="Times New Roman" w:cs="Times New Roman"/>
          <w:color w:val="000000"/>
          <w:sz w:val="24"/>
          <w:szCs w:val="24"/>
        </w:rPr>
        <w:t xml:space="preserve"> son las siguientes: Edad, Sexo, Procedencia, Antecedentes personales, Estado nutricional, Síntomas, Hospitalizaciones previas, Antecedentes infecciones maternas, Lactancia Materna, Hospitalizaciones previas del niño, Malformaciones congénitas, Peso adecuado al nacer, Antecedentes de IVU.</w:t>
      </w:r>
    </w:p>
    <w:p w14:paraId="70CAFC38" w14:textId="77777777" w:rsidR="00F21220" w:rsidRPr="0017470E" w:rsidRDefault="00F21220" w:rsidP="00F21220">
      <w:pPr>
        <w:keepNext/>
        <w:keepLines/>
        <w:spacing w:after="0" w:line="360" w:lineRule="auto"/>
        <w:jc w:val="both"/>
        <w:outlineLvl w:val="1"/>
        <w:rPr>
          <w:rFonts w:ascii="Times New Roman" w:hAnsi="Times New Roman" w:cs="Times New Roman"/>
          <w:sz w:val="24"/>
          <w:szCs w:val="24"/>
        </w:rPr>
      </w:pPr>
    </w:p>
    <w:p w14:paraId="363AE96E" w14:textId="644750C8" w:rsidR="00F21220" w:rsidRPr="0017470E" w:rsidRDefault="00F21220" w:rsidP="00F21220">
      <w:pPr>
        <w:pStyle w:val="Prrafodelista"/>
        <w:spacing w:after="0" w:line="360" w:lineRule="auto"/>
        <w:ind w:left="0"/>
        <w:jc w:val="both"/>
        <w:rPr>
          <w:sz w:val="24"/>
          <w:szCs w:val="24"/>
        </w:rPr>
      </w:pPr>
      <w:r w:rsidRPr="0017470E">
        <w:rPr>
          <w:rFonts w:ascii="Times New Roman" w:hAnsi="Times New Roman" w:cs="Times New Roman"/>
          <w:color w:val="000000"/>
          <w:sz w:val="24"/>
          <w:szCs w:val="24"/>
        </w:rPr>
        <w:t xml:space="preserve">Para responder al objetivo específico número 2, de tipo descriptivo, se presentan los cuadros de salida con el análisis de frecuencia de las variables. Las variables analizadas individualmente o presentadas en </w:t>
      </w:r>
      <w:r w:rsidR="0073645A">
        <w:rPr>
          <w:rFonts w:ascii="Times New Roman" w:hAnsi="Times New Roman" w:cs="Times New Roman"/>
          <w:color w:val="000000"/>
          <w:sz w:val="24"/>
          <w:szCs w:val="24"/>
        </w:rPr>
        <w:t>tablas</w:t>
      </w:r>
      <w:r w:rsidRPr="0017470E">
        <w:rPr>
          <w:rFonts w:ascii="Times New Roman" w:hAnsi="Times New Roman" w:cs="Times New Roman"/>
          <w:color w:val="000000"/>
          <w:sz w:val="24"/>
          <w:szCs w:val="24"/>
        </w:rPr>
        <w:t xml:space="preserve"> y </w:t>
      </w:r>
      <w:r w:rsidR="0073645A" w:rsidRPr="0017470E">
        <w:rPr>
          <w:rFonts w:ascii="Times New Roman" w:hAnsi="Times New Roman" w:cs="Times New Roman"/>
          <w:color w:val="000000"/>
          <w:sz w:val="24"/>
          <w:szCs w:val="24"/>
        </w:rPr>
        <w:t>gráficos</w:t>
      </w:r>
      <w:r w:rsidRPr="0017470E">
        <w:rPr>
          <w:rFonts w:ascii="Times New Roman" w:hAnsi="Times New Roman" w:cs="Times New Roman"/>
          <w:color w:val="000000"/>
          <w:sz w:val="24"/>
          <w:szCs w:val="24"/>
        </w:rPr>
        <w:t xml:space="preserve"> son las siguientes: </w:t>
      </w:r>
      <w:r w:rsidRPr="0017470E">
        <w:rPr>
          <w:rFonts w:ascii="Times New Roman" w:hAnsi="Times New Roman" w:cs="Times New Roman"/>
          <w:bCs/>
          <w:color w:val="000000"/>
          <w:sz w:val="24"/>
          <w:szCs w:val="24"/>
          <w:lang w:val="es-MX"/>
        </w:rPr>
        <w:t>Diagnóstico de ingreso, Datos de laboratorio e imagen, Estancia Hospitalaria, Patologías asociadas intrahospitalaria, Resultado microbiológico, Tratamiento, Días de tratamiento, Cambio de terapias y Terapias adicionales.</w:t>
      </w:r>
    </w:p>
    <w:p w14:paraId="0D19E8D2" w14:textId="77777777" w:rsidR="00F21220" w:rsidRPr="0017470E" w:rsidRDefault="00F21220" w:rsidP="00F21220">
      <w:pPr>
        <w:pStyle w:val="Prrafodelista"/>
        <w:spacing w:after="0" w:line="360" w:lineRule="auto"/>
        <w:ind w:left="0"/>
        <w:jc w:val="both"/>
        <w:rPr>
          <w:rFonts w:ascii="Times New Roman" w:hAnsi="Times New Roman" w:cs="Times New Roman"/>
          <w:bCs/>
          <w:color w:val="000000"/>
          <w:sz w:val="24"/>
          <w:szCs w:val="24"/>
          <w:lang w:val="es-MX"/>
        </w:rPr>
      </w:pPr>
    </w:p>
    <w:p w14:paraId="36057B2F" w14:textId="6A9C8921" w:rsidR="00F21220" w:rsidRPr="0017470E" w:rsidRDefault="00F21220" w:rsidP="00F21220">
      <w:pPr>
        <w:spacing w:after="0" w:line="360" w:lineRule="auto"/>
        <w:jc w:val="both"/>
        <w:rPr>
          <w:sz w:val="24"/>
          <w:szCs w:val="24"/>
        </w:rPr>
      </w:pPr>
      <w:r w:rsidRPr="0017470E">
        <w:rPr>
          <w:rFonts w:ascii="Times New Roman" w:hAnsi="Times New Roman" w:cs="Times New Roman"/>
          <w:color w:val="000000"/>
          <w:sz w:val="24"/>
          <w:szCs w:val="24"/>
        </w:rPr>
        <w:t xml:space="preserve">Para responder al objetivo específico número 3, de tipo descriptivo, se presentan los cuadros de salida con el análisis de frecuencia de las variables. Las variables analizadas individualmente o presentadas en </w:t>
      </w:r>
      <w:r w:rsidR="0073645A">
        <w:rPr>
          <w:rFonts w:ascii="Times New Roman" w:hAnsi="Times New Roman" w:cs="Times New Roman"/>
          <w:color w:val="000000"/>
          <w:sz w:val="24"/>
          <w:szCs w:val="24"/>
        </w:rPr>
        <w:t>tablas</w:t>
      </w:r>
      <w:r w:rsidRPr="0017470E">
        <w:rPr>
          <w:rFonts w:ascii="Times New Roman" w:hAnsi="Times New Roman" w:cs="Times New Roman"/>
          <w:color w:val="000000"/>
          <w:sz w:val="24"/>
          <w:szCs w:val="24"/>
        </w:rPr>
        <w:t xml:space="preserve"> y </w:t>
      </w:r>
      <w:r w:rsidR="0073645A" w:rsidRPr="0017470E">
        <w:rPr>
          <w:rFonts w:ascii="Times New Roman" w:hAnsi="Times New Roman" w:cs="Times New Roman"/>
          <w:color w:val="000000"/>
          <w:sz w:val="24"/>
          <w:szCs w:val="24"/>
        </w:rPr>
        <w:t>gráficos</w:t>
      </w:r>
      <w:r w:rsidRPr="0017470E">
        <w:rPr>
          <w:rFonts w:ascii="Times New Roman" w:hAnsi="Times New Roman" w:cs="Times New Roman"/>
          <w:color w:val="000000"/>
          <w:sz w:val="24"/>
          <w:szCs w:val="24"/>
        </w:rPr>
        <w:t xml:space="preserve"> son las siguientes: </w:t>
      </w:r>
      <w:r w:rsidRPr="0017470E">
        <w:rPr>
          <w:rFonts w:ascii="Times New Roman" w:hAnsi="Times New Roman" w:cs="Times New Roman"/>
          <w:bCs/>
          <w:sz w:val="24"/>
          <w:szCs w:val="24"/>
          <w:lang w:val="es-MX"/>
        </w:rPr>
        <w:t>Complicaciones durante su ingreso,</w:t>
      </w:r>
      <w:r w:rsidRPr="0017470E">
        <w:rPr>
          <w:rFonts w:ascii="Times New Roman" w:hAnsi="Times New Roman" w:cs="Times New Roman"/>
          <w:sz w:val="24"/>
          <w:szCs w:val="24"/>
        </w:rPr>
        <w:t xml:space="preserve"> </w:t>
      </w:r>
      <w:r w:rsidRPr="0017470E">
        <w:rPr>
          <w:rFonts w:ascii="Times New Roman" w:hAnsi="Times New Roman" w:cs="Times New Roman"/>
          <w:bCs/>
          <w:sz w:val="24"/>
          <w:szCs w:val="24"/>
          <w:lang w:val="es-MX"/>
        </w:rPr>
        <w:t>Condiciones de egreso.</w:t>
      </w:r>
    </w:p>
    <w:p w14:paraId="0B538B13" w14:textId="77777777" w:rsidR="00F21220" w:rsidRPr="0017470E" w:rsidRDefault="00F21220" w:rsidP="00F21220">
      <w:pPr>
        <w:spacing w:after="0" w:line="360" w:lineRule="auto"/>
        <w:jc w:val="both"/>
        <w:rPr>
          <w:rFonts w:ascii="Times New Roman" w:hAnsi="Times New Roman" w:cs="Times New Roman"/>
          <w:sz w:val="24"/>
          <w:szCs w:val="24"/>
        </w:rPr>
      </w:pPr>
    </w:p>
    <w:p w14:paraId="1F0B18F1" w14:textId="130379A9" w:rsidR="00F21220" w:rsidRPr="0017470E" w:rsidRDefault="00F21220" w:rsidP="00F21220">
      <w:pPr>
        <w:spacing w:after="0" w:line="360" w:lineRule="auto"/>
        <w:jc w:val="both"/>
        <w:rPr>
          <w:sz w:val="24"/>
          <w:szCs w:val="24"/>
        </w:rPr>
      </w:pPr>
      <w:r w:rsidRPr="0017470E">
        <w:rPr>
          <w:rFonts w:ascii="Times New Roman" w:eastAsia="Aptos" w:hAnsi="Times New Roman" w:cs="Times New Roman"/>
          <w:color w:val="000000"/>
          <w:sz w:val="24"/>
          <w:szCs w:val="24"/>
        </w:rPr>
        <w:t>Posteriormente se realizarán cuadros de asociación entre variables independientes y dependientes, con análisis de contingencia correspondientes, según la naturaleza y calidad de las variables. L</w:t>
      </w:r>
      <w:r w:rsidR="0073645A">
        <w:rPr>
          <w:rFonts w:ascii="Times New Roman" w:eastAsia="Aptos" w:hAnsi="Times New Roman" w:cs="Times New Roman"/>
          <w:color w:val="000000"/>
          <w:sz w:val="24"/>
          <w:szCs w:val="24"/>
        </w:rPr>
        <w:t>a</w:t>
      </w:r>
      <w:r w:rsidRPr="0017470E">
        <w:rPr>
          <w:rFonts w:ascii="Times New Roman" w:eastAsia="Aptos" w:hAnsi="Times New Roman" w:cs="Times New Roman"/>
          <w:color w:val="000000"/>
          <w:sz w:val="24"/>
          <w:szCs w:val="24"/>
        </w:rPr>
        <w:t xml:space="preserve">s </w:t>
      </w:r>
      <w:r w:rsidR="0073645A">
        <w:rPr>
          <w:rFonts w:ascii="Times New Roman" w:eastAsia="Aptos" w:hAnsi="Times New Roman" w:cs="Times New Roman"/>
          <w:color w:val="000000"/>
          <w:sz w:val="24"/>
          <w:szCs w:val="24"/>
        </w:rPr>
        <w:t xml:space="preserve">tablas </w:t>
      </w:r>
      <w:r w:rsidRPr="0017470E">
        <w:rPr>
          <w:rFonts w:ascii="Times New Roman" w:eastAsia="Aptos" w:hAnsi="Times New Roman" w:cs="Times New Roman"/>
          <w:color w:val="000000"/>
          <w:sz w:val="24"/>
          <w:szCs w:val="24"/>
        </w:rPr>
        <w:t>de salida especifican las tablas de contingencia con porcentajes de totales y la tabla de probabilidad de las pruebas de χ² Chi cuadrado y valor de P.</w:t>
      </w:r>
    </w:p>
    <w:p w14:paraId="370EF73F" w14:textId="77777777" w:rsidR="00F21220" w:rsidRPr="0017470E" w:rsidRDefault="00F21220" w:rsidP="00F21220">
      <w:pPr>
        <w:spacing w:after="120" w:line="360" w:lineRule="auto"/>
        <w:jc w:val="both"/>
        <w:outlineLvl w:val="1"/>
        <w:rPr>
          <w:sz w:val="24"/>
          <w:szCs w:val="24"/>
        </w:rPr>
      </w:pPr>
      <w:bookmarkStart w:id="8" w:name="_Toc203059127"/>
      <w:r w:rsidRPr="0017470E">
        <w:rPr>
          <w:rFonts w:ascii="Times New Roman" w:eastAsia="Aptos" w:hAnsi="Times New Roman" w:cs="Times New Roman"/>
          <w:b/>
          <w:color w:val="000000"/>
          <w:sz w:val="24"/>
          <w:szCs w:val="24"/>
        </w:rPr>
        <w:lastRenderedPageBreak/>
        <w:t>Variables</w:t>
      </w:r>
      <w:bookmarkEnd w:id="8"/>
      <w:r w:rsidRPr="0017470E">
        <w:rPr>
          <w:rFonts w:ascii="Times New Roman" w:eastAsia="Aptos" w:hAnsi="Times New Roman" w:cs="Times New Roman"/>
          <w:b/>
          <w:color w:val="000000"/>
          <w:sz w:val="24"/>
          <w:szCs w:val="24"/>
        </w:rPr>
        <w:t xml:space="preserve"> </w:t>
      </w:r>
    </w:p>
    <w:p w14:paraId="542FF132"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O1. Describir las características sociodemográficas de los pacientes en estudio.</w:t>
      </w:r>
    </w:p>
    <w:p w14:paraId="4E44E5AD"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Edad</w:t>
      </w:r>
    </w:p>
    <w:p w14:paraId="442C07DF"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Sexo</w:t>
      </w:r>
    </w:p>
    <w:p w14:paraId="6836D0AC"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Antecedentes patológicos personales</w:t>
      </w:r>
    </w:p>
    <w:p w14:paraId="19F04E72"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Estado nutricional</w:t>
      </w:r>
    </w:p>
    <w:p w14:paraId="32FE3DD6"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Manifestaciones clínicas</w:t>
      </w:r>
    </w:p>
    <w:p w14:paraId="5E970D16"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Hospitalizaciones previas</w:t>
      </w:r>
    </w:p>
    <w:p w14:paraId="63DDF6BB"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Lactancia Materna</w:t>
      </w:r>
    </w:p>
    <w:p w14:paraId="554F59CB"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Malformaciones</w:t>
      </w:r>
    </w:p>
    <w:p w14:paraId="6034B63B"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Antecedentes de IVU</w:t>
      </w:r>
    </w:p>
    <w:p w14:paraId="613FEE71" w14:textId="77777777" w:rsidR="00F21220" w:rsidRPr="0017470E" w:rsidRDefault="00F21220" w:rsidP="00F21220">
      <w:pPr>
        <w:spacing w:after="0" w:line="360" w:lineRule="auto"/>
        <w:jc w:val="both"/>
        <w:rPr>
          <w:rFonts w:ascii="Times New Roman" w:hAnsi="Times New Roman" w:cs="Times New Roman"/>
          <w:sz w:val="24"/>
          <w:szCs w:val="24"/>
        </w:rPr>
      </w:pPr>
    </w:p>
    <w:p w14:paraId="6CAB4C4D"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O2. Identificar las características clínicas y manejo de los pacientes pediátricos en estudio.</w:t>
      </w:r>
    </w:p>
    <w:p w14:paraId="029B0B5B"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Diagnóstico de ingreso</w:t>
      </w:r>
    </w:p>
    <w:p w14:paraId="110F4C65"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Datos de laboratorio</w:t>
      </w:r>
    </w:p>
    <w:p w14:paraId="12F28A39"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Datos de imagen</w:t>
      </w:r>
    </w:p>
    <w:p w14:paraId="7DAD7AC7"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Estancia Hospitalaria</w:t>
      </w:r>
    </w:p>
    <w:p w14:paraId="034C2ED7"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Patologías asociadas intrahospitalaria</w:t>
      </w:r>
    </w:p>
    <w:p w14:paraId="1CAD9C0A"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Resultado microbiológico</w:t>
      </w:r>
    </w:p>
    <w:p w14:paraId="4B47EC5F"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Tratamiento</w:t>
      </w:r>
    </w:p>
    <w:p w14:paraId="2143E6F5"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Cambio de terapias</w:t>
      </w:r>
    </w:p>
    <w:p w14:paraId="450014CD" w14:textId="77777777" w:rsidR="00F21220" w:rsidRPr="0017470E" w:rsidRDefault="00F21220" w:rsidP="00F21220">
      <w:pPr>
        <w:numPr>
          <w:ilvl w:val="0"/>
          <w:numId w:val="40"/>
        </w:numPr>
        <w:spacing w:after="0" w:line="276" w:lineRule="auto"/>
        <w:jc w:val="both"/>
        <w:rPr>
          <w:sz w:val="24"/>
          <w:szCs w:val="24"/>
        </w:rPr>
      </w:pPr>
      <w:r w:rsidRPr="0017470E">
        <w:rPr>
          <w:rFonts w:ascii="Times New Roman" w:hAnsi="Times New Roman" w:cs="Times New Roman"/>
          <w:sz w:val="24"/>
          <w:szCs w:val="24"/>
        </w:rPr>
        <w:t>Terapias adicionales</w:t>
      </w:r>
    </w:p>
    <w:p w14:paraId="2F2AE779" w14:textId="77777777" w:rsidR="00F21220" w:rsidRPr="0017470E" w:rsidRDefault="00F21220" w:rsidP="00F21220">
      <w:pPr>
        <w:spacing w:after="0" w:line="360" w:lineRule="auto"/>
        <w:jc w:val="both"/>
        <w:rPr>
          <w:rFonts w:ascii="Times New Roman" w:hAnsi="Times New Roman" w:cs="Times New Roman"/>
          <w:sz w:val="24"/>
          <w:szCs w:val="24"/>
        </w:rPr>
      </w:pPr>
    </w:p>
    <w:p w14:paraId="1BFECF1F"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t>O3. Describir la evolución clínica de los pacientes en estudio.</w:t>
      </w:r>
    </w:p>
    <w:p w14:paraId="195C9AA7" w14:textId="77777777" w:rsidR="00F21220" w:rsidRPr="0017470E" w:rsidRDefault="00F21220" w:rsidP="00F21220">
      <w:pPr>
        <w:numPr>
          <w:ilvl w:val="0"/>
          <w:numId w:val="41"/>
        </w:numPr>
        <w:spacing w:after="0" w:line="276" w:lineRule="auto"/>
        <w:jc w:val="both"/>
        <w:rPr>
          <w:sz w:val="24"/>
          <w:szCs w:val="24"/>
        </w:rPr>
      </w:pPr>
      <w:r w:rsidRPr="0017470E">
        <w:rPr>
          <w:rFonts w:ascii="Times New Roman" w:hAnsi="Times New Roman" w:cs="Times New Roman"/>
          <w:sz w:val="24"/>
          <w:szCs w:val="24"/>
        </w:rPr>
        <w:t>Complicaciones</w:t>
      </w:r>
    </w:p>
    <w:p w14:paraId="10A5A999" w14:textId="77777777" w:rsidR="00F21220" w:rsidRPr="0017470E" w:rsidRDefault="00F21220" w:rsidP="00F21220">
      <w:pPr>
        <w:numPr>
          <w:ilvl w:val="0"/>
          <w:numId w:val="41"/>
        </w:numPr>
        <w:spacing w:after="0" w:line="276" w:lineRule="auto"/>
        <w:jc w:val="both"/>
        <w:rPr>
          <w:sz w:val="24"/>
          <w:szCs w:val="24"/>
        </w:rPr>
      </w:pPr>
      <w:r w:rsidRPr="0017470E">
        <w:rPr>
          <w:rFonts w:ascii="Times New Roman" w:hAnsi="Times New Roman" w:cs="Times New Roman"/>
          <w:sz w:val="24"/>
          <w:szCs w:val="24"/>
        </w:rPr>
        <w:t>Condición al egreso</w:t>
      </w:r>
    </w:p>
    <w:p w14:paraId="3E681D83" w14:textId="77777777" w:rsidR="00F21220" w:rsidRPr="0017470E" w:rsidRDefault="00F21220" w:rsidP="00F21220">
      <w:pPr>
        <w:spacing w:after="0" w:line="360" w:lineRule="auto"/>
        <w:jc w:val="both"/>
        <w:rPr>
          <w:rFonts w:ascii="Times New Roman" w:hAnsi="Times New Roman" w:cs="Times New Roman"/>
          <w:sz w:val="24"/>
          <w:szCs w:val="24"/>
        </w:rPr>
      </w:pPr>
    </w:p>
    <w:p w14:paraId="3B40F6A5" w14:textId="77777777" w:rsidR="00F21220" w:rsidRPr="0017470E" w:rsidRDefault="00F21220" w:rsidP="00F21220">
      <w:pPr>
        <w:spacing w:after="0" w:line="240" w:lineRule="auto"/>
        <w:rPr>
          <w:rFonts w:ascii="Times New Roman" w:hAnsi="Times New Roman" w:cs="Times New Roman"/>
          <w:sz w:val="24"/>
          <w:szCs w:val="24"/>
        </w:rPr>
      </w:pPr>
      <w:r w:rsidRPr="0017470E">
        <w:rPr>
          <w:sz w:val="24"/>
          <w:szCs w:val="24"/>
        </w:rPr>
        <w:br w:type="page"/>
      </w:r>
    </w:p>
    <w:p w14:paraId="4642D96E" w14:textId="77777777" w:rsidR="00F21220" w:rsidRPr="0017470E" w:rsidRDefault="00F21220" w:rsidP="00F21220">
      <w:pPr>
        <w:spacing w:after="0" w:line="360" w:lineRule="auto"/>
        <w:jc w:val="both"/>
        <w:rPr>
          <w:b/>
          <w:bCs/>
          <w:sz w:val="24"/>
          <w:szCs w:val="24"/>
        </w:rPr>
      </w:pPr>
      <w:r w:rsidRPr="0017470E">
        <w:rPr>
          <w:rFonts w:ascii="Times New Roman" w:hAnsi="Times New Roman" w:cs="Times New Roman"/>
          <w:b/>
          <w:bCs/>
          <w:sz w:val="24"/>
          <w:szCs w:val="24"/>
        </w:rPr>
        <w:lastRenderedPageBreak/>
        <w:t>Asociación de Variables.</w:t>
      </w:r>
    </w:p>
    <w:p w14:paraId="0D9C215D"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Edad / Complicaciones</w:t>
      </w:r>
    </w:p>
    <w:p w14:paraId="39B89C71"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Sexo / Complicaciones</w:t>
      </w:r>
    </w:p>
    <w:p w14:paraId="7A56629B"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APP / Complicaciones</w:t>
      </w:r>
    </w:p>
    <w:p w14:paraId="5F11C00E"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Estado nutricional / Complicaciones</w:t>
      </w:r>
    </w:p>
    <w:p w14:paraId="4701BAB8"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Hospitalizaciones previas / Complicaciones</w:t>
      </w:r>
    </w:p>
    <w:p w14:paraId="2864F252"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Lactancia Materna / Complicaciones</w:t>
      </w:r>
    </w:p>
    <w:p w14:paraId="43B10696"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Malformaciones / Complicaciones</w:t>
      </w:r>
    </w:p>
    <w:p w14:paraId="79567750"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Antecedentes de IVU / Complicaciones</w:t>
      </w:r>
    </w:p>
    <w:p w14:paraId="052C3B91"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Diagnóstico de ingreso / Complicaciones</w:t>
      </w:r>
    </w:p>
    <w:p w14:paraId="0CF5D4C3"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Estancia Hospitalaria / Complicaciones</w:t>
      </w:r>
    </w:p>
    <w:p w14:paraId="4DF00153" w14:textId="77777777" w:rsidR="00F21220" w:rsidRPr="0017470E" w:rsidRDefault="00F21220" w:rsidP="00F21220">
      <w:pPr>
        <w:numPr>
          <w:ilvl w:val="0"/>
          <w:numId w:val="39"/>
        </w:numPr>
        <w:spacing w:after="0" w:line="276" w:lineRule="auto"/>
        <w:jc w:val="both"/>
        <w:rPr>
          <w:sz w:val="24"/>
          <w:szCs w:val="24"/>
        </w:rPr>
      </w:pPr>
      <w:r w:rsidRPr="0017470E">
        <w:rPr>
          <w:rFonts w:ascii="Times New Roman" w:hAnsi="Times New Roman" w:cs="Times New Roman"/>
          <w:sz w:val="24"/>
          <w:szCs w:val="24"/>
        </w:rPr>
        <w:t>Patologías asociadas intrahospitalaria / Complicaciones</w:t>
      </w:r>
    </w:p>
    <w:p w14:paraId="0B6FA7BF" w14:textId="77777777" w:rsidR="00F21220" w:rsidRPr="0017470E" w:rsidRDefault="00F21220" w:rsidP="00F21220">
      <w:pPr>
        <w:spacing w:after="0"/>
        <w:ind w:left="360"/>
        <w:jc w:val="both"/>
        <w:rPr>
          <w:sz w:val="24"/>
          <w:szCs w:val="24"/>
        </w:rPr>
      </w:pPr>
    </w:p>
    <w:p w14:paraId="5582EEA7" w14:textId="77777777" w:rsidR="00F21220" w:rsidRPr="0017470E" w:rsidRDefault="00F21220" w:rsidP="00F21220">
      <w:pPr>
        <w:spacing w:after="0" w:line="360" w:lineRule="auto"/>
        <w:jc w:val="both"/>
        <w:rPr>
          <w:rFonts w:ascii="Times New Roman" w:hAnsi="Times New Roman" w:cs="Times New Roman"/>
          <w:sz w:val="24"/>
          <w:szCs w:val="24"/>
        </w:rPr>
      </w:pPr>
    </w:p>
    <w:p w14:paraId="1B0A5336" w14:textId="77777777" w:rsidR="00F21220" w:rsidRPr="0017470E" w:rsidRDefault="00F21220" w:rsidP="00F21220">
      <w:pPr>
        <w:spacing w:after="0" w:line="240" w:lineRule="auto"/>
        <w:rPr>
          <w:rFonts w:ascii="Times New Roman" w:hAnsi="Times New Roman" w:cs="Times New Roman"/>
          <w:sz w:val="24"/>
          <w:szCs w:val="24"/>
        </w:rPr>
      </w:pPr>
      <w:r w:rsidRPr="0017470E">
        <w:rPr>
          <w:sz w:val="24"/>
          <w:szCs w:val="24"/>
        </w:rPr>
        <w:br w:type="page"/>
      </w:r>
    </w:p>
    <w:p w14:paraId="76271096" w14:textId="77777777" w:rsidR="00F21220" w:rsidRPr="0017470E" w:rsidRDefault="00F21220" w:rsidP="00F21220">
      <w:pPr>
        <w:spacing w:after="0" w:line="360" w:lineRule="auto"/>
        <w:jc w:val="both"/>
        <w:rPr>
          <w:rFonts w:ascii="Times New Roman" w:hAnsi="Times New Roman" w:cs="Times New Roman"/>
          <w:b/>
          <w:bCs/>
          <w:sz w:val="24"/>
          <w:szCs w:val="24"/>
        </w:rPr>
      </w:pPr>
      <w:r w:rsidRPr="0017470E">
        <w:rPr>
          <w:rFonts w:ascii="Times New Roman" w:hAnsi="Times New Roman" w:cs="Times New Roman"/>
          <w:b/>
          <w:bCs/>
          <w:sz w:val="24"/>
          <w:szCs w:val="24"/>
        </w:rPr>
        <w:lastRenderedPageBreak/>
        <w:t>Operacionalización de las Variables</w:t>
      </w:r>
    </w:p>
    <w:tbl>
      <w:tblPr>
        <w:tblStyle w:val="Tablaconcuadrcula"/>
        <w:tblW w:w="9394" w:type="dxa"/>
        <w:tblLook w:val="04A0" w:firstRow="1" w:lastRow="0" w:firstColumn="1" w:lastColumn="0" w:noHBand="0" w:noVBand="1"/>
      </w:tblPr>
      <w:tblGrid>
        <w:gridCol w:w="1940"/>
        <w:gridCol w:w="1780"/>
        <w:gridCol w:w="1836"/>
        <w:gridCol w:w="1302"/>
        <w:gridCol w:w="1390"/>
        <w:gridCol w:w="1146"/>
      </w:tblGrid>
      <w:tr w:rsidR="00654579" w14:paraId="756D62B1" w14:textId="77777777" w:rsidTr="00684A8A">
        <w:tc>
          <w:tcPr>
            <w:tcW w:w="1940" w:type="dxa"/>
            <w:shd w:val="clear" w:color="auto" w:fill="auto"/>
          </w:tcPr>
          <w:p w14:paraId="53B43FC1" w14:textId="77777777" w:rsidR="00654579" w:rsidRDefault="00654579" w:rsidP="00D07F27">
            <w:pPr>
              <w:spacing w:after="0" w:line="240" w:lineRule="auto"/>
              <w:jc w:val="center"/>
              <w:rPr>
                <w:rFonts w:ascii="Times New Roman" w:hAnsi="Times New Roman" w:cs="Times New Roman"/>
                <w:b/>
                <w:bCs/>
              </w:rPr>
            </w:pPr>
            <w:r>
              <w:rPr>
                <w:rFonts w:ascii="Times New Roman" w:hAnsi="Times New Roman" w:cs="Times New Roman"/>
                <w:b/>
                <w:bCs/>
              </w:rPr>
              <w:t>Objetivos</w:t>
            </w:r>
          </w:p>
        </w:tc>
        <w:tc>
          <w:tcPr>
            <w:tcW w:w="1780" w:type="dxa"/>
            <w:shd w:val="clear" w:color="auto" w:fill="auto"/>
          </w:tcPr>
          <w:p w14:paraId="44FEB34B" w14:textId="77777777" w:rsidR="00654579" w:rsidRDefault="00654579" w:rsidP="00D07F27">
            <w:pPr>
              <w:spacing w:after="0" w:line="240" w:lineRule="auto"/>
              <w:jc w:val="center"/>
              <w:rPr>
                <w:rFonts w:ascii="Times New Roman" w:hAnsi="Times New Roman" w:cs="Times New Roman"/>
                <w:b/>
                <w:bCs/>
              </w:rPr>
            </w:pPr>
            <w:r>
              <w:rPr>
                <w:rFonts w:ascii="Times New Roman" w:hAnsi="Times New Roman" w:cs="Times New Roman"/>
                <w:b/>
                <w:bCs/>
              </w:rPr>
              <w:t>Variables</w:t>
            </w:r>
          </w:p>
        </w:tc>
        <w:tc>
          <w:tcPr>
            <w:tcW w:w="1836" w:type="dxa"/>
            <w:shd w:val="clear" w:color="auto" w:fill="auto"/>
          </w:tcPr>
          <w:p w14:paraId="7A311876" w14:textId="77777777" w:rsidR="00654579" w:rsidRDefault="00654579" w:rsidP="00D07F27">
            <w:pPr>
              <w:spacing w:after="0" w:line="240" w:lineRule="auto"/>
              <w:jc w:val="center"/>
              <w:rPr>
                <w:rFonts w:ascii="Times New Roman" w:hAnsi="Times New Roman" w:cs="Times New Roman"/>
                <w:b/>
                <w:bCs/>
              </w:rPr>
            </w:pPr>
            <w:r>
              <w:rPr>
                <w:rFonts w:ascii="Times New Roman" w:hAnsi="Times New Roman" w:cs="Times New Roman"/>
                <w:b/>
                <w:bCs/>
              </w:rPr>
              <w:t>Definición operacional</w:t>
            </w:r>
          </w:p>
        </w:tc>
        <w:tc>
          <w:tcPr>
            <w:tcW w:w="1302" w:type="dxa"/>
            <w:shd w:val="clear" w:color="auto" w:fill="auto"/>
          </w:tcPr>
          <w:p w14:paraId="48846D5D" w14:textId="77777777" w:rsidR="00654579" w:rsidRDefault="00654579" w:rsidP="00D07F27">
            <w:pPr>
              <w:spacing w:after="0" w:line="240" w:lineRule="auto"/>
              <w:jc w:val="center"/>
              <w:rPr>
                <w:rFonts w:ascii="Times New Roman" w:hAnsi="Times New Roman" w:cs="Times New Roman"/>
                <w:b/>
                <w:bCs/>
              </w:rPr>
            </w:pPr>
            <w:r>
              <w:rPr>
                <w:rFonts w:ascii="Times New Roman" w:hAnsi="Times New Roman" w:cs="Times New Roman"/>
                <w:b/>
                <w:bCs/>
              </w:rPr>
              <w:t>Tipo de Variable</w:t>
            </w:r>
          </w:p>
        </w:tc>
        <w:tc>
          <w:tcPr>
            <w:tcW w:w="1390" w:type="dxa"/>
          </w:tcPr>
          <w:p w14:paraId="607D28C1" w14:textId="10BFA846" w:rsidR="00654579" w:rsidRDefault="00654579" w:rsidP="00D07F27">
            <w:pPr>
              <w:spacing w:after="0" w:line="240" w:lineRule="auto"/>
              <w:jc w:val="center"/>
              <w:rPr>
                <w:rFonts w:ascii="Times New Roman" w:hAnsi="Times New Roman" w:cs="Times New Roman"/>
                <w:b/>
                <w:bCs/>
              </w:rPr>
            </w:pPr>
            <w:r>
              <w:rPr>
                <w:rFonts w:ascii="Times New Roman" w:hAnsi="Times New Roman" w:cs="Times New Roman"/>
                <w:b/>
                <w:bCs/>
              </w:rPr>
              <w:t>Instrumento</w:t>
            </w:r>
          </w:p>
        </w:tc>
        <w:tc>
          <w:tcPr>
            <w:tcW w:w="1146" w:type="dxa"/>
            <w:shd w:val="clear" w:color="auto" w:fill="auto"/>
          </w:tcPr>
          <w:p w14:paraId="1B64646D" w14:textId="295D3385" w:rsidR="00654579" w:rsidRDefault="00654579" w:rsidP="00D07F27">
            <w:pPr>
              <w:spacing w:after="0" w:line="240" w:lineRule="auto"/>
              <w:jc w:val="center"/>
              <w:rPr>
                <w:rFonts w:ascii="Times New Roman" w:hAnsi="Times New Roman" w:cs="Times New Roman"/>
                <w:b/>
                <w:bCs/>
              </w:rPr>
            </w:pPr>
            <w:r>
              <w:rPr>
                <w:rFonts w:ascii="Times New Roman" w:hAnsi="Times New Roman" w:cs="Times New Roman"/>
                <w:b/>
                <w:bCs/>
              </w:rPr>
              <w:t>Indicador</w:t>
            </w:r>
          </w:p>
        </w:tc>
      </w:tr>
      <w:tr w:rsidR="00654579" w14:paraId="420688CE" w14:textId="77777777" w:rsidTr="00684A8A">
        <w:tc>
          <w:tcPr>
            <w:tcW w:w="1940" w:type="dxa"/>
            <w:vMerge w:val="restart"/>
            <w:shd w:val="clear" w:color="auto" w:fill="auto"/>
          </w:tcPr>
          <w:p w14:paraId="007009E1" w14:textId="77777777" w:rsidR="00654579" w:rsidRDefault="00654579" w:rsidP="00D07F27">
            <w:pPr>
              <w:spacing w:after="0" w:line="240" w:lineRule="auto"/>
              <w:jc w:val="both"/>
              <w:rPr>
                <w:b/>
                <w:bCs/>
              </w:rPr>
            </w:pPr>
            <w:r>
              <w:rPr>
                <w:rFonts w:ascii="Times New Roman" w:hAnsi="Times New Roman" w:cs="Times New Roman"/>
                <w:b/>
                <w:bCs/>
              </w:rPr>
              <w:t>O1. Describir las características sociodemográficas de los pacientes en estudio.</w:t>
            </w:r>
          </w:p>
        </w:tc>
        <w:tc>
          <w:tcPr>
            <w:tcW w:w="1780" w:type="dxa"/>
            <w:shd w:val="clear" w:color="auto" w:fill="auto"/>
          </w:tcPr>
          <w:p w14:paraId="6537ADAA" w14:textId="77777777" w:rsidR="00654579" w:rsidRDefault="00654579" w:rsidP="00D07F27">
            <w:pPr>
              <w:spacing w:after="0" w:line="240" w:lineRule="auto"/>
              <w:jc w:val="both"/>
            </w:pPr>
            <w:r>
              <w:rPr>
                <w:rFonts w:ascii="Times New Roman" w:hAnsi="Times New Roman" w:cs="Times New Roman"/>
              </w:rPr>
              <w:t>Edad</w:t>
            </w:r>
          </w:p>
        </w:tc>
        <w:tc>
          <w:tcPr>
            <w:tcW w:w="1836" w:type="dxa"/>
            <w:shd w:val="clear" w:color="auto" w:fill="auto"/>
          </w:tcPr>
          <w:p w14:paraId="240E440D" w14:textId="77777777" w:rsidR="00654579" w:rsidRDefault="00654579" w:rsidP="00D07F27">
            <w:pPr>
              <w:spacing w:after="0" w:line="240" w:lineRule="auto"/>
              <w:jc w:val="both"/>
              <w:rPr>
                <w:rFonts w:ascii="Times New Roman" w:hAnsi="Times New Roman" w:cs="Times New Roman"/>
              </w:rPr>
            </w:pPr>
            <w:r>
              <w:rPr>
                <w:rFonts w:ascii="Times New Roman" w:hAnsi="Times New Roman" w:cs="Times New Roman"/>
              </w:rPr>
              <w:t>Número de años cumplidos desde el nacimiento hasta la fecha.</w:t>
            </w:r>
          </w:p>
        </w:tc>
        <w:tc>
          <w:tcPr>
            <w:tcW w:w="1302" w:type="dxa"/>
            <w:shd w:val="clear" w:color="auto" w:fill="auto"/>
          </w:tcPr>
          <w:p w14:paraId="52557E3D" w14:textId="77777777" w:rsidR="00654579" w:rsidRDefault="00654579" w:rsidP="00D07F27">
            <w:pPr>
              <w:spacing w:after="0" w:line="360" w:lineRule="auto"/>
              <w:jc w:val="both"/>
              <w:rPr>
                <w:rFonts w:ascii="Times New Roman" w:hAnsi="Times New Roman" w:cs="Times New Roman"/>
              </w:rPr>
            </w:pPr>
            <w:r>
              <w:rPr>
                <w:rFonts w:ascii="Times New Roman" w:hAnsi="Times New Roman" w:cs="Times New Roman"/>
              </w:rPr>
              <w:t>Cuantitativa</w:t>
            </w:r>
          </w:p>
        </w:tc>
        <w:tc>
          <w:tcPr>
            <w:tcW w:w="1390" w:type="dxa"/>
          </w:tcPr>
          <w:p w14:paraId="48463E16" w14:textId="77777777"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30F96D1F" w14:textId="77777777" w:rsidR="00654579" w:rsidRDefault="00654579" w:rsidP="00D07F27">
            <w:pPr>
              <w:spacing w:after="0" w:line="240" w:lineRule="auto"/>
              <w:jc w:val="both"/>
              <w:rPr>
                <w:rFonts w:ascii="Times New Roman" w:hAnsi="Times New Roman" w:cs="Times New Roman"/>
                <w:sz w:val="20"/>
                <w:szCs w:val="20"/>
              </w:rPr>
            </w:pPr>
          </w:p>
          <w:p w14:paraId="31117127" w14:textId="21AD6059"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Fleming</w:t>
            </w:r>
          </w:p>
        </w:tc>
        <w:tc>
          <w:tcPr>
            <w:tcW w:w="1146" w:type="dxa"/>
            <w:shd w:val="clear" w:color="auto" w:fill="auto"/>
          </w:tcPr>
          <w:p w14:paraId="34D8C9FF" w14:textId="3C916661"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&lt; 1 año</w:t>
            </w:r>
          </w:p>
          <w:p w14:paraId="7BC9FB53" w14:textId="77777777"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a 2</w:t>
            </w:r>
          </w:p>
          <w:p w14:paraId="0EBB8821" w14:textId="77777777"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a 4</w:t>
            </w:r>
          </w:p>
          <w:p w14:paraId="4B621FE5" w14:textId="77777777"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 a 6</w:t>
            </w:r>
          </w:p>
          <w:p w14:paraId="0E6E8017" w14:textId="77777777"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 a 9</w:t>
            </w:r>
          </w:p>
          <w:p w14:paraId="4034BB69" w14:textId="77777777" w:rsidR="00654579" w:rsidRDefault="00654579" w:rsidP="00D07F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 a 12</w:t>
            </w:r>
          </w:p>
        </w:tc>
      </w:tr>
      <w:tr w:rsidR="00684A8A" w14:paraId="15A24D29" w14:textId="77777777" w:rsidTr="00684A8A">
        <w:tc>
          <w:tcPr>
            <w:tcW w:w="1940" w:type="dxa"/>
            <w:vMerge/>
            <w:shd w:val="clear" w:color="auto" w:fill="auto"/>
          </w:tcPr>
          <w:p w14:paraId="0FBB22A0"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192C1B29" w14:textId="77777777" w:rsidR="00684A8A" w:rsidRDefault="00684A8A" w:rsidP="00684A8A">
            <w:pPr>
              <w:spacing w:after="0"/>
              <w:jc w:val="both"/>
              <w:rPr>
                <w:rFonts w:ascii="Times New Roman" w:hAnsi="Times New Roman" w:cs="Times New Roman"/>
              </w:rPr>
            </w:pPr>
            <w:r>
              <w:rPr>
                <w:rFonts w:ascii="Times New Roman" w:hAnsi="Times New Roman" w:cs="Times New Roman"/>
              </w:rPr>
              <w:t>Sexo</w:t>
            </w:r>
          </w:p>
        </w:tc>
        <w:tc>
          <w:tcPr>
            <w:tcW w:w="1836" w:type="dxa"/>
            <w:shd w:val="clear" w:color="auto" w:fill="auto"/>
          </w:tcPr>
          <w:p w14:paraId="4C1AAEDD"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Características fenotípicas que diferencian el hombre de la mujer.</w:t>
            </w:r>
          </w:p>
        </w:tc>
        <w:tc>
          <w:tcPr>
            <w:tcW w:w="1302" w:type="dxa"/>
            <w:shd w:val="clear" w:color="auto" w:fill="auto"/>
          </w:tcPr>
          <w:p w14:paraId="36B32C40"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390" w:type="dxa"/>
          </w:tcPr>
          <w:p w14:paraId="5B5234D2"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7BC152F9" w14:textId="77777777" w:rsidR="00684A8A" w:rsidRDefault="00684A8A" w:rsidP="00684A8A">
            <w:pPr>
              <w:spacing w:after="0" w:line="240" w:lineRule="auto"/>
              <w:jc w:val="both"/>
              <w:rPr>
                <w:rFonts w:ascii="Times New Roman" w:hAnsi="Times New Roman" w:cs="Times New Roman"/>
                <w:sz w:val="20"/>
                <w:szCs w:val="20"/>
              </w:rPr>
            </w:pPr>
          </w:p>
          <w:p w14:paraId="6D348377" w14:textId="42990FDF"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Fleming</w:t>
            </w:r>
          </w:p>
        </w:tc>
        <w:tc>
          <w:tcPr>
            <w:tcW w:w="1146" w:type="dxa"/>
            <w:shd w:val="clear" w:color="auto" w:fill="auto"/>
          </w:tcPr>
          <w:p w14:paraId="12B57688" w14:textId="052EBDD0"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Hombre</w:t>
            </w:r>
          </w:p>
          <w:p w14:paraId="56910CBB"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Mujer</w:t>
            </w:r>
          </w:p>
        </w:tc>
      </w:tr>
      <w:tr w:rsidR="00684A8A" w14:paraId="1E1480FA" w14:textId="77777777" w:rsidTr="00684A8A">
        <w:tc>
          <w:tcPr>
            <w:tcW w:w="1940" w:type="dxa"/>
            <w:vMerge/>
            <w:shd w:val="clear" w:color="auto" w:fill="auto"/>
          </w:tcPr>
          <w:p w14:paraId="0E76CE9A"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7EE09FF7" w14:textId="77777777" w:rsidR="00684A8A" w:rsidRDefault="00684A8A" w:rsidP="00684A8A">
            <w:pPr>
              <w:spacing w:after="0"/>
              <w:jc w:val="both"/>
            </w:pPr>
            <w:r>
              <w:rPr>
                <w:rFonts w:ascii="Times New Roman" w:hAnsi="Times New Roman" w:cs="Times New Roman"/>
              </w:rPr>
              <w:t>Antecedentes patológicos personales</w:t>
            </w:r>
          </w:p>
        </w:tc>
        <w:tc>
          <w:tcPr>
            <w:tcW w:w="1836" w:type="dxa"/>
            <w:shd w:val="clear" w:color="auto" w:fill="auto"/>
          </w:tcPr>
          <w:p w14:paraId="0A65C583"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Enfermedad asociada referida y documentada en el expediente clínico.</w:t>
            </w:r>
          </w:p>
        </w:tc>
        <w:tc>
          <w:tcPr>
            <w:tcW w:w="1302" w:type="dxa"/>
            <w:shd w:val="clear" w:color="auto" w:fill="auto"/>
          </w:tcPr>
          <w:p w14:paraId="7D56F2F3"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390" w:type="dxa"/>
          </w:tcPr>
          <w:p w14:paraId="377CFF7F"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51628ABF" w14:textId="77777777" w:rsidR="00684A8A" w:rsidRDefault="00684A8A" w:rsidP="00684A8A">
            <w:pPr>
              <w:spacing w:after="0" w:line="240" w:lineRule="auto"/>
              <w:jc w:val="both"/>
              <w:rPr>
                <w:rFonts w:ascii="Times New Roman" w:hAnsi="Times New Roman" w:cs="Times New Roman"/>
                <w:sz w:val="20"/>
                <w:szCs w:val="20"/>
              </w:rPr>
            </w:pPr>
          </w:p>
          <w:p w14:paraId="47318378" w14:textId="4C719289"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146" w:type="dxa"/>
            <w:shd w:val="clear" w:color="auto" w:fill="auto"/>
          </w:tcPr>
          <w:p w14:paraId="0BB3559B" w14:textId="12A46132"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w:t>
            </w:r>
          </w:p>
          <w:p w14:paraId="79E7E290"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No</w:t>
            </w:r>
          </w:p>
          <w:p w14:paraId="4FEBA48C"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¿Cuales?</w:t>
            </w:r>
          </w:p>
        </w:tc>
      </w:tr>
      <w:tr w:rsidR="00684A8A" w14:paraId="0401B18E" w14:textId="77777777" w:rsidTr="00684A8A">
        <w:tc>
          <w:tcPr>
            <w:tcW w:w="1940" w:type="dxa"/>
            <w:vMerge/>
            <w:shd w:val="clear" w:color="auto" w:fill="auto"/>
          </w:tcPr>
          <w:p w14:paraId="13A4C2CD"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32D1ECFE" w14:textId="77777777" w:rsidR="00684A8A" w:rsidRDefault="00684A8A" w:rsidP="00684A8A">
            <w:pPr>
              <w:spacing w:after="0"/>
              <w:jc w:val="both"/>
            </w:pPr>
            <w:r>
              <w:rPr>
                <w:rFonts w:ascii="Times New Roman" w:hAnsi="Times New Roman" w:cs="Times New Roman"/>
              </w:rPr>
              <w:t>Estado nutricional</w:t>
            </w:r>
          </w:p>
        </w:tc>
        <w:tc>
          <w:tcPr>
            <w:tcW w:w="1836" w:type="dxa"/>
            <w:shd w:val="clear" w:color="auto" w:fill="auto"/>
          </w:tcPr>
          <w:p w14:paraId="3A7DA0CB"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Es el estado resultado de la relación entre el peso y la edad del paciente.</w:t>
            </w:r>
          </w:p>
        </w:tc>
        <w:tc>
          <w:tcPr>
            <w:tcW w:w="1302" w:type="dxa"/>
            <w:shd w:val="clear" w:color="auto" w:fill="auto"/>
          </w:tcPr>
          <w:p w14:paraId="008E6165"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390" w:type="dxa"/>
          </w:tcPr>
          <w:p w14:paraId="120E7429"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4F8B1339" w14:textId="77777777" w:rsidR="00684A8A" w:rsidRDefault="00684A8A" w:rsidP="00684A8A">
            <w:pPr>
              <w:spacing w:after="0" w:line="240" w:lineRule="auto"/>
              <w:jc w:val="both"/>
              <w:rPr>
                <w:rFonts w:ascii="Times New Roman" w:hAnsi="Times New Roman" w:cs="Times New Roman"/>
                <w:sz w:val="20"/>
                <w:szCs w:val="20"/>
              </w:rPr>
            </w:pPr>
          </w:p>
          <w:p w14:paraId="3B267D3F" w14:textId="256D52BE"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Fleming</w:t>
            </w:r>
          </w:p>
        </w:tc>
        <w:tc>
          <w:tcPr>
            <w:tcW w:w="1146" w:type="dxa"/>
            <w:shd w:val="clear" w:color="auto" w:fill="auto"/>
          </w:tcPr>
          <w:p w14:paraId="713B0467" w14:textId="518D774C"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Bajo peso</w:t>
            </w:r>
          </w:p>
          <w:p w14:paraId="0024E3C7"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Eutrófico</w:t>
            </w:r>
          </w:p>
          <w:p w14:paraId="2242E7CA"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Sobrepeso</w:t>
            </w:r>
          </w:p>
          <w:p w14:paraId="7BC30773"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Obeso</w:t>
            </w:r>
          </w:p>
        </w:tc>
      </w:tr>
      <w:tr w:rsidR="00684A8A" w14:paraId="1B906762" w14:textId="77777777" w:rsidTr="00684A8A">
        <w:tc>
          <w:tcPr>
            <w:tcW w:w="1940" w:type="dxa"/>
            <w:vMerge/>
            <w:shd w:val="clear" w:color="auto" w:fill="auto"/>
          </w:tcPr>
          <w:p w14:paraId="500541EB"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74BEAA16" w14:textId="77777777" w:rsidR="00684A8A" w:rsidRDefault="00684A8A" w:rsidP="00684A8A">
            <w:pPr>
              <w:spacing w:after="0"/>
              <w:jc w:val="both"/>
              <w:rPr>
                <w:rFonts w:ascii="Times New Roman" w:hAnsi="Times New Roman" w:cs="Times New Roman"/>
              </w:rPr>
            </w:pPr>
            <w:r>
              <w:rPr>
                <w:rFonts w:ascii="Times New Roman" w:hAnsi="Times New Roman" w:cs="Times New Roman"/>
              </w:rPr>
              <w:t>Manifestaciones clínicas</w:t>
            </w:r>
          </w:p>
        </w:tc>
        <w:tc>
          <w:tcPr>
            <w:tcW w:w="1836" w:type="dxa"/>
            <w:shd w:val="clear" w:color="auto" w:fill="auto"/>
          </w:tcPr>
          <w:p w14:paraId="51900667"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Signos y síntomas que presento el paciente y conllevaron al diagnóstico de IVU</w:t>
            </w:r>
          </w:p>
        </w:tc>
        <w:tc>
          <w:tcPr>
            <w:tcW w:w="1302" w:type="dxa"/>
            <w:shd w:val="clear" w:color="auto" w:fill="auto"/>
          </w:tcPr>
          <w:p w14:paraId="1D52735D"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390" w:type="dxa"/>
          </w:tcPr>
          <w:p w14:paraId="04BC23C0"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40B440DC" w14:textId="77777777" w:rsidR="00684A8A" w:rsidRDefault="00684A8A" w:rsidP="00684A8A">
            <w:pPr>
              <w:spacing w:after="0" w:line="240" w:lineRule="auto"/>
              <w:jc w:val="both"/>
              <w:rPr>
                <w:rFonts w:ascii="Times New Roman" w:hAnsi="Times New Roman" w:cs="Times New Roman"/>
                <w:sz w:val="20"/>
                <w:szCs w:val="20"/>
              </w:rPr>
            </w:pPr>
          </w:p>
          <w:p w14:paraId="5C5D7F2B" w14:textId="5E291608" w:rsidR="00684A8A" w:rsidRDefault="00684A8A" w:rsidP="00684A8A">
            <w:pPr>
              <w:spacing w:after="0" w:line="360" w:lineRule="auto"/>
              <w:jc w:val="both"/>
              <w:rPr>
                <w:rFonts w:ascii="Times New Roman" w:hAnsi="Times New Roman" w:cs="Times New Roman"/>
              </w:rPr>
            </w:pPr>
            <w:r>
              <w:rPr>
                <w:rFonts w:ascii="Times New Roman" w:hAnsi="Times New Roman" w:cs="Times New Roman"/>
                <w:sz w:val="20"/>
                <w:szCs w:val="20"/>
              </w:rPr>
              <w:t>Fleming</w:t>
            </w:r>
          </w:p>
        </w:tc>
        <w:tc>
          <w:tcPr>
            <w:tcW w:w="1146" w:type="dxa"/>
            <w:shd w:val="clear" w:color="auto" w:fill="auto"/>
          </w:tcPr>
          <w:p w14:paraId="7F20775F" w14:textId="4E9F9D2C" w:rsidR="00684A8A" w:rsidRDefault="00684A8A" w:rsidP="00684A8A">
            <w:pPr>
              <w:spacing w:after="0" w:line="360" w:lineRule="auto"/>
              <w:jc w:val="both"/>
              <w:rPr>
                <w:rFonts w:ascii="Times New Roman" w:hAnsi="Times New Roman" w:cs="Times New Roman"/>
              </w:rPr>
            </w:pPr>
          </w:p>
        </w:tc>
      </w:tr>
      <w:tr w:rsidR="00684A8A" w14:paraId="7C7B7382" w14:textId="77777777" w:rsidTr="00684A8A">
        <w:tc>
          <w:tcPr>
            <w:tcW w:w="1940" w:type="dxa"/>
            <w:vMerge/>
            <w:shd w:val="clear" w:color="auto" w:fill="auto"/>
          </w:tcPr>
          <w:p w14:paraId="0DDAD56C"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1F3A5A44" w14:textId="77777777" w:rsidR="00684A8A" w:rsidRDefault="00684A8A" w:rsidP="00684A8A">
            <w:pPr>
              <w:spacing w:after="0"/>
              <w:jc w:val="both"/>
            </w:pPr>
            <w:r>
              <w:rPr>
                <w:rFonts w:ascii="Times New Roman" w:hAnsi="Times New Roman" w:cs="Times New Roman"/>
              </w:rPr>
              <w:t>Hospitalizaciones previas</w:t>
            </w:r>
          </w:p>
        </w:tc>
        <w:tc>
          <w:tcPr>
            <w:tcW w:w="1836" w:type="dxa"/>
            <w:shd w:val="clear" w:color="auto" w:fill="auto"/>
          </w:tcPr>
          <w:p w14:paraId="1CA5A7DD"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Referencia a ingresos hospitalario previo a este ingreso</w:t>
            </w:r>
          </w:p>
        </w:tc>
        <w:tc>
          <w:tcPr>
            <w:tcW w:w="1302" w:type="dxa"/>
            <w:shd w:val="clear" w:color="auto" w:fill="auto"/>
          </w:tcPr>
          <w:p w14:paraId="1A2595DD"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Cuantitativa</w:t>
            </w:r>
          </w:p>
        </w:tc>
        <w:tc>
          <w:tcPr>
            <w:tcW w:w="1390" w:type="dxa"/>
          </w:tcPr>
          <w:p w14:paraId="12C75006"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0355A28B" w14:textId="77777777" w:rsidR="00684A8A" w:rsidRDefault="00684A8A" w:rsidP="00684A8A">
            <w:pPr>
              <w:spacing w:after="0" w:line="240" w:lineRule="auto"/>
              <w:jc w:val="both"/>
              <w:rPr>
                <w:rFonts w:ascii="Times New Roman" w:hAnsi="Times New Roman" w:cs="Times New Roman"/>
                <w:sz w:val="20"/>
                <w:szCs w:val="20"/>
              </w:rPr>
            </w:pPr>
          </w:p>
          <w:p w14:paraId="1D48C134" w14:textId="07494FFE"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146" w:type="dxa"/>
            <w:shd w:val="clear" w:color="auto" w:fill="auto"/>
          </w:tcPr>
          <w:p w14:paraId="2EF30B30" w14:textId="09E47AD4"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w:t>
            </w:r>
          </w:p>
          <w:p w14:paraId="3D010A5A"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No</w:t>
            </w:r>
          </w:p>
          <w:p w14:paraId="6BF6F755"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¿Causas?</w:t>
            </w:r>
          </w:p>
        </w:tc>
      </w:tr>
      <w:tr w:rsidR="00684A8A" w14:paraId="740BB170" w14:textId="77777777" w:rsidTr="00684A8A">
        <w:tc>
          <w:tcPr>
            <w:tcW w:w="1940" w:type="dxa"/>
            <w:vMerge/>
            <w:shd w:val="clear" w:color="auto" w:fill="auto"/>
          </w:tcPr>
          <w:p w14:paraId="270B3757"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7456DAD8" w14:textId="77777777" w:rsidR="00684A8A" w:rsidRDefault="00684A8A" w:rsidP="00684A8A">
            <w:pPr>
              <w:spacing w:after="0"/>
              <w:jc w:val="both"/>
            </w:pPr>
            <w:r>
              <w:rPr>
                <w:rFonts w:ascii="Times New Roman" w:hAnsi="Times New Roman" w:cs="Times New Roman"/>
              </w:rPr>
              <w:t>Lactancia Materna</w:t>
            </w:r>
          </w:p>
        </w:tc>
        <w:tc>
          <w:tcPr>
            <w:tcW w:w="1836" w:type="dxa"/>
            <w:shd w:val="clear" w:color="auto" w:fill="auto"/>
          </w:tcPr>
          <w:p w14:paraId="4316934B"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Referencia al uso de Lactancia Materna en los primeros 6 meses de vida</w:t>
            </w:r>
          </w:p>
        </w:tc>
        <w:tc>
          <w:tcPr>
            <w:tcW w:w="1302" w:type="dxa"/>
            <w:shd w:val="clear" w:color="auto" w:fill="auto"/>
          </w:tcPr>
          <w:p w14:paraId="541D83C7"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Cuantitativa</w:t>
            </w:r>
          </w:p>
        </w:tc>
        <w:tc>
          <w:tcPr>
            <w:tcW w:w="1390" w:type="dxa"/>
          </w:tcPr>
          <w:p w14:paraId="1704B01B"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29E4BE46" w14:textId="77777777" w:rsidR="00684A8A" w:rsidRDefault="00684A8A" w:rsidP="00684A8A">
            <w:pPr>
              <w:spacing w:after="0" w:line="240" w:lineRule="auto"/>
              <w:jc w:val="both"/>
              <w:rPr>
                <w:rFonts w:ascii="Times New Roman" w:hAnsi="Times New Roman" w:cs="Times New Roman"/>
                <w:sz w:val="20"/>
                <w:szCs w:val="20"/>
              </w:rPr>
            </w:pPr>
          </w:p>
          <w:p w14:paraId="3161455D" w14:textId="47643B53"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146" w:type="dxa"/>
            <w:shd w:val="clear" w:color="auto" w:fill="auto"/>
          </w:tcPr>
          <w:p w14:paraId="0B5559D7" w14:textId="0B28A57C"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w:t>
            </w:r>
          </w:p>
          <w:p w14:paraId="646439D6"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b/>
                <w:bCs/>
              </w:rPr>
              <w:t>No</w:t>
            </w:r>
          </w:p>
        </w:tc>
      </w:tr>
      <w:tr w:rsidR="00684A8A" w14:paraId="414D3E62" w14:textId="77777777" w:rsidTr="00684A8A">
        <w:tc>
          <w:tcPr>
            <w:tcW w:w="1940" w:type="dxa"/>
            <w:vMerge/>
            <w:shd w:val="clear" w:color="auto" w:fill="auto"/>
          </w:tcPr>
          <w:p w14:paraId="7FA308B3"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2C91B456" w14:textId="77777777" w:rsidR="00684A8A" w:rsidRDefault="00684A8A" w:rsidP="00684A8A">
            <w:pPr>
              <w:spacing w:after="0"/>
              <w:jc w:val="both"/>
            </w:pPr>
            <w:r>
              <w:rPr>
                <w:rFonts w:ascii="Times New Roman" w:hAnsi="Times New Roman" w:cs="Times New Roman"/>
              </w:rPr>
              <w:t>Malformaciones</w:t>
            </w:r>
          </w:p>
        </w:tc>
        <w:tc>
          <w:tcPr>
            <w:tcW w:w="1836" w:type="dxa"/>
            <w:shd w:val="clear" w:color="auto" w:fill="auto"/>
          </w:tcPr>
          <w:p w14:paraId="6CC02413"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Malformaciones congénitas presentes en el niño.</w:t>
            </w:r>
          </w:p>
        </w:tc>
        <w:tc>
          <w:tcPr>
            <w:tcW w:w="1302" w:type="dxa"/>
            <w:shd w:val="clear" w:color="auto" w:fill="auto"/>
          </w:tcPr>
          <w:p w14:paraId="2234EF21"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Cuantitativa</w:t>
            </w:r>
          </w:p>
        </w:tc>
        <w:tc>
          <w:tcPr>
            <w:tcW w:w="1390" w:type="dxa"/>
          </w:tcPr>
          <w:p w14:paraId="0AB720E7"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2E760267" w14:textId="77777777" w:rsidR="00684A8A" w:rsidRDefault="00684A8A" w:rsidP="00684A8A">
            <w:pPr>
              <w:spacing w:after="0" w:line="240" w:lineRule="auto"/>
              <w:jc w:val="both"/>
              <w:rPr>
                <w:rFonts w:ascii="Times New Roman" w:hAnsi="Times New Roman" w:cs="Times New Roman"/>
                <w:sz w:val="20"/>
                <w:szCs w:val="20"/>
              </w:rPr>
            </w:pPr>
          </w:p>
          <w:p w14:paraId="7B11FFCE" w14:textId="00470403"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146" w:type="dxa"/>
            <w:shd w:val="clear" w:color="auto" w:fill="auto"/>
          </w:tcPr>
          <w:p w14:paraId="63C69323" w14:textId="7BAEC6EA"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w:t>
            </w:r>
          </w:p>
          <w:p w14:paraId="540790DD"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b/>
                <w:bCs/>
              </w:rPr>
              <w:t>No</w:t>
            </w:r>
          </w:p>
        </w:tc>
      </w:tr>
      <w:tr w:rsidR="00684A8A" w14:paraId="2093281B" w14:textId="77777777" w:rsidTr="00684A8A">
        <w:tc>
          <w:tcPr>
            <w:tcW w:w="1940" w:type="dxa"/>
            <w:vMerge/>
            <w:shd w:val="clear" w:color="auto" w:fill="auto"/>
          </w:tcPr>
          <w:p w14:paraId="4B5F161C" w14:textId="77777777" w:rsidR="00684A8A" w:rsidRDefault="00684A8A" w:rsidP="00684A8A">
            <w:pPr>
              <w:spacing w:after="0" w:line="240" w:lineRule="auto"/>
              <w:jc w:val="both"/>
              <w:rPr>
                <w:rFonts w:ascii="Times New Roman" w:hAnsi="Times New Roman" w:cs="Times New Roman"/>
                <w:b/>
                <w:bCs/>
              </w:rPr>
            </w:pPr>
          </w:p>
        </w:tc>
        <w:tc>
          <w:tcPr>
            <w:tcW w:w="1780" w:type="dxa"/>
            <w:shd w:val="clear" w:color="auto" w:fill="auto"/>
          </w:tcPr>
          <w:p w14:paraId="19E00837" w14:textId="77777777" w:rsidR="00684A8A" w:rsidRDefault="00684A8A" w:rsidP="00684A8A">
            <w:pPr>
              <w:spacing w:after="0"/>
              <w:jc w:val="both"/>
              <w:rPr>
                <w:rFonts w:ascii="Times New Roman" w:hAnsi="Times New Roman" w:cs="Times New Roman"/>
              </w:rPr>
            </w:pPr>
            <w:r>
              <w:rPr>
                <w:rFonts w:ascii="Times New Roman" w:hAnsi="Times New Roman" w:cs="Times New Roman"/>
              </w:rPr>
              <w:t>Antecedentes de IVU</w:t>
            </w:r>
          </w:p>
        </w:tc>
        <w:tc>
          <w:tcPr>
            <w:tcW w:w="1836" w:type="dxa"/>
            <w:shd w:val="clear" w:color="auto" w:fill="auto"/>
          </w:tcPr>
          <w:p w14:paraId="42A7E9DE"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Historia de diagnóstico de IVU previo a este ingreso</w:t>
            </w:r>
          </w:p>
        </w:tc>
        <w:tc>
          <w:tcPr>
            <w:tcW w:w="1302" w:type="dxa"/>
            <w:shd w:val="clear" w:color="auto" w:fill="auto"/>
          </w:tcPr>
          <w:p w14:paraId="3EC3B2DB"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Cuantitativa</w:t>
            </w:r>
          </w:p>
        </w:tc>
        <w:tc>
          <w:tcPr>
            <w:tcW w:w="1390" w:type="dxa"/>
          </w:tcPr>
          <w:p w14:paraId="22741455"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5A3CD745" w14:textId="77777777" w:rsidR="00684A8A" w:rsidRDefault="00684A8A" w:rsidP="00684A8A">
            <w:pPr>
              <w:spacing w:after="0" w:line="240" w:lineRule="auto"/>
              <w:jc w:val="both"/>
              <w:rPr>
                <w:rFonts w:ascii="Times New Roman" w:hAnsi="Times New Roman" w:cs="Times New Roman"/>
                <w:sz w:val="20"/>
                <w:szCs w:val="20"/>
              </w:rPr>
            </w:pPr>
          </w:p>
          <w:p w14:paraId="29E0FB58" w14:textId="6B1B5C76"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146" w:type="dxa"/>
            <w:shd w:val="clear" w:color="auto" w:fill="auto"/>
          </w:tcPr>
          <w:p w14:paraId="74B140CA" w14:textId="7C8F8B53"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w:t>
            </w:r>
          </w:p>
          <w:p w14:paraId="4F0F7F4A"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b/>
                <w:bCs/>
              </w:rPr>
              <w:t>No</w:t>
            </w:r>
          </w:p>
        </w:tc>
      </w:tr>
    </w:tbl>
    <w:p w14:paraId="48764EB4" w14:textId="77777777" w:rsidR="00F21220" w:rsidRDefault="00F21220" w:rsidP="00F21220">
      <w:pPr>
        <w:spacing w:after="0" w:line="360" w:lineRule="auto"/>
        <w:jc w:val="both"/>
      </w:pPr>
      <w:bookmarkStart w:id="9" w:name="_Hlk196665054"/>
      <w:bookmarkEnd w:id="9"/>
    </w:p>
    <w:tbl>
      <w:tblPr>
        <w:tblStyle w:val="Tablaconcuadrcula"/>
        <w:tblW w:w="9634" w:type="dxa"/>
        <w:tblLayout w:type="fixed"/>
        <w:tblLook w:val="04A0" w:firstRow="1" w:lastRow="0" w:firstColumn="1" w:lastColumn="0" w:noHBand="0" w:noVBand="1"/>
      </w:tblPr>
      <w:tblGrid>
        <w:gridCol w:w="1829"/>
        <w:gridCol w:w="1852"/>
        <w:gridCol w:w="1843"/>
        <w:gridCol w:w="1417"/>
        <w:gridCol w:w="1418"/>
        <w:gridCol w:w="1275"/>
      </w:tblGrid>
      <w:tr w:rsidR="00684A8A" w14:paraId="28336CC8" w14:textId="77777777" w:rsidTr="00684A8A">
        <w:tc>
          <w:tcPr>
            <w:tcW w:w="1829" w:type="dxa"/>
            <w:shd w:val="clear" w:color="auto" w:fill="auto"/>
          </w:tcPr>
          <w:p w14:paraId="4F055D5E" w14:textId="13B71860" w:rsidR="00684A8A" w:rsidRDefault="00684A8A" w:rsidP="00684A8A">
            <w:pPr>
              <w:pageBreakBefore/>
              <w:spacing w:after="0" w:line="240" w:lineRule="auto"/>
              <w:jc w:val="center"/>
              <w:rPr>
                <w:rFonts w:ascii="Times New Roman" w:hAnsi="Times New Roman" w:cs="Times New Roman"/>
                <w:b/>
                <w:bCs/>
              </w:rPr>
            </w:pPr>
            <w:r>
              <w:lastRenderedPageBreak/>
              <w:br w:type="page"/>
            </w:r>
            <w:r>
              <w:rPr>
                <w:rFonts w:ascii="Times New Roman" w:hAnsi="Times New Roman" w:cs="Times New Roman"/>
                <w:b/>
                <w:bCs/>
              </w:rPr>
              <w:t>Objetivos</w:t>
            </w:r>
          </w:p>
        </w:tc>
        <w:tc>
          <w:tcPr>
            <w:tcW w:w="1852" w:type="dxa"/>
            <w:shd w:val="clear" w:color="auto" w:fill="auto"/>
          </w:tcPr>
          <w:p w14:paraId="1BDBAC1A" w14:textId="77777777" w:rsidR="00684A8A" w:rsidRDefault="00684A8A" w:rsidP="00684A8A">
            <w:pPr>
              <w:spacing w:after="0" w:line="240" w:lineRule="auto"/>
              <w:jc w:val="center"/>
              <w:rPr>
                <w:rFonts w:ascii="Times New Roman" w:hAnsi="Times New Roman" w:cs="Times New Roman"/>
                <w:b/>
                <w:bCs/>
              </w:rPr>
            </w:pPr>
            <w:r>
              <w:rPr>
                <w:rFonts w:ascii="Times New Roman" w:hAnsi="Times New Roman" w:cs="Times New Roman"/>
                <w:b/>
                <w:bCs/>
              </w:rPr>
              <w:t>Variables</w:t>
            </w:r>
          </w:p>
        </w:tc>
        <w:tc>
          <w:tcPr>
            <w:tcW w:w="1843" w:type="dxa"/>
            <w:shd w:val="clear" w:color="auto" w:fill="auto"/>
          </w:tcPr>
          <w:p w14:paraId="556629D3" w14:textId="77777777" w:rsidR="00684A8A" w:rsidRDefault="00684A8A" w:rsidP="00684A8A">
            <w:pPr>
              <w:spacing w:after="0" w:line="240" w:lineRule="auto"/>
              <w:jc w:val="center"/>
              <w:rPr>
                <w:rFonts w:ascii="Times New Roman" w:hAnsi="Times New Roman" w:cs="Times New Roman"/>
                <w:b/>
                <w:bCs/>
              </w:rPr>
            </w:pPr>
            <w:r>
              <w:rPr>
                <w:rFonts w:ascii="Times New Roman" w:hAnsi="Times New Roman" w:cs="Times New Roman"/>
                <w:b/>
                <w:bCs/>
              </w:rPr>
              <w:t>Definición operacional</w:t>
            </w:r>
          </w:p>
        </w:tc>
        <w:tc>
          <w:tcPr>
            <w:tcW w:w="1417" w:type="dxa"/>
            <w:shd w:val="clear" w:color="auto" w:fill="auto"/>
          </w:tcPr>
          <w:p w14:paraId="4B5F6F53" w14:textId="77777777" w:rsidR="00684A8A" w:rsidRDefault="00684A8A" w:rsidP="00684A8A">
            <w:pPr>
              <w:spacing w:after="0" w:line="240" w:lineRule="auto"/>
              <w:jc w:val="center"/>
              <w:rPr>
                <w:rFonts w:ascii="Times New Roman" w:hAnsi="Times New Roman" w:cs="Times New Roman"/>
                <w:b/>
                <w:bCs/>
              </w:rPr>
            </w:pPr>
            <w:r>
              <w:rPr>
                <w:rFonts w:ascii="Times New Roman" w:hAnsi="Times New Roman" w:cs="Times New Roman"/>
                <w:b/>
                <w:bCs/>
              </w:rPr>
              <w:t>Tipo de Variable</w:t>
            </w:r>
          </w:p>
        </w:tc>
        <w:tc>
          <w:tcPr>
            <w:tcW w:w="1418" w:type="dxa"/>
          </w:tcPr>
          <w:p w14:paraId="2E8F272B" w14:textId="458BA822" w:rsidR="00684A8A" w:rsidRDefault="00684A8A" w:rsidP="00684A8A">
            <w:pPr>
              <w:spacing w:after="0" w:line="240" w:lineRule="auto"/>
              <w:jc w:val="center"/>
              <w:rPr>
                <w:rFonts w:ascii="Times New Roman" w:hAnsi="Times New Roman" w:cs="Times New Roman"/>
                <w:b/>
                <w:bCs/>
              </w:rPr>
            </w:pPr>
            <w:r>
              <w:rPr>
                <w:rFonts w:ascii="Times New Roman" w:hAnsi="Times New Roman" w:cs="Times New Roman"/>
                <w:b/>
                <w:bCs/>
              </w:rPr>
              <w:t>Instrumento</w:t>
            </w:r>
          </w:p>
        </w:tc>
        <w:tc>
          <w:tcPr>
            <w:tcW w:w="1275" w:type="dxa"/>
            <w:shd w:val="clear" w:color="auto" w:fill="auto"/>
          </w:tcPr>
          <w:p w14:paraId="273E9DAB" w14:textId="279022D9" w:rsidR="00684A8A" w:rsidRDefault="00684A8A" w:rsidP="00684A8A">
            <w:pPr>
              <w:spacing w:after="0" w:line="240" w:lineRule="auto"/>
              <w:jc w:val="center"/>
              <w:rPr>
                <w:rFonts w:ascii="Times New Roman" w:hAnsi="Times New Roman" w:cs="Times New Roman"/>
                <w:b/>
                <w:bCs/>
              </w:rPr>
            </w:pPr>
            <w:r>
              <w:rPr>
                <w:rFonts w:ascii="Times New Roman" w:hAnsi="Times New Roman" w:cs="Times New Roman"/>
                <w:b/>
                <w:bCs/>
              </w:rPr>
              <w:t>Indicador</w:t>
            </w:r>
          </w:p>
        </w:tc>
      </w:tr>
      <w:tr w:rsidR="00684A8A" w14:paraId="782A2780" w14:textId="77777777" w:rsidTr="00684A8A">
        <w:tc>
          <w:tcPr>
            <w:tcW w:w="1829" w:type="dxa"/>
            <w:vMerge w:val="restart"/>
            <w:shd w:val="clear" w:color="auto" w:fill="auto"/>
          </w:tcPr>
          <w:p w14:paraId="57E10F51" w14:textId="77777777" w:rsidR="00684A8A" w:rsidRDefault="00684A8A" w:rsidP="00684A8A">
            <w:pPr>
              <w:spacing w:after="0" w:line="240" w:lineRule="auto"/>
              <w:jc w:val="both"/>
              <w:rPr>
                <w:b/>
                <w:bCs/>
              </w:rPr>
            </w:pPr>
            <w:r>
              <w:rPr>
                <w:rFonts w:ascii="Times New Roman" w:hAnsi="Times New Roman" w:cs="Times New Roman"/>
                <w:b/>
                <w:bCs/>
              </w:rPr>
              <w:t>O2. Identificar las características clínicas y manejo de los pacientes pediátricos en estudio.</w:t>
            </w:r>
          </w:p>
          <w:p w14:paraId="70158E62" w14:textId="77777777" w:rsidR="00684A8A" w:rsidRDefault="00684A8A" w:rsidP="00684A8A">
            <w:pPr>
              <w:spacing w:after="0" w:line="240" w:lineRule="auto"/>
              <w:jc w:val="both"/>
              <w:rPr>
                <w:b/>
                <w:bCs/>
              </w:rPr>
            </w:pPr>
          </w:p>
        </w:tc>
        <w:tc>
          <w:tcPr>
            <w:tcW w:w="1852" w:type="dxa"/>
            <w:shd w:val="clear" w:color="auto" w:fill="auto"/>
          </w:tcPr>
          <w:p w14:paraId="06043E64" w14:textId="77777777" w:rsidR="00684A8A" w:rsidRDefault="00684A8A" w:rsidP="00684A8A">
            <w:pPr>
              <w:spacing w:after="0" w:line="240" w:lineRule="auto"/>
              <w:jc w:val="both"/>
            </w:pPr>
            <w:r>
              <w:rPr>
                <w:rFonts w:ascii="Times New Roman" w:hAnsi="Times New Roman" w:cs="Times New Roman"/>
              </w:rPr>
              <w:t>Diagnóstico de ingreso</w:t>
            </w:r>
          </w:p>
        </w:tc>
        <w:tc>
          <w:tcPr>
            <w:tcW w:w="1843" w:type="dxa"/>
            <w:shd w:val="clear" w:color="auto" w:fill="auto"/>
          </w:tcPr>
          <w:p w14:paraId="6BDA2E4F"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Diagnóstico principal de motivo el ingreso hospitalario-</w:t>
            </w:r>
          </w:p>
        </w:tc>
        <w:tc>
          <w:tcPr>
            <w:tcW w:w="1417" w:type="dxa"/>
            <w:shd w:val="clear" w:color="auto" w:fill="auto"/>
          </w:tcPr>
          <w:p w14:paraId="2C2F7E71"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789B2D31"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7421A7C9" w14:textId="77777777" w:rsidR="00684A8A" w:rsidRDefault="00684A8A" w:rsidP="00684A8A">
            <w:pPr>
              <w:spacing w:after="0" w:line="240" w:lineRule="auto"/>
              <w:jc w:val="both"/>
              <w:rPr>
                <w:rFonts w:ascii="Times New Roman" w:hAnsi="Times New Roman" w:cs="Times New Roman"/>
                <w:sz w:val="20"/>
                <w:szCs w:val="20"/>
              </w:rPr>
            </w:pPr>
          </w:p>
          <w:p w14:paraId="23D85109" w14:textId="4A2EB4F1"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Fleming</w:t>
            </w:r>
          </w:p>
        </w:tc>
        <w:tc>
          <w:tcPr>
            <w:tcW w:w="1275" w:type="dxa"/>
            <w:shd w:val="clear" w:color="auto" w:fill="auto"/>
          </w:tcPr>
          <w:p w14:paraId="351284B3" w14:textId="44DE6BBF" w:rsidR="00684A8A" w:rsidRDefault="00684A8A" w:rsidP="00684A8A">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Dx</w:t>
            </w:r>
            <w:proofErr w:type="spellEnd"/>
            <w:r>
              <w:rPr>
                <w:rFonts w:ascii="Times New Roman" w:hAnsi="Times New Roman" w:cs="Times New Roman"/>
                <w:sz w:val="20"/>
                <w:szCs w:val="20"/>
              </w:rPr>
              <w:t>____</w:t>
            </w:r>
          </w:p>
          <w:p w14:paraId="2279A417" w14:textId="77777777" w:rsidR="00684A8A" w:rsidRDefault="00684A8A" w:rsidP="00684A8A">
            <w:pPr>
              <w:spacing w:after="0" w:line="240" w:lineRule="auto"/>
              <w:jc w:val="both"/>
              <w:rPr>
                <w:rFonts w:ascii="Times New Roman" w:hAnsi="Times New Roman" w:cs="Times New Roman"/>
                <w:sz w:val="20"/>
                <w:szCs w:val="20"/>
              </w:rPr>
            </w:pPr>
          </w:p>
          <w:p w14:paraId="2F98D0C3"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Leve</w:t>
            </w:r>
          </w:p>
          <w:p w14:paraId="148D8A7B"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Moderado</w:t>
            </w:r>
          </w:p>
          <w:p w14:paraId="150648A8"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Grave</w:t>
            </w:r>
          </w:p>
          <w:p w14:paraId="2D1E22CF"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Muy grave</w:t>
            </w:r>
          </w:p>
        </w:tc>
      </w:tr>
      <w:tr w:rsidR="00684A8A" w14:paraId="66490705" w14:textId="77777777" w:rsidTr="00684A8A">
        <w:tc>
          <w:tcPr>
            <w:tcW w:w="1829" w:type="dxa"/>
            <w:vMerge/>
            <w:shd w:val="clear" w:color="auto" w:fill="auto"/>
          </w:tcPr>
          <w:p w14:paraId="043A6492"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4F30ED4F" w14:textId="77777777" w:rsidR="00684A8A" w:rsidRDefault="00684A8A" w:rsidP="00684A8A">
            <w:pPr>
              <w:spacing w:after="0"/>
              <w:jc w:val="both"/>
              <w:rPr>
                <w:rFonts w:ascii="Times New Roman" w:hAnsi="Times New Roman" w:cs="Times New Roman"/>
              </w:rPr>
            </w:pPr>
            <w:r>
              <w:rPr>
                <w:rFonts w:ascii="Times New Roman" w:hAnsi="Times New Roman" w:cs="Times New Roman"/>
              </w:rPr>
              <w:t>Datos de Laboratorio</w:t>
            </w:r>
          </w:p>
        </w:tc>
        <w:tc>
          <w:tcPr>
            <w:tcW w:w="1843" w:type="dxa"/>
            <w:shd w:val="clear" w:color="auto" w:fill="auto"/>
          </w:tcPr>
          <w:p w14:paraId="230CD95A"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Resultados de Laboratorio que definieron el diagnostico de IVU</w:t>
            </w:r>
          </w:p>
        </w:tc>
        <w:tc>
          <w:tcPr>
            <w:tcW w:w="1417" w:type="dxa"/>
            <w:shd w:val="clear" w:color="auto" w:fill="auto"/>
          </w:tcPr>
          <w:p w14:paraId="3EFB0984"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3D2DC798"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204EEED5" w14:textId="77777777" w:rsidR="00684A8A" w:rsidRDefault="00684A8A" w:rsidP="00684A8A">
            <w:pPr>
              <w:spacing w:after="0" w:line="240" w:lineRule="auto"/>
              <w:jc w:val="both"/>
              <w:rPr>
                <w:rFonts w:ascii="Times New Roman" w:hAnsi="Times New Roman" w:cs="Times New Roman"/>
                <w:sz w:val="20"/>
                <w:szCs w:val="20"/>
              </w:rPr>
            </w:pPr>
          </w:p>
          <w:p w14:paraId="4EB2EEE9" w14:textId="0F2D285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Fleming</w:t>
            </w:r>
          </w:p>
        </w:tc>
        <w:tc>
          <w:tcPr>
            <w:tcW w:w="1275" w:type="dxa"/>
            <w:shd w:val="clear" w:color="auto" w:fill="auto"/>
          </w:tcPr>
          <w:p w14:paraId="3FA8F328" w14:textId="3CA98728"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BHC</w:t>
            </w:r>
          </w:p>
          <w:p w14:paraId="4F851614"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EGO</w:t>
            </w:r>
          </w:p>
          <w:p w14:paraId="3FACE138"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szCs w:val="20"/>
              </w:rPr>
              <w:t>Otros</w:t>
            </w:r>
          </w:p>
        </w:tc>
      </w:tr>
      <w:tr w:rsidR="00684A8A" w14:paraId="639018E9" w14:textId="77777777" w:rsidTr="00684A8A">
        <w:tc>
          <w:tcPr>
            <w:tcW w:w="1829" w:type="dxa"/>
            <w:vMerge/>
            <w:shd w:val="clear" w:color="auto" w:fill="auto"/>
          </w:tcPr>
          <w:p w14:paraId="1A9F3751"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6919D280" w14:textId="77777777" w:rsidR="00684A8A" w:rsidRDefault="00684A8A" w:rsidP="00684A8A">
            <w:pPr>
              <w:spacing w:after="0"/>
              <w:jc w:val="both"/>
            </w:pPr>
            <w:r>
              <w:rPr>
                <w:rFonts w:ascii="Times New Roman" w:hAnsi="Times New Roman" w:cs="Times New Roman"/>
              </w:rPr>
              <w:t>Datos de Imagenología</w:t>
            </w:r>
          </w:p>
        </w:tc>
        <w:tc>
          <w:tcPr>
            <w:tcW w:w="1843" w:type="dxa"/>
            <w:shd w:val="clear" w:color="auto" w:fill="auto"/>
          </w:tcPr>
          <w:p w14:paraId="1EAD5B8F"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Resultados de Imagenología que definieron el diagnostico de IVU</w:t>
            </w:r>
          </w:p>
        </w:tc>
        <w:tc>
          <w:tcPr>
            <w:tcW w:w="1417" w:type="dxa"/>
            <w:shd w:val="clear" w:color="auto" w:fill="auto"/>
          </w:tcPr>
          <w:p w14:paraId="7B9E355E"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3E83D81F"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6306E15F" w14:textId="77777777" w:rsidR="00684A8A" w:rsidRDefault="00684A8A" w:rsidP="00684A8A">
            <w:pPr>
              <w:spacing w:after="0" w:line="240" w:lineRule="auto"/>
              <w:jc w:val="both"/>
              <w:rPr>
                <w:rFonts w:ascii="Times New Roman" w:hAnsi="Times New Roman" w:cs="Times New Roman"/>
                <w:sz w:val="20"/>
                <w:szCs w:val="20"/>
              </w:rPr>
            </w:pPr>
          </w:p>
          <w:p w14:paraId="0762E8A1" w14:textId="1A00D7A0"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275" w:type="dxa"/>
            <w:shd w:val="clear" w:color="auto" w:fill="auto"/>
          </w:tcPr>
          <w:p w14:paraId="7F724EBB" w14:textId="41843145"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US</w:t>
            </w:r>
          </w:p>
          <w:p w14:paraId="5F43583D"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TAC</w:t>
            </w:r>
          </w:p>
          <w:p w14:paraId="359D0330"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Otros</w:t>
            </w:r>
          </w:p>
        </w:tc>
      </w:tr>
      <w:tr w:rsidR="00684A8A" w14:paraId="46EF0659" w14:textId="77777777" w:rsidTr="00684A8A">
        <w:tc>
          <w:tcPr>
            <w:tcW w:w="1829" w:type="dxa"/>
            <w:vMerge/>
            <w:shd w:val="clear" w:color="auto" w:fill="auto"/>
          </w:tcPr>
          <w:p w14:paraId="2A187FA2"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08E52D4A" w14:textId="77777777" w:rsidR="00684A8A" w:rsidRDefault="00684A8A" w:rsidP="00684A8A">
            <w:pPr>
              <w:spacing w:after="0"/>
              <w:jc w:val="both"/>
            </w:pPr>
            <w:r>
              <w:rPr>
                <w:rFonts w:ascii="Times New Roman" w:hAnsi="Times New Roman" w:cs="Times New Roman"/>
              </w:rPr>
              <w:t>Estancia Hospitalaria</w:t>
            </w:r>
          </w:p>
        </w:tc>
        <w:tc>
          <w:tcPr>
            <w:tcW w:w="1843" w:type="dxa"/>
            <w:shd w:val="clear" w:color="auto" w:fill="auto"/>
          </w:tcPr>
          <w:p w14:paraId="5B0735A4"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Tiempo transcurrido desde su llegada a la emergencia y su ingreso a la sala de hospitalización</w:t>
            </w:r>
          </w:p>
        </w:tc>
        <w:tc>
          <w:tcPr>
            <w:tcW w:w="1417" w:type="dxa"/>
            <w:shd w:val="clear" w:color="auto" w:fill="auto"/>
          </w:tcPr>
          <w:p w14:paraId="3EA1B28A"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Numérica</w:t>
            </w:r>
          </w:p>
        </w:tc>
        <w:tc>
          <w:tcPr>
            <w:tcW w:w="1418" w:type="dxa"/>
          </w:tcPr>
          <w:p w14:paraId="0AB7CA69"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47DCCA80" w14:textId="77777777" w:rsidR="00684A8A" w:rsidRDefault="00684A8A" w:rsidP="00684A8A">
            <w:pPr>
              <w:spacing w:after="0" w:line="240" w:lineRule="auto"/>
              <w:jc w:val="both"/>
              <w:rPr>
                <w:rFonts w:ascii="Times New Roman" w:hAnsi="Times New Roman" w:cs="Times New Roman"/>
                <w:sz w:val="20"/>
                <w:szCs w:val="20"/>
              </w:rPr>
            </w:pPr>
          </w:p>
          <w:p w14:paraId="59FCB715" w14:textId="7C517EB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Fleming</w:t>
            </w:r>
          </w:p>
        </w:tc>
        <w:tc>
          <w:tcPr>
            <w:tcW w:w="1275" w:type="dxa"/>
            <w:shd w:val="clear" w:color="auto" w:fill="auto"/>
          </w:tcPr>
          <w:p w14:paraId="5C4B296E" w14:textId="788323AE"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a 2</w:t>
            </w:r>
          </w:p>
          <w:p w14:paraId="4A813DDF"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a 5</w:t>
            </w:r>
          </w:p>
          <w:p w14:paraId="5B2F76D7"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6 a mas</w:t>
            </w:r>
          </w:p>
        </w:tc>
      </w:tr>
      <w:tr w:rsidR="00684A8A" w14:paraId="5130D278" w14:textId="77777777" w:rsidTr="00684A8A">
        <w:tc>
          <w:tcPr>
            <w:tcW w:w="1829" w:type="dxa"/>
            <w:vMerge/>
            <w:shd w:val="clear" w:color="auto" w:fill="auto"/>
          </w:tcPr>
          <w:p w14:paraId="5AD361EB"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7A604930" w14:textId="77777777" w:rsidR="00684A8A" w:rsidRDefault="00684A8A" w:rsidP="00684A8A">
            <w:pPr>
              <w:spacing w:after="0"/>
              <w:jc w:val="both"/>
            </w:pPr>
            <w:r>
              <w:rPr>
                <w:rFonts w:ascii="Times New Roman" w:hAnsi="Times New Roman" w:cs="Times New Roman"/>
              </w:rPr>
              <w:t>Patologías asociadas intrahospitalaria</w:t>
            </w:r>
          </w:p>
          <w:p w14:paraId="5AE4A7F4" w14:textId="77777777" w:rsidR="00684A8A" w:rsidRDefault="00684A8A" w:rsidP="00684A8A">
            <w:pPr>
              <w:spacing w:after="0"/>
              <w:jc w:val="both"/>
              <w:rPr>
                <w:rFonts w:ascii="Times New Roman" w:hAnsi="Times New Roman" w:cs="Times New Roman"/>
              </w:rPr>
            </w:pPr>
          </w:p>
        </w:tc>
        <w:tc>
          <w:tcPr>
            <w:tcW w:w="1843" w:type="dxa"/>
            <w:shd w:val="clear" w:color="auto" w:fill="auto"/>
          </w:tcPr>
          <w:p w14:paraId="110C1CAD"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Patología asociada o concomitante durante su estancia hospitalaria</w:t>
            </w:r>
          </w:p>
        </w:tc>
        <w:tc>
          <w:tcPr>
            <w:tcW w:w="1417" w:type="dxa"/>
            <w:shd w:val="clear" w:color="auto" w:fill="auto"/>
          </w:tcPr>
          <w:p w14:paraId="18B4D4F1"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18630071"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2914B676" w14:textId="77777777" w:rsidR="00684A8A" w:rsidRDefault="00684A8A" w:rsidP="00684A8A">
            <w:pPr>
              <w:spacing w:after="0" w:line="240" w:lineRule="auto"/>
              <w:jc w:val="both"/>
              <w:rPr>
                <w:rFonts w:ascii="Times New Roman" w:hAnsi="Times New Roman" w:cs="Times New Roman"/>
                <w:sz w:val="20"/>
                <w:szCs w:val="20"/>
              </w:rPr>
            </w:pPr>
          </w:p>
          <w:p w14:paraId="12E1E42F" w14:textId="1AA88451" w:rsidR="00684A8A" w:rsidRDefault="00684A8A" w:rsidP="00684A8A">
            <w:pPr>
              <w:spacing w:after="0" w:line="360" w:lineRule="auto"/>
              <w:jc w:val="both"/>
              <w:rPr>
                <w:rFonts w:ascii="Times New Roman" w:hAnsi="Times New Roman" w:cs="Times New Roman"/>
              </w:rPr>
            </w:pPr>
            <w:r>
              <w:rPr>
                <w:rFonts w:ascii="Times New Roman" w:hAnsi="Times New Roman" w:cs="Times New Roman"/>
                <w:sz w:val="20"/>
                <w:szCs w:val="20"/>
              </w:rPr>
              <w:t>Fleming</w:t>
            </w:r>
          </w:p>
        </w:tc>
        <w:tc>
          <w:tcPr>
            <w:tcW w:w="1275" w:type="dxa"/>
            <w:shd w:val="clear" w:color="auto" w:fill="auto"/>
          </w:tcPr>
          <w:p w14:paraId="6C59EEF3" w14:textId="4F08779F" w:rsidR="00684A8A" w:rsidRDefault="00684A8A" w:rsidP="00684A8A">
            <w:pPr>
              <w:spacing w:after="0" w:line="360" w:lineRule="auto"/>
              <w:jc w:val="both"/>
              <w:rPr>
                <w:rFonts w:ascii="Times New Roman" w:hAnsi="Times New Roman" w:cs="Times New Roman"/>
              </w:rPr>
            </w:pPr>
          </w:p>
        </w:tc>
      </w:tr>
      <w:tr w:rsidR="00684A8A" w14:paraId="74302383" w14:textId="77777777" w:rsidTr="00684A8A">
        <w:tc>
          <w:tcPr>
            <w:tcW w:w="1829" w:type="dxa"/>
            <w:vMerge/>
            <w:shd w:val="clear" w:color="auto" w:fill="auto"/>
          </w:tcPr>
          <w:p w14:paraId="5907188A"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004542E6" w14:textId="77777777" w:rsidR="00684A8A" w:rsidRDefault="00684A8A" w:rsidP="00684A8A">
            <w:pPr>
              <w:spacing w:after="0"/>
              <w:jc w:val="both"/>
            </w:pPr>
            <w:r>
              <w:rPr>
                <w:rFonts w:ascii="Times New Roman" w:hAnsi="Times New Roman" w:cs="Times New Roman"/>
              </w:rPr>
              <w:t>Resultado microbiológico</w:t>
            </w:r>
          </w:p>
          <w:p w14:paraId="7C242015" w14:textId="77777777" w:rsidR="00684A8A" w:rsidRDefault="00684A8A" w:rsidP="00684A8A">
            <w:pPr>
              <w:spacing w:after="0"/>
              <w:jc w:val="both"/>
            </w:pPr>
          </w:p>
        </w:tc>
        <w:tc>
          <w:tcPr>
            <w:tcW w:w="1843" w:type="dxa"/>
            <w:shd w:val="clear" w:color="auto" w:fill="auto"/>
          </w:tcPr>
          <w:p w14:paraId="10EFBE1E"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Resultado del urocultivo y antibiograma realizado al paciente.</w:t>
            </w:r>
          </w:p>
        </w:tc>
        <w:tc>
          <w:tcPr>
            <w:tcW w:w="1417" w:type="dxa"/>
            <w:shd w:val="clear" w:color="auto" w:fill="auto"/>
          </w:tcPr>
          <w:p w14:paraId="585D49C2"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5AE8F9C0"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36C2266C" w14:textId="77777777" w:rsidR="00684A8A" w:rsidRDefault="00684A8A" w:rsidP="00684A8A">
            <w:pPr>
              <w:spacing w:after="0" w:line="240" w:lineRule="auto"/>
              <w:jc w:val="both"/>
              <w:rPr>
                <w:rFonts w:ascii="Times New Roman" w:hAnsi="Times New Roman" w:cs="Times New Roman"/>
                <w:sz w:val="20"/>
                <w:szCs w:val="20"/>
              </w:rPr>
            </w:pPr>
          </w:p>
          <w:p w14:paraId="1499783E" w14:textId="5148D7BF"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275" w:type="dxa"/>
            <w:shd w:val="clear" w:color="auto" w:fill="auto"/>
          </w:tcPr>
          <w:p w14:paraId="0DE36E8C" w14:textId="7EFB953E"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Positivo</w:t>
            </w:r>
          </w:p>
          <w:p w14:paraId="6914A6E1"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Negativo</w:t>
            </w:r>
          </w:p>
          <w:p w14:paraId="58530484" w14:textId="77777777" w:rsidR="00684A8A" w:rsidRDefault="00684A8A" w:rsidP="00684A8A">
            <w:pPr>
              <w:spacing w:after="0" w:line="240" w:lineRule="auto"/>
              <w:jc w:val="both"/>
              <w:rPr>
                <w:rFonts w:ascii="Times New Roman" w:hAnsi="Times New Roman" w:cs="Times New Roman"/>
              </w:rPr>
            </w:pPr>
          </w:p>
          <w:p w14:paraId="03E122AF"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Bacteria</w:t>
            </w:r>
          </w:p>
          <w:p w14:paraId="6EFC482C" w14:textId="77777777" w:rsidR="00684A8A" w:rsidRDefault="00684A8A" w:rsidP="00684A8A">
            <w:pPr>
              <w:spacing w:after="0" w:line="240" w:lineRule="auto"/>
              <w:jc w:val="both"/>
              <w:rPr>
                <w:rFonts w:ascii="Times New Roman" w:hAnsi="Times New Roman" w:cs="Times New Roman"/>
              </w:rPr>
            </w:pPr>
          </w:p>
          <w:p w14:paraId="5F69AD74"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Sensible</w:t>
            </w:r>
          </w:p>
        </w:tc>
      </w:tr>
      <w:tr w:rsidR="00684A8A" w14:paraId="27089FD3" w14:textId="77777777" w:rsidTr="00684A8A">
        <w:tc>
          <w:tcPr>
            <w:tcW w:w="1829" w:type="dxa"/>
            <w:vMerge/>
            <w:shd w:val="clear" w:color="auto" w:fill="auto"/>
          </w:tcPr>
          <w:p w14:paraId="75CF59C3"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2EB393BD" w14:textId="77777777" w:rsidR="00684A8A" w:rsidRDefault="00684A8A" w:rsidP="00684A8A">
            <w:pPr>
              <w:spacing w:after="0"/>
              <w:jc w:val="both"/>
            </w:pPr>
            <w:r>
              <w:rPr>
                <w:rFonts w:ascii="Times New Roman" w:hAnsi="Times New Roman" w:cs="Times New Roman"/>
              </w:rPr>
              <w:t>Tratamiento</w:t>
            </w:r>
          </w:p>
        </w:tc>
        <w:tc>
          <w:tcPr>
            <w:tcW w:w="1843" w:type="dxa"/>
            <w:shd w:val="clear" w:color="auto" w:fill="auto"/>
          </w:tcPr>
          <w:p w14:paraId="3A3783EA"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Terapia recibida durante su estancia hospitalaria</w:t>
            </w:r>
          </w:p>
        </w:tc>
        <w:tc>
          <w:tcPr>
            <w:tcW w:w="1417" w:type="dxa"/>
            <w:shd w:val="clear" w:color="auto" w:fill="auto"/>
          </w:tcPr>
          <w:p w14:paraId="7ECC8211"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44977203"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00FDA95F" w14:textId="77777777" w:rsidR="00684A8A" w:rsidRDefault="00684A8A" w:rsidP="00684A8A">
            <w:pPr>
              <w:spacing w:after="0" w:line="240" w:lineRule="auto"/>
              <w:jc w:val="both"/>
              <w:rPr>
                <w:rFonts w:ascii="Times New Roman" w:hAnsi="Times New Roman" w:cs="Times New Roman"/>
                <w:sz w:val="20"/>
                <w:szCs w:val="20"/>
              </w:rPr>
            </w:pPr>
          </w:p>
          <w:p w14:paraId="388D4765" w14:textId="1E57518B"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275" w:type="dxa"/>
            <w:shd w:val="clear" w:color="auto" w:fill="auto"/>
          </w:tcPr>
          <w:p w14:paraId="06A6D31F" w14:textId="5EA69ACB"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Alimentación</w:t>
            </w:r>
          </w:p>
          <w:p w14:paraId="48FDF300"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Medicamento</w:t>
            </w:r>
          </w:p>
          <w:p w14:paraId="51601D51"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Líquidos</w:t>
            </w:r>
          </w:p>
          <w:p w14:paraId="6F518FDA"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Otros</w:t>
            </w:r>
          </w:p>
        </w:tc>
      </w:tr>
      <w:tr w:rsidR="00684A8A" w14:paraId="064C351D" w14:textId="77777777" w:rsidTr="00684A8A">
        <w:tc>
          <w:tcPr>
            <w:tcW w:w="1829" w:type="dxa"/>
            <w:vMerge/>
            <w:shd w:val="clear" w:color="auto" w:fill="auto"/>
          </w:tcPr>
          <w:p w14:paraId="10E81E6C"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33E3D4A0" w14:textId="77777777" w:rsidR="00684A8A" w:rsidRDefault="00684A8A" w:rsidP="00684A8A">
            <w:pPr>
              <w:spacing w:after="0"/>
              <w:jc w:val="both"/>
              <w:rPr>
                <w:rFonts w:ascii="Times New Roman" w:hAnsi="Times New Roman" w:cs="Times New Roman"/>
              </w:rPr>
            </w:pPr>
            <w:r>
              <w:rPr>
                <w:rFonts w:ascii="Times New Roman" w:hAnsi="Times New Roman" w:cs="Times New Roman"/>
              </w:rPr>
              <w:t>Cambio de terapias de tratamiento</w:t>
            </w:r>
          </w:p>
          <w:p w14:paraId="4660CB3A" w14:textId="77777777" w:rsidR="00684A8A" w:rsidRDefault="00684A8A" w:rsidP="00684A8A">
            <w:pPr>
              <w:spacing w:after="0"/>
              <w:jc w:val="both"/>
              <w:rPr>
                <w:rFonts w:ascii="Times New Roman" w:hAnsi="Times New Roman" w:cs="Times New Roman"/>
              </w:rPr>
            </w:pPr>
          </w:p>
        </w:tc>
        <w:tc>
          <w:tcPr>
            <w:tcW w:w="1843" w:type="dxa"/>
            <w:shd w:val="clear" w:color="auto" w:fill="auto"/>
          </w:tcPr>
          <w:p w14:paraId="0A614664"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Cambio de manejo de terapia.</w:t>
            </w:r>
          </w:p>
        </w:tc>
        <w:tc>
          <w:tcPr>
            <w:tcW w:w="1417" w:type="dxa"/>
            <w:shd w:val="clear" w:color="auto" w:fill="auto"/>
          </w:tcPr>
          <w:p w14:paraId="50D62765"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5FBDE3AC"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12D414DB" w14:textId="77777777" w:rsidR="00684A8A" w:rsidRDefault="00684A8A" w:rsidP="00684A8A">
            <w:pPr>
              <w:spacing w:after="0" w:line="240" w:lineRule="auto"/>
              <w:jc w:val="both"/>
              <w:rPr>
                <w:rFonts w:ascii="Times New Roman" w:hAnsi="Times New Roman" w:cs="Times New Roman"/>
                <w:sz w:val="20"/>
                <w:szCs w:val="20"/>
              </w:rPr>
            </w:pPr>
          </w:p>
          <w:p w14:paraId="49B23694" w14:textId="6D30C117"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275" w:type="dxa"/>
            <w:shd w:val="clear" w:color="auto" w:fill="auto"/>
          </w:tcPr>
          <w:p w14:paraId="42B228F4" w14:textId="1EF8CBE1"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w:t>
            </w:r>
          </w:p>
          <w:p w14:paraId="47D9FB9F" w14:textId="77777777" w:rsidR="00684A8A" w:rsidRDefault="00684A8A" w:rsidP="00684A8A">
            <w:pPr>
              <w:spacing w:after="0" w:line="360" w:lineRule="auto"/>
              <w:jc w:val="both"/>
              <w:rPr>
                <w:rFonts w:ascii="Times New Roman" w:hAnsi="Times New Roman" w:cs="Times New Roman"/>
                <w:b/>
                <w:bCs/>
              </w:rPr>
            </w:pPr>
            <w:r>
              <w:rPr>
                <w:rFonts w:ascii="Times New Roman" w:hAnsi="Times New Roman" w:cs="Times New Roman"/>
                <w:b/>
                <w:bCs/>
              </w:rPr>
              <w:t>No</w:t>
            </w:r>
          </w:p>
          <w:p w14:paraId="1096DA95"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b/>
                <w:bCs/>
              </w:rPr>
              <w:t>Motivo</w:t>
            </w:r>
          </w:p>
        </w:tc>
      </w:tr>
      <w:tr w:rsidR="00684A8A" w14:paraId="3C45A521" w14:textId="77777777" w:rsidTr="00684A8A">
        <w:tc>
          <w:tcPr>
            <w:tcW w:w="1829" w:type="dxa"/>
            <w:vMerge/>
            <w:shd w:val="clear" w:color="auto" w:fill="auto"/>
          </w:tcPr>
          <w:p w14:paraId="349E48BE" w14:textId="77777777" w:rsidR="00684A8A" w:rsidRDefault="00684A8A" w:rsidP="00684A8A">
            <w:pPr>
              <w:spacing w:after="0" w:line="240" w:lineRule="auto"/>
              <w:jc w:val="both"/>
              <w:rPr>
                <w:rFonts w:ascii="Times New Roman" w:hAnsi="Times New Roman" w:cs="Times New Roman"/>
                <w:b/>
                <w:bCs/>
              </w:rPr>
            </w:pPr>
          </w:p>
        </w:tc>
        <w:tc>
          <w:tcPr>
            <w:tcW w:w="1852" w:type="dxa"/>
            <w:shd w:val="clear" w:color="auto" w:fill="auto"/>
          </w:tcPr>
          <w:p w14:paraId="37596522"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Terapias adicionales</w:t>
            </w:r>
          </w:p>
        </w:tc>
        <w:tc>
          <w:tcPr>
            <w:tcW w:w="1843" w:type="dxa"/>
            <w:shd w:val="clear" w:color="auto" w:fill="auto"/>
          </w:tcPr>
          <w:p w14:paraId="7B89A775" w14:textId="77777777"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 xml:space="preserve">Utilización de otras terapias complementarias </w:t>
            </w:r>
            <w:r>
              <w:rPr>
                <w:rFonts w:ascii="Times New Roman" w:hAnsi="Times New Roman" w:cs="Times New Roman"/>
              </w:rPr>
              <w:lastRenderedPageBreak/>
              <w:t>en el manejo hospitalario.</w:t>
            </w:r>
          </w:p>
        </w:tc>
        <w:tc>
          <w:tcPr>
            <w:tcW w:w="1417" w:type="dxa"/>
            <w:shd w:val="clear" w:color="auto" w:fill="auto"/>
          </w:tcPr>
          <w:p w14:paraId="6AEA3919"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rPr>
              <w:lastRenderedPageBreak/>
              <w:t>Cualitativa</w:t>
            </w:r>
          </w:p>
        </w:tc>
        <w:tc>
          <w:tcPr>
            <w:tcW w:w="1418" w:type="dxa"/>
          </w:tcPr>
          <w:p w14:paraId="3281068C" w14:textId="77777777" w:rsidR="00684A8A" w:rsidRDefault="00684A8A" w:rsidP="00684A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1AE4EACD" w14:textId="77777777" w:rsidR="00684A8A" w:rsidRDefault="00684A8A" w:rsidP="00684A8A">
            <w:pPr>
              <w:spacing w:after="0" w:line="240" w:lineRule="auto"/>
              <w:jc w:val="both"/>
              <w:rPr>
                <w:rFonts w:ascii="Times New Roman" w:hAnsi="Times New Roman" w:cs="Times New Roman"/>
                <w:sz w:val="20"/>
                <w:szCs w:val="20"/>
              </w:rPr>
            </w:pPr>
          </w:p>
          <w:p w14:paraId="614D8D04" w14:textId="5B1067F4" w:rsidR="00684A8A" w:rsidRDefault="00684A8A" w:rsidP="00684A8A">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275" w:type="dxa"/>
            <w:shd w:val="clear" w:color="auto" w:fill="auto"/>
          </w:tcPr>
          <w:p w14:paraId="369D6F31" w14:textId="54E49C50" w:rsidR="00684A8A" w:rsidRDefault="00684A8A" w:rsidP="00684A8A">
            <w:pPr>
              <w:spacing w:after="0" w:line="240" w:lineRule="auto"/>
              <w:jc w:val="both"/>
              <w:rPr>
                <w:rFonts w:ascii="Times New Roman" w:hAnsi="Times New Roman" w:cs="Times New Roman"/>
              </w:rPr>
            </w:pPr>
            <w:r>
              <w:rPr>
                <w:rFonts w:ascii="Times New Roman" w:hAnsi="Times New Roman" w:cs="Times New Roman"/>
              </w:rPr>
              <w:t>Si</w:t>
            </w:r>
          </w:p>
          <w:p w14:paraId="50BF6F0F" w14:textId="77777777" w:rsidR="00684A8A" w:rsidRDefault="00684A8A" w:rsidP="00684A8A">
            <w:pPr>
              <w:spacing w:after="0" w:line="360" w:lineRule="auto"/>
              <w:jc w:val="both"/>
              <w:rPr>
                <w:rFonts w:ascii="Times New Roman" w:hAnsi="Times New Roman" w:cs="Times New Roman"/>
                <w:b/>
                <w:bCs/>
              </w:rPr>
            </w:pPr>
            <w:r>
              <w:rPr>
                <w:rFonts w:ascii="Times New Roman" w:hAnsi="Times New Roman" w:cs="Times New Roman"/>
                <w:b/>
                <w:bCs/>
              </w:rPr>
              <w:t>No</w:t>
            </w:r>
          </w:p>
          <w:p w14:paraId="5B147E7F" w14:textId="77777777" w:rsidR="00684A8A" w:rsidRDefault="00684A8A" w:rsidP="00684A8A">
            <w:pPr>
              <w:spacing w:after="0" w:line="360" w:lineRule="auto"/>
              <w:jc w:val="both"/>
              <w:rPr>
                <w:rFonts w:ascii="Times New Roman" w:hAnsi="Times New Roman" w:cs="Times New Roman"/>
              </w:rPr>
            </w:pPr>
            <w:r>
              <w:rPr>
                <w:rFonts w:ascii="Times New Roman" w:hAnsi="Times New Roman" w:cs="Times New Roman"/>
                <w:b/>
                <w:bCs/>
              </w:rPr>
              <w:t>Cual</w:t>
            </w:r>
          </w:p>
        </w:tc>
      </w:tr>
      <w:tr w:rsidR="00765F36" w14:paraId="3B75DD92" w14:textId="77777777" w:rsidTr="00684A8A">
        <w:tc>
          <w:tcPr>
            <w:tcW w:w="1829" w:type="dxa"/>
            <w:shd w:val="clear" w:color="auto" w:fill="auto"/>
          </w:tcPr>
          <w:p w14:paraId="56DCB868" w14:textId="77777777" w:rsidR="00765F36" w:rsidRDefault="00765F36" w:rsidP="00765F36">
            <w:pPr>
              <w:spacing w:after="0" w:line="240" w:lineRule="auto"/>
              <w:jc w:val="center"/>
              <w:rPr>
                <w:rFonts w:ascii="Times New Roman" w:hAnsi="Times New Roman" w:cs="Times New Roman"/>
                <w:b/>
                <w:bCs/>
              </w:rPr>
            </w:pPr>
            <w:r>
              <w:rPr>
                <w:rFonts w:ascii="Times New Roman" w:hAnsi="Times New Roman" w:cs="Times New Roman"/>
                <w:b/>
                <w:bCs/>
              </w:rPr>
              <w:t>Objetivos</w:t>
            </w:r>
          </w:p>
        </w:tc>
        <w:tc>
          <w:tcPr>
            <w:tcW w:w="1852" w:type="dxa"/>
            <w:shd w:val="clear" w:color="auto" w:fill="auto"/>
          </w:tcPr>
          <w:p w14:paraId="6C9B4A51" w14:textId="77777777" w:rsidR="00765F36" w:rsidRDefault="00765F36" w:rsidP="00765F36">
            <w:pPr>
              <w:spacing w:after="0" w:line="240" w:lineRule="auto"/>
              <w:jc w:val="center"/>
              <w:rPr>
                <w:rFonts w:ascii="Times New Roman" w:hAnsi="Times New Roman" w:cs="Times New Roman"/>
                <w:b/>
                <w:bCs/>
              </w:rPr>
            </w:pPr>
            <w:r>
              <w:rPr>
                <w:rFonts w:ascii="Times New Roman" w:hAnsi="Times New Roman" w:cs="Times New Roman"/>
                <w:b/>
                <w:bCs/>
              </w:rPr>
              <w:t>Variables</w:t>
            </w:r>
          </w:p>
        </w:tc>
        <w:tc>
          <w:tcPr>
            <w:tcW w:w="1843" w:type="dxa"/>
            <w:shd w:val="clear" w:color="auto" w:fill="auto"/>
          </w:tcPr>
          <w:p w14:paraId="1C7EEBC8" w14:textId="77777777" w:rsidR="00765F36" w:rsidRDefault="00765F36" w:rsidP="00765F36">
            <w:pPr>
              <w:spacing w:after="0" w:line="240" w:lineRule="auto"/>
              <w:jc w:val="center"/>
              <w:rPr>
                <w:rFonts w:ascii="Times New Roman" w:hAnsi="Times New Roman" w:cs="Times New Roman"/>
                <w:b/>
                <w:bCs/>
              </w:rPr>
            </w:pPr>
            <w:r>
              <w:rPr>
                <w:rFonts w:ascii="Times New Roman" w:hAnsi="Times New Roman" w:cs="Times New Roman"/>
                <w:b/>
                <w:bCs/>
              </w:rPr>
              <w:t>Definición operacional</w:t>
            </w:r>
          </w:p>
        </w:tc>
        <w:tc>
          <w:tcPr>
            <w:tcW w:w="1417" w:type="dxa"/>
            <w:shd w:val="clear" w:color="auto" w:fill="auto"/>
          </w:tcPr>
          <w:p w14:paraId="4C280FED" w14:textId="77777777" w:rsidR="00765F36" w:rsidRDefault="00765F36" w:rsidP="00765F36">
            <w:pPr>
              <w:spacing w:after="0" w:line="240" w:lineRule="auto"/>
              <w:jc w:val="center"/>
              <w:rPr>
                <w:rFonts w:ascii="Times New Roman" w:hAnsi="Times New Roman" w:cs="Times New Roman"/>
                <w:b/>
                <w:bCs/>
              </w:rPr>
            </w:pPr>
            <w:r>
              <w:rPr>
                <w:rFonts w:ascii="Times New Roman" w:hAnsi="Times New Roman" w:cs="Times New Roman"/>
                <w:b/>
                <w:bCs/>
              </w:rPr>
              <w:t>Tipo de Variable</w:t>
            </w:r>
          </w:p>
        </w:tc>
        <w:tc>
          <w:tcPr>
            <w:tcW w:w="1418" w:type="dxa"/>
          </w:tcPr>
          <w:p w14:paraId="49CFB67C" w14:textId="3A3CC067" w:rsidR="00765F36" w:rsidRDefault="00765F36" w:rsidP="00765F36">
            <w:pPr>
              <w:spacing w:after="0" w:line="240" w:lineRule="auto"/>
              <w:jc w:val="center"/>
              <w:rPr>
                <w:rFonts w:ascii="Times New Roman" w:hAnsi="Times New Roman" w:cs="Times New Roman"/>
                <w:b/>
                <w:bCs/>
              </w:rPr>
            </w:pPr>
            <w:r>
              <w:rPr>
                <w:rFonts w:ascii="Times New Roman" w:hAnsi="Times New Roman" w:cs="Times New Roman"/>
                <w:b/>
                <w:bCs/>
              </w:rPr>
              <w:t>Instrumento</w:t>
            </w:r>
          </w:p>
        </w:tc>
        <w:tc>
          <w:tcPr>
            <w:tcW w:w="1275" w:type="dxa"/>
            <w:shd w:val="clear" w:color="auto" w:fill="auto"/>
          </w:tcPr>
          <w:p w14:paraId="37F7E0BF" w14:textId="78FC8DC9" w:rsidR="00765F36" w:rsidRDefault="00765F36" w:rsidP="00765F36">
            <w:pPr>
              <w:spacing w:after="0" w:line="240" w:lineRule="auto"/>
              <w:jc w:val="center"/>
              <w:rPr>
                <w:rFonts w:ascii="Times New Roman" w:hAnsi="Times New Roman" w:cs="Times New Roman"/>
                <w:b/>
                <w:bCs/>
              </w:rPr>
            </w:pPr>
            <w:r>
              <w:rPr>
                <w:rFonts w:ascii="Times New Roman" w:hAnsi="Times New Roman" w:cs="Times New Roman"/>
                <w:b/>
                <w:bCs/>
              </w:rPr>
              <w:t>Indicador</w:t>
            </w:r>
          </w:p>
        </w:tc>
      </w:tr>
      <w:tr w:rsidR="00765F36" w14:paraId="52A7622D" w14:textId="77777777" w:rsidTr="00684A8A">
        <w:tc>
          <w:tcPr>
            <w:tcW w:w="1829" w:type="dxa"/>
            <w:vMerge w:val="restart"/>
            <w:shd w:val="clear" w:color="auto" w:fill="auto"/>
          </w:tcPr>
          <w:p w14:paraId="33C2103E" w14:textId="77777777" w:rsidR="00765F36" w:rsidRDefault="00765F36" w:rsidP="00765F36">
            <w:pPr>
              <w:spacing w:after="0" w:line="240" w:lineRule="auto"/>
              <w:jc w:val="both"/>
              <w:rPr>
                <w:b/>
                <w:bCs/>
              </w:rPr>
            </w:pPr>
            <w:r>
              <w:rPr>
                <w:rFonts w:ascii="Times New Roman" w:hAnsi="Times New Roman" w:cs="Times New Roman"/>
                <w:b/>
                <w:bCs/>
              </w:rPr>
              <w:t>O3. Describir la evolución clínica de los pacientes en estudio.</w:t>
            </w:r>
          </w:p>
          <w:p w14:paraId="36F5EB12" w14:textId="77777777" w:rsidR="00765F36" w:rsidRDefault="00765F36" w:rsidP="00765F36">
            <w:pPr>
              <w:spacing w:after="0" w:line="240" w:lineRule="auto"/>
              <w:jc w:val="both"/>
              <w:rPr>
                <w:b/>
                <w:bCs/>
              </w:rPr>
            </w:pPr>
          </w:p>
          <w:p w14:paraId="1347F57F" w14:textId="77777777" w:rsidR="00765F36" w:rsidRDefault="00765F36" w:rsidP="00765F36">
            <w:pPr>
              <w:spacing w:after="0" w:line="240" w:lineRule="auto"/>
              <w:jc w:val="both"/>
              <w:rPr>
                <w:b/>
                <w:bCs/>
              </w:rPr>
            </w:pPr>
          </w:p>
        </w:tc>
        <w:tc>
          <w:tcPr>
            <w:tcW w:w="1852" w:type="dxa"/>
            <w:shd w:val="clear" w:color="auto" w:fill="auto"/>
          </w:tcPr>
          <w:p w14:paraId="4AA1C873" w14:textId="77777777" w:rsidR="00765F36" w:rsidRDefault="00765F36" w:rsidP="00765F36">
            <w:pPr>
              <w:spacing w:after="0" w:line="240" w:lineRule="auto"/>
              <w:jc w:val="both"/>
            </w:pPr>
            <w:r>
              <w:rPr>
                <w:rFonts w:ascii="Times New Roman" w:hAnsi="Times New Roman" w:cs="Times New Roman"/>
              </w:rPr>
              <w:t>Complicaciones</w:t>
            </w:r>
          </w:p>
        </w:tc>
        <w:tc>
          <w:tcPr>
            <w:tcW w:w="1843" w:type="dxa"/>
            <w:shd w:val="clear" w:color="auto" w:fill="auto"/>
          </w:tcPr>
          <w:p w14:paraId="3B93D046" w14:textId="77777777" w:rsidR="00765F36" w:rsidRDefault="00765F36" w:rsidP="00765F36">
            <w:pPr>
              <w:spacing w:after="0" w:line="240" w:lineRule="auto"/>
              <w:jc w:val="both"/>
              <w:rPr>
                <w:rFonts w:ascii="Times New Roman" w:hAnsi="Times New Roman" w:cs="Times New Roman"/>
              </w:rPr>
            </w:pPr>
            <w:r>
              <w:rPr>
                <w:rFonts w:ascii="Times New Roman" w:hAnsi="Times New Roman" w:cs="Times New Roman"/>
              </w:rPr>
              <w:t>Complicaciones presentadas secundaria a su patología</w:t>
            </w:r>
          </w:p>
        </w:tc>
        <w:tc>
          <w:tcPr>
            <w:tcW w:w="1417" w:type="dxa"/>
            <w:shd w:val="clear" w:color="auto" w:fill="auto"/>
          </w:tcPr>
          <w:p w14:paraId="30A9E7DF" w14:textId="77777777" w:rsidR="00765F36" w:rsidRDefault="00765F36" w:rsidP="00765F36">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7119672E" w14:textId="77777777" w:rsidR="00765F36" w:rsidRDefault="00765F36" w:rsidP="00765F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76984CC3" w14:textId="77777777" w:rsidR="00765F36" w:rsidRDefault="00765F36" w:rsidP="00765F36">
            <w:pPr>
              <w:spacing w:after="0" w:line="240" w:lineRule="auto"/>
              <w:jc w:val="both"/>
              <w:rPr>
                <w:rFonts w:ascii="Times New Roman" w:hAnsi="Times New Roman" w:cs="Times New Roman"/>
                <w:sz w:val="20"/>
                <w:szCs w:val="20"/>
              </w:rPr>
            </w:pPr>
          </w:p>
          <w:p w14:paraId="3778B11A" w14:textId="4BC5DB30" w:rsidR="00765F36" w:rsidRDefault="00765F36" w:rsidP="00765F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Fleming</w:t>
            </w:r>
          </w:p>
        </w:tc>
        <w:tc>
          <w:tcPr>
            <w:tcW w:w="1275" w:type="dxa"/>
            <w:shd w:val="clear" w:color="auto" w:fill="auto"/>
          </w:tcPr>
          <w:p w14:paraId="013112B5" w14:textId="40988D7C" w:rsidR="00765F36" w:rsidRDefault="00765F36" w:rsidP="00765F36">
            <w:pPr>
              <w:spacing w:after="0" w:line="240" w:lineRule="auto"/>
              <w:jc w:val="both"/>
              <w:rPr>
                <w:rFonts w:ascii="Times New Roman" w:hAnsi="Times New Roman" w:cs="Times New Roman"/>
                <w:sz w:val="20"/>
                <w:szCs w:val="20"/>
              </w:rPr>
            </w:pPr>
          </w:p>
        </w:tc>
      </w:tr>
      <w:tr w:rsidR="00765F36" w14:paraId="5D6A3614" w14:textId="77777777" w:rsidTr="00684A8A">
        <w:tc>
          <w:tcPr>
            <w:tcW w:w="1829" w:type="dxa"/>
            <w:vMerge/>
            <w:shd w:val="clear" w:color="auto" w:fill="auto"/>
          </w:tcPr>
          <w:p w14:paraId="7A6E2991" w14:textId="77777777" w:rsidR="00765F36" w:rsidRDefault="00765F36" w:rsidP="00765F36">
            <w:pPr>
              <w:spacing w:after="0" w:line="240" w:lineRule="auto"/>
              <w:jc w:val="both"/>
              <w:rPr>
                <w:rFonts w:ascii="Times New Roman" w:hAnsi="Times New Roman" w:cs="Times New Roman"/>
                <w:b/>
                <w:bCs/>
              </w:rPr>
            </w:pPr>
          </w:p>
        </w:tc>
        <w:tc>
          <w:tcPr>
            <w:tcW w:w="1852" w:type="dxa"/>
            <w:shd w:val="clear" w:color="auto" w:fill="auto"/>
          </w:tcPr>
          <w:p w14:paraId="6F3DA771" w14:textId="77777777" w:rsidR="00765F36" w:rsidRDefault="00765F36" w:rsidP="00765F36">
            <w:pPr>
              <w:spacing w:after="0"/>
              <w:jc w:val="both"/>
            </w:pPr>
            <w:r>
              <w:rPr>
                <w:rFonts w:ascii="Times New Roman" w:hAnsi="Times New Roman" w:cs="Times New Roman"/>
              </w:rPr>
              <w:t>Condiciones del egreso.</w:t>
            </w:r>
          </w:p>
          <w:p w14:paraId="2B4D9F5A" w14:textId="77777777" w:rsidR="00765F36" w:rsidRDefault="00765F36" w:rsidP="00765F36">
            <w:pPr>
              <w:spacing w:after="0"/>
              <w:jc w:val="both"/>
            </w:pPr>
          </w:p>
        </w:tc>
        <w:tc>
          <w:tcPr>
            <w:tcW w:w="1843" w:type="dxa"/>
            <w:shd w:val="clear" w:color="auto" w:fill="auto"/>
          </w:tcPr>
          <w:p w14:paraId="5BE6F891" w14:textId="77777777" w:rsidR="00765F36" w:rsidRDefault="00765F36" w:rsidP="00765F36">
            <w:pPr>
              <w:spacing w:after="0" w:line="240" w:lineRule="auto"/>
              <w:jc w:val="both"/>
              <w:rPr>
                <w:rFonts w:ascii="Times New Roman" w:hAnsi="Times New Roman" w:cs="Times New Roman"/>
              </w:rPr>
            </w:pPr>
            <w:r>
              <w:rPr>
                <w:rFonts w:ascii="Times New Roman" w:hAnsi="Times New Roman" w:cs="Times New Roman"/>
              </w:rPr>
              <w:t>Tipo de egreso que presento el paciente de la sala de hospitalización general</w:t>
            </w:r>
          </w:p>
        </w:tc>
        <w:tc>
          <w:tcPr>
            <w:tcW w:w="1417" w:type="dxa"/>
            <w:shd w:val="clear" w:color="auto" w:fill="auto"/>
          </w:tcPr>
          <w:p w14:paraId="46DAA758" w14:textId="77777777" w:rsidR="00765F36" w:rsidRDefault="00765F36" w:rsidP="00765F36">
            <w:pPr>
              <w:spacing w:after="0" w:line="360" w:lineRule="auto"/>
              <w:jc w:val="both"/>
              <w:rPr>
                <w:rFonts w:ascii="Times New Roman" w:hAnsi="Times New Roman" w:cs="Times New Roman"/>
              </w:rPr>
            </w:pPr>
            <w:r>
              <w:rPr>
                <w:rFonts w:ascii="Times New Roman" w:hAnsi="Times New Roman" w:cs="Times New Roman"/>
              </w:rPr>
              <w:t>Cualitativa</w:t>
            </w:r>
          </w:p>
        </w:tc>
        <w:tc>
          <w:tcPr>
            <w:tcW w:w="1418" w:type="dxa"/>
          </w:tcPr>
          <w:p w14:paraId="67721BE1" w14:textId="77777777" w:rsidR="00765F36" w:rsidRDefault="00765F36" w:rsidP="00765F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Ficha de recolección de datos. </w:t>
            </w:r>
          </w:p>
          <w:p w14:paraId="1FA486F1" w14:textId="77777777" w:rsidR="00765F36" w:rsidRDefault="00765F36" w:rsidP="00765F36">
            <w:pPr>
              <w:spacing w:after="0" w:line="240" w:lineRule="auto"/>
              <w:jc w:val="both"/>
              <w:rPr>
                <w:rFonts w:ascii="Times New Roman" w:hAnsi="Times New Roman" w:cs="Times New Roman"/>
                <w:sz w:val="20"/>
                <w:szCs w:val="20"/>
              </w:rPr>
            </w:pPr>
          </w:p>
          <w:p w14:paraId="24B4D5A8" w14:textId="05D99D3A" w:rsidR="00765F36" w:rsidRDefault="00765F36" w:rsidP="00765F36">
            <w:pPr>
              <w:spacing w:after="0" w:line="240" w:lineRule="auto"/>
              <w:jc w:val="both"/>
              <w:rPr>
                <w:rFonts w:ascii="Times New Roman" w:hAnsi="Times New Roman" w:cs="Times New Roman"/>
              </w:rPr>
            </w:pPr>
            <w:r>
              <w:rPr>
                <w:rFonts w:ascii="Times New Roman" w:hAnsi="Times New Roman" w:cs="Times New Roman"/>
                <w:sz w:val="20"/>
                <w:szCs w:val="20"/>
              </w:rPr>
              <w:t>Fleming</w:t>
            </w:r>
          </w:p>
        </w:tc>
        <w:tc>
          <w:tcPr>
            <w:tcW w:w="1275" w:type="dxa"/>
            <w:shd w:val="clear" w:color="auto" w:fill="auto"/>
          </w:tcPr>
          <w:p w14:paraId="4D52BE8C" w14:textId="2C2F113B" w:rsidR="00765F36" w:rsidRDefault="00765F36" w:rsidP="00765F36">
            <w:pPr>
              <w:spacing w:after="0" w:line="240" w:lineRule="auto"/>
              <w:jc w:val="both"/>
              <w:rPr>
                <w:rFonts w:ascii="Times New Roman" w:hAnsi="Times New Roman" w:cs="Times New Roman"/>
              </w:rPr>
            </w:pPr>
            <w:r>
              <w:rPr>
                <w:rFonts w:ascii="Times New Roman" w:hAnsi="Times New Roman" w:cs="Times New Roman"/>
              </w:rPr>
              <w:t>Vivo</w:t>
            </w:r>
          </w:p>
          <w:p w14:paraId="7A64EA0E" w14:textId="77777777" w:rsidR="00765F36" w:rsidRDefault="00765F36" w:rsidP="00765F36">
            <w:pPr>
              <w:spacing w:after="0" w:line="240" w:lineRule="auto"/>
              <w:jc w:val="both"/>
              <w:rPr>
                <w:rFonts w:ascii="Times New Roman" w:hAnsi="Times New Roman" w:cs="Times New Roman"/>
              </w:rPr>
            </w:pPr>
            <w:r>
              <w:rPr>
                <w:rFonts w:ascii="Times New Roman" w:hAnsi="Times New Roman" w:cs="Times New Roman"/>
              </w:rPr>
              <w:t>Traslado</w:t>
            </w:r>
          </w:p>
          <w:p w14:paraId="0C741C31" w14:textId="77777777" w:rsidR="00765F36" w:rsidRDefault="00765F36" w:rsidP="00765F36">
            <w:pPr>
              <w:spacing w:after="0" w:line="240" w:lineRule="auto"/>
              <w:jc w:val="both"/>
              <w:rPr>
                <w:rFonts w:ascii="Times New Roman" w:hAnsi="Times New Roman" w:cs="Times New Roman"/>
              </w:rPr>
            </w:pPr>
            <w:r>
              <w:rPr>
                <w:rFonts w:ascii="Times New Roman" w:hAnsi="Times New Roman" w:cs="Times New Roman"/>
              </w:rPr>
              <w:t>Fallecido</w:t>
            </w:r>
          </w:p>
        </w:tc>
      </w:tr>
    </w:tbl>
    <w:p w14:paraId="4EA97289" w14:textId="77777777" w:rsidR="00F21220" w:rsidRDefault="00F21220" w:rsidP="00F21220">
      <w:pPr>
        <w:spacing w:after="0"/>
        <w:jc w:val="both"/>
      </w:pPr>
    </w:p>
    <w:p w14:paraId="5F37D236" w14:textId="77777777" w:rsidR="0073645A" w:rsidRDefault="0073645A">
      <w:pPr>
        <w:spacing w:after="0" w:line="240" w:lineRule="auto"/>
      </w:pPr>
    </w:p>
    <w:p w14:paraId="2D1840EC" w14:textId="77777777" w:rsidR="000840C9" w:rsidRDefault="000840C9">
      <w:pPr>
        <w:spacing w:after="0" w:line="240" w:lineRule="auto"/>
        <w:rPr>
          <w:rFonts w:ascii="Times New Roman" w:hAnsi="Times New Roman" w:cs="Times New Roman"/>
          <w:b/>
          <w:bCs/>
          <w:sz w:val="24"/>
          <w:szCs w:val="24"/>
          <w:lang w:val="es-MX"/>
        </w:rPr>
      </w:pPr>
      <w:bookmarkStart w:id="10" w:name="__DdeLink__203_3823511962"/>
      <w:bookmarkEnd w:id="10"/>
      <w:r>
        <w:rPr>
          <w:rFonts w:ascii="Times New Roman" w:hAnsi="Times New Roman" w:cs="Times New Roman"/>
          <w:b/>
          <w:bCs/>
          <w:sz w:val="24"/>
          <w:szCs w:val="24"/>
          <w:lang w:val="es-MX"/>
        </w:rPr>
        <w:br w:type="page"/>
      </w:r>
    </w:p>
    <w:p w14:paraId="678F14A4" w14:textId="3DDB9CB9" w:rsidR="000840C9" w:rsidRDefault="000840C9" w:rsidP="000840C9">
      <w:pPr>
        <w:spacing w:before="240" w:after="0" w:line="240" w:lineRule="auto"/>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lastRenderedPageBreak/>
        <w:t>VIII.- RESULTADOS</w:t>
      </w:r>
    </w:p>
    <w:p w14:paraId="7717CC9D" w14:textId="77777777" w:rsidR="000840C9" w:rsidRDefault="000840C9" w:rsidP="000840C9">
      <w:pPr>
        <w:spacing w:after="0" w:line="360" w:lineRule="auto"/>
        <w:jc w:val="both"/>
        <w:rPr>
          <w:rFonts w:ascii="Times New Roman" w:hAnsi="Times New Roman" w:cs="Times New Roman"/>
          <w:bCs/>
          <w:sz w:val="24"/>
          <w:szCs w:val="24"/>
          <w:lang w:val="es-MX"/>
        </w:rPr>
      </w:pPr>
    </w:p>
    <w:p w14:paraId="67119898" w14:textId="77777777" w:rsidR="000840C9" w:rsidRDefault="000840C9" w:rsidP="000840C9">
      <w:pPr>
        <w:spacing w:after="0" w:line="360" w:lineRule="auto"/>
        <w:jc w:val="both"/>
        <w:rPr>
          <w:rFonts w:ascii="Times New Roman" w:hAnsi="Times New Roman" w:cs="Times New Roman"/>
          <w:sz w:val="24"/>
          <w:szCs w:val="24"/>
        </w:rPr>
      </w:pPr>
      <w:r>
        <w:rPr>
          <w:rFonts w:ascii="Times New Roman" w:hAnsi="Times New Roman" w:cs="Times New Roman"/>
          <w:bCs/>
          <w:sz w:val="24"/>
          <w:szCs w:val="24"/>
          <w:lang w:val="es-MX"/>
        </w:rPr>
        <w:t xml:space="preserve">El presente capitulo aborda los resultados obtenidos de la revisión de 39 expedientes electrónicos (Fleming) de niños y niñas ingresadas con IVU en </w:t>
      </w:r>
      <w:r>
        <w:rPr>
          <w:rFonts w:ascii="Times New Roman" w:hAnsi="Times New Roman" w:cs="Times New Roman"/>
          <w:sz w:val="24"/>
          <w:szCs w:val="24"/>
        </w:rPr>
        <w:t>el Servicio de Pediatría del Hospital SERMESA Masaya en el período de enero a diciembre del año 2024.</w:t>
      </w:r>
    </w:p>
    <w:p w14:paraId="2F3E4090" w14:textId="77777777" w:rsidR="000840C9" w:rsidRDefault="000840C9" w:rsidP="000840C9">
      <w:pPr>
        <w:spacing w:after="0" w:line="360" w:lineRule="auto"/>
        <w:jc w:val="both"/>
        <w:rPr>
          <w:rFonts w:ascii="Times New Roman" w:hAnsi="Times New Roman" w:cs="Times New Roman"/>
          <w:sz w:val="24"/>
          <w:szCs w:val="24"/>
        </w:rPr>
      </w:pPr>
    </w:p>
    <w:p w14:paraId="1FA021CB" w14:textId="77777777" w:rsidR="000840C9" w:rsidRDefault="000840C9" w:rsidP="000840C9">
      <w:pPr>
        <w:spacing w:after="0" w:line="360" w:lineRule="auto"/>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1.- Características demográficas de los pacientes en estudio.</w:t>
      </w:r>
    </w:p>
    <w:p w14:paraId="5D3D24D6" w14:textId="363381A0" w:rsidR="000840C9" w:rsidRDefault="000840C9" w:rsidP="000840C9">
      <w:pPr>
        <w:spacing w:after="0" w:line="360" w:lineRule="auto"/>
        <w:jc w:val="both"/>
      </w:pPr>
      <w:r>
        <w:rPr>
          <w:rFonts w:ascii="Times New Roman" w:hAnsi="Times New Roman" w:cs="Times New Roman"/>
          <w:sz w:val="24"/>
          <w:szCs w:val="24"/>
          <w:lang w:val="es-MX"/>
        </w:rPr>
        <w:t>La edad predominante de los pacientes en estudio fue el grupo entre 1 a 2 años con el</w:t>
      </w:r>
      <w:r>
        <w:rPr>
          <w:rFonts w:ascii="Times New Roman" w:hAnsi="Times New Roman" w:cs="Times New Roman"/>
          <w:b/>
          <w:bCs/>
          <w:sz w:val="24"/>
          <w:szCs w:val="24"/>
          <w:lang w:val="es-MX"/>
        </w:rPr>
        <w:t xml:space="preserve"> 77% (n=30/39),</w:t>
      </w:r>
      <w:r>
        <w:rPr>
          <w:rFonts w:ascii="Times New Roman" w:hAnsi="Times New Roman" w:cs="Times New Roman"/>
          <w:sz w:val="24"/>
          <w:szCs w:val="24"/>
          <w:lang w:val="es-MX"/>
        </w:rPr>
        <w:t xml:space="preserve"> seguido del grupo de 5 años a más con </w:t>
      </w:r>
      <w:r>
        <w:rPr>
          <w:rFonts w:ascii="Times New Roman" w:hAnsi="Times New Roman" w:cs="Times New Roman"/>
          <w:b/>
          <w:bCs/>
          <w:sz w:val="24"/>
          <w:szCs w:val="24"/>
          <w:lang w:val="es-MX"/>
        </w:rPr>
        <w:t xml:space="preserve">10% (n=4/39) </w:t>
      </w:r>
      <w:r>
        <w:rPr>
          <w:rFonts w:ascii="Times New Roman" w:hAnsi="Times New Roman" w:cs="Times New Roman"/>
          <w:sz w:val="24"/>
          <w:szCs w:val="24"/>
          <w:lang w:val="es-MX"/>
        </w:rPr>
        <w:t xml:space="preserve">y el </w:t>
      </w:r>
      <w:r>
        <w:rPr>
          <w:rFonts w:ascii="Times New Roman" w:hAnsi="Times New Roman" w:cs="Times New Roman"/>
          <w:b/>
          <w:bCs/>
          <w:sz w:val="24"/>
          <w:szCs w:val="24"/>
          <w:lang w:val="es-MX"/>
        </w:rPr>
        <w:t xml:space="preserve">8% (n=4/39) </w:t>
      </w:r>
      <w:r>
        <w:rPr>
          <w:rFonts w:ascii="Times New Roman" w:hAnsi="Times New Roman" w:cs="Times New Roman"/>
          <w:sz w:val="24"/>
          <w:szCs w:val="24"/>
          <w:lang w:val="es-MX"/>
        </w:rPr>
        <w:t xml:space="preserve">pertenece al grupo entre 3 a 4 años. En cuanto al sexo se observó que predominaron las niñas con el </w:t>
      </w:r>
      <w:r>
        <w:rPr>
          <w:rFonts w:ascii="Times New Roman" w:hAnsi="Times New Roman" w:cs="Times New Roman"/>
          <w:b/>
          <w:bCs/>
          <w:sz w:val="24"/>
          <w:szCs w:val="24"/>
          <w:lang w:val="es-MX"/>
        </w:rPr>
        <w:t xml:space="preserve">56% (n=22/39) </w:t>
      </w:r>
      <w:r>
        <w:rPr>
          <w:rFonts w:ascii="Times New Roman" w:hAnsi="Times New Roman" w:cs="Times New Roman"/>
          <w:sz w:val="24"/>
          <w:szCs w:val="24"/>
          <w:lang w:val="es-MX"/>
        </w:rPr>
        <w:t xml:space="preserve">y los niños con </w:t>
      </w:r>
      <w:r>
        <w:rPr>
          <w:rFonts w:ascii="Times New Roman" w:hAnsi="Times New Roman" w:cs="Times New Roman"/>
          <w:b/>
          <w:bCs/>
          <w:sz w:val="24"/>
          <w:szCs w:val="24"/>
          <w:lang w:val="es-MX"/>
        </w:rPr>
        <w:t>44% (n=17/39)</w:t>
      </w:r>
      <w:r>
        <w:rPr>
          <w:rFonts w:ascii="Times New Roman" w:hAnsi="Times New Roman" w:cs="Times New Roman"/>
          <w:sz w:val="24"/>
          <w:szCs w:val="24"/>
          <w:lang w:val="es-MX"/>
        </w:rPr>
        <w:t xml:space="preserve">. </w:t>
      </w:r>
      <w:r>
        <w:rPr>
          <w:rFonts w:ascii="Times New Roman" w:hAnsi="Times New Roman" w:cs="Times New Roman"/>
          <w:b/>
          <w:bCs/>
          <w:sz w:val="24"/>
          <w:szCs w:val="24"/>
          <w:lang w:val="es-MX"/>
        </w:rPr>
        <w:t>Ver Tablas No 1 y 2</w:t>
      </w:r>
      <w:r w:rsidR="007A1B83">
        <w:rPr>
          <w:rFonts w:ascii="Times New Roman" w:hAnsi="Times New Roman" w:cs="Times New Roman"/>
          <w:b/>
          <w:bCs/>
          <w:sz w:val="24"/>
          <w:szCs w:val="24"/>
          <w:lang w:val="es-MX"/>
        </w:rPr>
        <w:t xml:space="preserve"> y Gráficos 1 y 2.</w:t>
      </w:r>
    </w:p>
    <w:p w14:paraId="0DBB1983" w14:textId="77777777" w:rsidR="000840C9" w:rsidRDefault="000840C9" w:rsidP="000840C9">
      <w:pPr>
        <w:spacing w:after="0"/>
      </w:pPr>
    </w:p>
    <w:tbl>
      <w:tblPr>
        <w:tblW w:w="7300" w:type="dxa"/>
        <w:tblCellMar>
          <w:left w:w="70" w:type="dxa"/>
          <w:right w:w="70" w:type="dxa"/>
        </w:tblCellMar>
        <w:tblLook w:val="04A0" w:firstRow="1" w:lastRow="0" w:firstColumn="1" w:lastColumn="0" w:noHBand="0" w:noVBand="1"/>
      </w:tblPr>
      <w:tblGrid>
        <w:gridCol w:w="3820"/>
        <w:gridCol w:w="1720"/>
        <w:gridCol w:w="1760"/>
      </w:tblGrid>
      <w:tr w:rsidR="00837BA5" w:rsidRPr="00837BA5" w14:paraId="0A85CDBC"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3251E332"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Tabla No: 1</w:t>
            </w:r>
          </w:p>
        </w:tc>
      </w:tr>
      <w:tr w:rsidR="00837BA5" w:rsidRPr="00837BA5" w14:paraId="06C9C986"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4A324D3C"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Edad de los niños en estudio</w:t>
            </w:r>
          </w:p>
        </w:tc>
      </w:tr>
      <w:tr w:rsidR="00837BA5" w:rsidRPr="00837BA5" w14:paraId="15CD683F"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0644BB2D"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Comportamiento Clínico de la IVU</w:t>
            </w:r>
          </w:p>
        </w:tc>
      </w:tr>
      <w:tr w:rsidR="00837BA5" w:rsidRPr="00837BA5" w14:paraId="16394CB8" w14:textId="77777777" w:rsidTr="00837BA5">
        <w:trPr>
          <w:trHeight w:val="300"/>
        </w:trPr>
        <w:tc>
          <w:tcPr>
            <w:tcW w:w="7300" w:type="dxa"/>
            <w:gridSpan w:val="3"/>
            <w:tcBorders>
              <w:top w:val="nil"/>
              <w:left w:val="nil"/>
              <w:bottom w:val="nil"/>
              <w:right w:val="nil"/>
            </w:tcBorders>
            <w:shd w:val="clear" w:color="auto" w:fill="auto"/>
            <w:vAlign w:val="bottom"/>
            <w:hideMark/>
          </w:tcPr>
          <w:p w14:paraId="0424E386"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Servicio de Pediatría del Hospital SERMESA Masaya</w:t>
            </w:r>
          </w:p>
        </w:tc>
      </w:tr>
      <w:tr w:rsidR="00837BA5" w:rsidRPr="00837BA5" w14:paraId="6B08897D" w14:textId="77777777" w:rsidTr="00837BA5">
        <w:trPr>
          <w:trHeight w:val="300"/>
        </w:trPr>
        <w:tc>
          <w:tcPr>
            <w:tcW w:w="7300" w:type="dxa"/>
            <w:gridSpan w:val="3"/>
            <w:tcBorders>
              <w:top w:val="nil"/>
              <w:left w:val="nil"/>
              <w:bottom w:val="single" w:sz="4" w:space="0" w:color="auto"/>
              <w:right w:val="nil"/>
            </w:tcBorders>
            <w:shd w:val="clear" w:color="auto" w:fill="auto"/>
            <w:vAlign w:val="bottom"/>
            <w:hideMark/>
          </w:tcPr>
          <w:p w14:paraId="2F40FBCC"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enero a diciembre del año 2024</w:t>
            </w:r>
          </w:p>
        </w:tc>
      </w:tr>
      <w:tr w:rsidR="00837BA5" w:rsidRPr="00837BA5" w14:paraId="7E74F8FF" w14:textId="77777777" w:rsidTr="00837BA5">
        <w:trPr>
          <w:trHeight w:val="300"/>
        </w:trPr>
        <w:tc>
          <w:tcPr>
            <w:tcW w:w="3820" w:type="dxa"/>
            <w:tcBorders>
              <w:top w:val="nil"/>
              <w:left w:val="nil"/>
              <w:bottom w:val="double" w:sz="6" w:space="0" w:color="auto"/>
              <w:right w:val="nil"/>
            </w:tcBorders>
            <w:shd w:val="clear" w:color="auto" w:fill="auto"/>
            <w:vAlign w:val="center"/>
            <w:hideMark/>
          </w:tcPr>
          <w:p w14:paraId="418F6C15"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Edad en años</w:t>
            </w:r>
          </w:p>
        </w:tc>
        <w:tc>
          <w:tcPr>
            <w:tcW w:w="1720" w:type="dxa"/>
            <w:tcBorders>
              <w:top w:val="nil"/>
              <w:left w:val="nil"/>
              <w:bottom w:val="double" w:sz="6" w:space="0" w:color="auto"/>
              <w:right w:val="nil"/>
            </w:tcBorders>
            <w:shd w:val="clear" w:color="auto" w:fill="auto"/>
            <w:noWrap/>
            <w:vAlign w:val="bottom"/>
            <w:hideMark/>
          </w:tcPr>
          <w:p w14:paraId="36323C38"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proofErr w:type="spellStart"/>
            <w:r w:rsidRPr="00837BA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403CFAF9"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w:t>
            </w:r>
          </w:p>
        </w:tc>
      </w:tr>
      <w:tr w:rsidR="00837BA5" w:rsidRPr="00837BA5" w14:paraId="77C0AC4A" w14:textId="77777777" w:rsidTr="00837BA5">
        <w:trPr>
          <w:trHeight w:val="300"/>
        </w:trPr>
        <w:tc>
          <w:tcPr>
            <w:tcW w:w="3820" w:type="dxa"/>
            <w:tcBorders>
              <w:top w:val="nil"/>
              <w:left w:val="nil"/>
              <w:bottom w:val="nil"/>
              <w:right w:val="nil"/>
            </w:tcBorders>
            <w:shd w:val="clear" w:color="auto" w:fill="auto"/>
            <w:noWrap/>
            <w:vAlign w:val="bottom"/>
            <w:hideMark/>
          </w:tcPr>
          <w:p w14:paraId="688146F8"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Menor de 1 año</w:t>
            </w:r>
          </w:p>
        </w:tc>
        <w:tc>
          <w:tcPr>
            <w:tcW w:w="1720" w:type="dxa"/>
            <w:tcBorders>
              <w:top w:val="nil"/>
              <w:left w:val="nil"/>
              <w:bottom w:val="nil"/>
              <w:right w:val="nil"/>
            </w:tcBorders>
            <w:shd w:val="clear" w:color="auto" w:fill="auto"/>
            <w:noWrap/>
            <w:vAlign w:val="bottom"/>
            <w:hideMark/>
          </w:tcPr>
          <w:p w14:paraId="428C8D82"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251D7FE8"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5</w:t>
            </w:r>
          </w:p>
        </w:tc>
      </w:tr>
      <w:tr w:rsidR="00837BA5" w:rsidRPr="00837BA5" w14:paraId="5B1B916D" w14:textId="77777777" w:rsidTr="00837BA5">
        <w:trPr>
          <w:trHeight w:val="300"/>
        </w:trPr>
        <w:tc>
          <w:tcPr>
            <w:tcW w:w="3820" w:type="dxa"/>
            <w:tcBorders>
              <w:top w:val="nil"/>
              <w:left w:val="nil"/>
              <w:bottom w:val="nil"/>
              <w:right w:val="nil"/>
            </w:tcBorders>
            <w:shd w:val="clear" w:color="auto" w:fill="auto"/>
            <w:noWrap/>
            <w:vAlign w:val="bottom"/>
            <w:hideMark/>
          </w:tcPr>
          <w:p w14:paraId="359E77E3"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1 a 2 años</w:t>
            </w:r>
          </w:p>
        </w:tc>
        <w:tc>
          <w:tcPr>
            <w:tcW w:w="1720" w:type="dxa"/>
            <w:tcBorders>
              <w:top w:val="nil"/>
              <w:left w:val="nil"/>
              <w:bottom w:val="nil"/>
              <w:right w:val="nil"/>
            </w:tcBorders>
            <w:shd w:val="clear" w:color="auto" w:fill="auto"/>
            <w:noWrap/>
            <w:vAlign w:val="bottom"/>
            <w:hideMark/>
          </w:tcPr>
          <w:p w14:paraId="1B6A139D"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30</w:t>
            </w:r>
          </w:p>
        </w:tc>
        <w:tc>
          <w:tcPr>
            <w:tcW w:w="1760" w:type="dxa"/>
            <w:tcBorders>
              <w:top w:val="nil"/>
              <w:left w:val="nil"/>
              <w:bottom w:val="nil"/>
              <w:right w:val="nil"/>
            </w:tcBorders>
            <w:shd w:val="clear" w:color="auto" w:fill="auto"/>
            <w:noWrap/>
            <w:vAlign w:val="bottom"/>
            <w:hideMark/>
          </w:tcPr>
          <w:p w14:paraId="4F7F20D6"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77</w:t>
            </w:r>
          </w:p>
        </w:tc>
      </w:tr>
      <w:tr w:rsidR="00837BA5" w:rsidRPr="00837BA5" w14:paraId="511BD520" w14:textId="77777777" w:rsidTr="00837BA5">
        <w:trPr>
          <w:trHeight w:val="300"/>
        </w:trPr>
        <w:tc>
          <w:tcPr>
            <w:tcW w:w="3820" w:type="dxa"/>
            <w:tcBorders>
              <w:top w:val="nil"/>
              <w:left w:val="nil"/>
              <w:bottom w:val="nil"/>
              <w:right w:val="nil"/>
            </w:tcBorders>
            <w:shd w:val="clear" w:color="auto" w:fill="auto"/>
            <w:noWrap/>
            <w:vAlign w:val="bottom"/>
            <w:hideMark/>
          </w:tcPr>
          <w:p w14:paraId="4BA6DAB7"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3 a 4 años</w:t>
            </w:r>
          </w:p>
        </w:tc>
        <w:tc>
          <w:tcPr>
            <w:tcW w:w="1720" w:type="dxa"/>
            <w:tcBorders>
              <w:top w:val="nil"/>
              <w:left w:val="nil"/>
              <w:bottom w:val="nil"/>
              <w:right w:val="nil"/>
            </w:tcBorders>
            <w:shd w:val="clear" w:color="auto" w:fill="auto"/>
            <w:noWrap/>
            <w:vAlign w:val="bottom"/>
            <w:hideMark/>
          </w:tcPr>
          <w:p w14:paraId="5B216955"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2BD2CD54"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8</w:t>
            </w:r>
          </w:p>
        </w:tc>
      </w:tr>
      <w:tr w:rsidR="00837BA5" w:rsidRPr="00837BA5" w14:paraId="763E495C" w14:textId="77777777" w:rsidTr="00837BA5">
        <w:trPr>
          <w:trHeight w:val="300"/>
        </w:trPr>
        <w:tc>
          <w:tcPr>
            <w:tcW w:w="3820" w:type="dxa"/>
            <w:tcBorders>
              <w:top w:val="nil"/>
              <w:left w:val="nil"/>
              <w:bottom w:val="nil"/>
              <w:right w:val="nil"/>
            </w:tcBorders>
            <w:shd w:val="clear" w:color="auto" w:fill="auto"/>
            <w:noWrap/>
            <w:vAlign w:val="bottom"/>
            <w:hideMark/>
          </w:tcPr>
          <w:p w14:paraId="33CBFCA6"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5 años y mas</w:t>
            </w:r>
          </w:p>
        </w:tc>
        <w:tc>
          <w:tcPr>
            <w:tcW w:w="1720" w:type="dxa"/>
            <w:tcBorders>
              <w:top w:val="nil"/>
              <w:left w:val="nil"/>
              <w:bottom w:val="nil"/>
              <w:right w:val="nil"/>
            </w:tcBorders>
            <w:shd w:val="clear" w:color="auto" w:fill="auto"/>
            <w:noWrap/>
            <w:vAlign w:val="bottom"/>
            <w:hideMark/>
          </w:tcPr>
          <w:p w14:paraId="33A845D8"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4</w:t>
            </w:r>
          </w:p>
        </w:tc>
        <w:tc>
          <w:tcPr>
            <w:tcW w:w="1760" w:type="dxa"/>
            <w:tcBorders>
              <w:top w:val="nil"/>
              <w:left w:val="nil"/>
              <w:bottom w:val="nil"/>
              <w:right w:val="nil"/>
            </w:tcBorders>
            <w:shd w:val="clear" w:color="auto" w:fill="auto"/>
            <w:noWrap/>
            <w:vAlign w:val="bottom"/>
            <w:hideMark/>
          </w:tcPr>
          <w:p w14:paraId="598C4BA1"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10</w:t>
            </w:r>
          </w:p>
        </w:tc>
      </w:tr>
      <w:tr w:rsidR="00837BA5" w:rsidRPr="00837BA5" w14:paraId="7125F13D" w14:textId="77777777" w:rsidTr="00837BA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E914183"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358B186E"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343505A2"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100</w:t>
            </w:r>
          </w:p>
        </w:tc>
      </w:tr>
      <w:tr w:rsidR="00837BA5" w:rsidRPr="00837BA5" w14:paraId="4367CAFD" w14:textId="77777777" w:rsidTr="00837BA5">
        <w:trPr>
          <w:trHeight w:val="300"/>
        </w:trPr>
        <w:tc>
          <w:tcPr>
            <w:tcW w:w="3820" w:type="dxa"/>
            <w:tcBorders>
              <w:top w:val="nil"/>
              <w:left w:val="nil"/>
              <w:bottom w:val="nil"/>
              <w:right w:val="nil"/>
            </w:tcBorders>
            <w:shd w:val="clear" w:color="auto" w:fill="auto"/>
            <w:noWrap/>
            <w:vAlign w:val="bottom"/>
            <w:hideMark/>
          </w:tcPr>
          <w:p w14:paraId="57A4A5BF"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r w:rsidRPr="00837BA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62778280"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1DD65AD8" w14:textId="77777777" w:rsidR="00837BA5" w:rsidRPr="00837BA5" w:rsidRDefault="00837BA5" w:rsidP="00837BA5">
            <w:pPr>
              <w:spacing w:after="0" w:line="240" w:lineRule="auto"/>
              <w:rPr>
                <w:rFonts w:ascii="Times New Roman" w:eastAsia="Times New Roman" w:hAnsi="Times New Roman" w:cs="Times New Roman"/>
                <w:kern w:val="0"/>
                <w:sz w:val="20"/>
                <w:szCs w:val="20"/>
                <w:lang w:val="es-ES" w:eastAsia="es-ES"/>
              </w:rPr>
            </w:pPr>
          </w:p>
        </w:tc>
      </w:tr>
    </w:tbl>
    <w:p w14:paraId="77AB35F5" w14:textId="77777777" w:rsidR="003A14BD" w:rsidRDefault="003A14BD" w:rsidP="000840C9">
      <w:pPr>
        <w:spacing w:after="0"/>
      </w:pPr>
    </w:p>
    <w:p w14:paraId="0C3570BA" w14:textId="77777777" w:rsidR="00837BA5" w:rsidRDefault="00837BA5" w:rsidP="000840C9">
      <w:pPr>
        <w:spacing w:after="0"/>
      </w:pPr>
    </w:p>
    <w:tbl>
      <w:tblPr>
        <w:tblW w:w="7300" w:type="dxa"/>
        <w:tblCellMar>
          <w:left w:w="70" w:type="dxa"/>
          <w:right w:w="70" w:type="dxa"/>
        </w:tblCellMar>
        <w:tblLook w:val="04A0" w:firstRow="1" w:lastRow="0" w:firstColumn="1" w:lastColumn="0" w:noHBand="0" w:noVBand="1"/>
      </w:tblPr>
      <w:tblGrid>
        <w:gridCol w:w="3820"/>
        <w:gridCol w:w="1720"/>
        <w:gridCol w:w="1760"/>
      </w:tblGrid>
      <w:tr w:rsidR="00837BA5" w:rsidRPr="00837BA5" w14:paraId="421F8FC5"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59CA54AE"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Tabla No: 2</w:t>
            </w:r>
          </w:p>
        </w:tc>
      </w:tr>
      <w:tr w:rsidR="00837BA5" w:rsidRPr="00837BA5" w14:paraId="2D738041"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4FDB5C5F"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Sexo de los niños en estudio</w:t>
            </w:r>
          </w:p>
        </w:tc>
      </w:tr>
      <w:tr w:rsidR="00837BA5" w:rsidRPr="00837BA5" w14:paraId="4034C29A"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430C0BFD"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Comportamiento Clínico de la IVU</w:t>
            </w:r>
          </w:p>
        </w:tc>
      </w:tr>
      <w:tr w:rsidR="00837BA5" w:rsidRPr="00837BA5" w14:paraId="63BC61D7" w14:textId="77777777" w:rsidTr="00837BA5">
        <w:trPr>
          <w:trHeight w:val="300"/>
        </w:trPr>
        <w:tc>
          <w:tcPr>
            <w:tcW w:w="7300" w:type="dxa"/>
            <w:gridSpan w:val="3"/>
            <w:tcBorders>
              <w:top w:val="nil"/>
              <w:left w:val="nil"/>
              <w:bottom w:val="nil"/>
              <w:right w:val="nil"/>
            </w:tcBorders>
            <w:shd w:val="clear" w:color="auto" w:fill="auto"/>
            <w:vAlign w:val="bottom"/>
            <w:hideMark/>
          </w:tcPr>
          <w:p w14:paraId="431A51AE"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Servicio de Pediatría del Hospital SERMESA Masaya</w:t>
            </w:r>
          </w:p>
        </w:tc>
      </w:tr>
      <w:tr w:rsidR="00837BA5" w:rsidRPr="00837BA5" w14:paraId="7080DEB5" w14:textId="77777777" w:rsidTr="00837BA5">
        <w:trPr>
          <w:trHeight w:val="300"/>
        </w:trPr>
        <w:tc>
          <w:tcPr>
            <w:tcW w:w="7300" w:type="dxa"/>
            <w:gridSpan w:val="3"/>
            <w:tcBorders>
              <w:top w:val="nil"/>
              <w:left w:val="nil"/>
              <w:bottom w:val="single" w:sz="4" w:space="0" w:color="auto"/>
              <w:right w:val="nil"/>
            </w:tcBorders>
            <w:shd w:val="clear" w:color="auto" w:fill="auto"/>
            <w:vAlign w:val="bottom"/>
            <w:hideMark/>
          </w:tcPr>
          <w:p w14:paraId="4D0268F2"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enero a diciembre del año 2024</w:t>
            </w:r>
          </w:p>
        </w:tc>
      </w:tr>
      <w:tr w:rsidR="00837BA5" w:rsidRPr="00837BA5" w14:paraId="17917395" w14:textId="77777777" w:rsidTr="00837BA5">
        <w:trPr>
          <w:trHeight w:val="300"/>
        </w:trPr>
        <w:tc>
          <w:tcPr>
            <w:tcW w:w="3820" w:type="dxa"/>
            <w:tcBorders>
              <w:top w:val="nil"/>
              <w:left w:val="nil"/>
              <w:bottom w:val="double" w:sz="6" w:space="0" w:color="auto"/>
              <w:right w:val="nil"/>
            </w:tcBorders>
            <w:shd w:val="clear" w:color="auto" w:fill="auto"/>
            <w:vAlign w:val="center"/>
            <w:hideMark/>
          </w:tcPr>
          <w:p w14:paraId="1AECBAF2"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Sexo</w:t>
            </w:r>
          </w:p>
        </w:tc>
        <w:tc>
          <w:tcPr>
            <w:tcW w:w="1720" w:type="dxa"/>
            <w:tcBorders>
              <w:top w:val="nil"/>
              <w:left w:val="nil"/>
              <w:bottom w:val="double" w:sz="6" w:space="0" w:color="auto"/>
              <w:right w:val="nil"/>
            </w:tcBorders>
            <w:shd w:val="clear" w:color="auto" w:fill="auto"/>
            <w:noWrap/>
            <w:vAlign w:val="bottom"/>
            <w:hideMark/>
          </w:tcPr>
          <w:p w14:paraId="06CC8CB1"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proofErr w:type="spellStart"/>
            <w:r w:rsidRPr="00837BA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703E0D4F"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w:t>
            </w:r>
          </w:p>
        </w:tc>
      </w:tr>
      <w:tr w:rsidR="00837BA5" w:rsidRPr="00837BA5" w14:paraId="413F0A03" w14:textId="77777777" w:rsidTr="00837BA5">
        <w:trPr>
          <w:trHeight w:val="300"/>
        </w:trPr>
        <w:tc>
          <w:tcPr>
            <w:tcW w:w="3820" w:type="dxa"/>
            <w:tcBorders>
              <w:top w:val="nil"/>
              <w:left w:val="nil"/>
              <w:bottom w:val="nil"/>
              <w:right w:val="nil"/>
            </w:tcBorders>
            <w:shd w:val="clear" w:color="auto" w:fill="auto"/>
            <w:noWrap/>
            <w:vAlign w:val="bottom"/>
            <w:hideMark/>
          </w:tcPr>
          <w:p w14:paraId="420BD38D"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Masculino</w:t>
            </w:r>
          </w:p>
        </w:tc>
        <w:tc>
          <w:tcPr>
            <w:tcW w:w="1720" w:type="dxa"/>
            <w:tcBorders>
              <w:top w:val="nil"/>
              <w:left w:val="nil"/>
              <w:bottom w:val="nil"/>
              <w:right w:val="nil"/>
            </w:tcBorders>
            <w:shd w:val="clear" w:color="auto" w:fill="auto"/>
            <w:noWrap/>
            <w:vAlign w:val="bottom"/>
            <w:hideMark/>
          </w:tcPr>
          <w:p w14:paraId="5ABF9972"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17</w:t>
            </w:r>
          </w:p>
        </w:tc>
        <w:tc>
          <w:tcPr>
            <w:tcW w:w="1760" w:type="dxa"/>
            <w:tcBorders>
              <w:top w:val="nil"/>
              <w:left w:val="nil"/>
              <w:bottom w:val="nil"/>
              <w:right w:val="nil"/>
            </w:tcBorders>
            <w:shd w:val="clear" w:color="auto" w:fill="auto"/>
            <w:noWrap/>
            <w:vAlign w:val="bottom"/>
            <w:hideMark/>
          </w:tcPr>
          <w:p w14:paraId="036E805C"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44</w:t>
            </w:r>
          </w:p>
        </w:tc>
      </w:tr>
      <w:tr w:rsidR="00837BA5" w:rsidRPr="00837BA5" w14:paraId="64348A0B" w14:textId="77777777" w:rsidTr="00837BA5">
        <w:trPr>
          <w:trHeight w:val="300"/>
        </w:trPr>
        <w:tc>
          <w:tcPr>
            <w:tcW w:w="3820" w:type="dxa"/>
            <w:tcBorders>
              <w:top w:val="nil"/>
              <w:left w:val="nil"/>
              <w:bottom w:val="nil"/>
              <w:right w:val="nil"/>
            </w:tcBorders>
            <w:shd w:val="clear" w:color="auto" w:fill="auto"/>
            <w:noWrap/>
            <w:vAlign w:val="bottom"/>
            <w:hideMark/>
          </w:tcPr>
          <w:p w14:paraId="2A6FDE99"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Femenino</w:t>
            </w:r>
          </w:p>
        </w:tc>
        <w:tc>
          <w:tcPr>
            <w:tcW w:w="1720" w:type="dxa"/>
            <w:tcBorders>
              <w:top w:val="nil"/>
              <w:left w:val="nil"/>
              <w:bottom w:val="nil"/>
              <w:right w:val="nil"/>
            </w:tcBorders>
            <w:shd w:val="clear" w:color="auto" w:fill="auto"/>
            <w:noWrap/>
            <w:vAlign w:val="bottom"/>
            <w:hideMark/>
          </w:tcPr>
          <w:p w14:paraId="20BB4E54"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22</w:t>
            </w:r>
          </w:p>
        </w:tc>
        <w:tc>
          <w:tcPr>
            <w:tcW w:w="1760" w:type="dxa"/>
            <w:tcBorders>
              <w:top w:val="nil"/>
              <w:left w:val="nil"/>
              <w:bottom w:val="nil"/>
              <w:right w:val="nil"/>
            </w:tcBorders>
            <w:shd w:val="clear" w:color="auto" w:fill="auto"/>
            <w:noWrap/>
            <w:vAlign w:val="bottom"/>
            <w:hideMark/>
          </w:tcPr>
          <w:p w14:paraId="4CB8AF93"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56</w:t>
            </w:r>
          </w:p>
        </w:tc>
      </w:tr>
      <w:tr w:rsidR="00837BA5" w:rsidRPr="00837BA5" w14:paraId="0980F7B2" w14:textId="77777777" w:rsidTr="00837BA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EA0BA90"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0721F5BE"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3CDD1BD1"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100</w:t>
            </w:r>
          </w:p>
        </w:tc>
      </w:tr>
      <w:tr w:rsidR="00837BA5" w:rsidRPr="00837BA5" w14:paraId="52436695" w14:textId="77777777" w:rsidTr="00837BA5">
        <w:trPr>
          <w:trHeight w:val="300"/>
        </w:trPr>
        <w:tc>
          <w:tcPr>
            <w:tcW w:w="3820" w:type="dxa"/>
            <w:tcBorders>
              <w:top w:val="nil"/>
              <w:left w:val="nil"/>
              <w:bottom w:val="nil"/>
              <w:right w:val="nil"/>
            </w:tcBorders>
            <w:shd w:val="clear" w:color="auto" w:fill="auto"/>
            <w:noWrap/>
            <w:vAlign w:val="bottom"/>
            <w:hideMark/>
          </w:tcPr>
          <w:p w14:paraId="33AB282E"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r w:rsidRPr="00837BA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48312F3F"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21EE691E" w14:textId="77777777" w:rsidR="00837BA5" w:rsidRPr="00837BA5" w:rsidRDefault="00837BA5" w:rsidP="00837BA5">
            <w:pPr>
              <w:spacing w:after="0" w:line="240" w:lineRule="auto"/>
              <w:rPr>
                <w:rFonts w:ascii="Times New Roman" w:eastAsia="Times New Roman" w:hAnsi="Times New Roman" w:cs="Times New Roman"/>
                <w:kern w:val="0"/>
                <w:sz w:val="20"/>
                <w:szCs w:val="20"/>
                <w:lang w:val="es-ES" w:eastAsia="es-ES"/>
              </w:rPr>
            </w:pPr>
          </w:p>
        </w:tc>
      </w:tr>
    </w:tbl>
    <w:p w14:paraId="175FDF40" w14:textId="77777777" w:rsidR="00837BA5" w:rsidRDefault="00837BA5" w:rsidP="000840C9">
      <w:pPr>
        <w:spacing w:after="0"/>
      </w:pPr>
    </w:p>
    <w:p w14:paraId="3FEDC844" w14:textId="77777777" w:rsidR="003A14BD" w:rsidRDefault="003A14BD" w:rsidP="000840C9">
      <w:pPr>
        <w:spacing w:after="0"/>
      </w:pPr>
    </w:p>
    <w:p w14:paraId="5DCE5C0D" w14:textId="5BD16EDD" w:rsidR="000840C9" w:rsidRDefault="000840C9" w:rsidP="000840C9">
      <w:pPr>
        <w:spacing w:after="0" w:line="360" w:lineRule="auto"/>
        <w:jc w:val="both"/>
      </w:pPr>
      <w:r>
        <w:rPr>
          <w:rFonts w:ascii="Times New Roman" w:hAnsi="Times New Roman" w:cs="Times New Roman"/>
          <w:sz w:val="24"/>
          <w:szCs w:val="24"/>
          <w:lang w:val="es-MX"/>
        </w:rPr>
        <w:lastRenderedPageBreak/>
        <w:t xml:space="preserve">Los antecedentes patológicos personales, fueron referidos en el </w:t>
      </w:r>
      <w:r>
        <w:rPr>
          <w:rFonts w:ascii="Times New Roman" w:hAnsi="Times New Roman" w:cs="Times New Roman"/>
          <w:b/>
          <w:bCs/>
          <w:sz w:val="24"/>
          <w:szCs w:val="24"/>
          <w:lang w:val="es-MX"/>
        </w:rPr>
        <w:t xml:space="preserve">21% (n=8/39) </w:t>
      </w:r>
      <w:r>
        <w:rPr>
          <w:rFonts w:ascii="Times New Roman" w:hAnsi="Times New Roman" w:cs="Times New Roman"/>
          <w:sz w:val="24"/>
          <w:szCs w:val="24"/>
          <w:lang w:val="es-MX"/>
        </w:rPr>
        <w:t xml:space="preserve">de los pacientes en estudio, siendo las cardiopatías las predominantes en el </w:t>
      </w:r>
      <w:r>
        <w:rPr>
          <w:rFonts w:ascii="Times New Roman" w:hAnsi="Times New Roman" w:cs="Times New Roman"/>
          <w:b/>
          <w:bCs/>
          <w:sz w:val="24"/>
          <w:szCs w:val="24"/>
          <w:lang w:val="es-MX"/>
        </w:rPr>
        <w:t>63% (n=5/8). Ver Tablas No 3 y 4</w:t>
      </w:r>
      <w:r w:rsidR="007A1B83">
        <w:rPr>
          <w:rFonts w:ascii="Times New Roman" w:hAnsi="Times New Roman" w:cs="Times New Roman"/>
          <w:b/>
          <w:bCs/>
          <w:sz w:val="24"/>
          <w:szCs w:val="24"/>
          <w:lang w:val="es-MX"/>
        </w:rPr>
        <w:t xml:space="preserve"> y Gráfico 3.</w:t>
      </w:r>
    </w:p>
    <w:p w14:paraId="50AE5808" w14:textId="77777777" w:rsidR="000840C9" w:rsidRDefault="000840C9" w:rsidP="000840C9">
      <w:pPr>
        <w:spacing w:after="0" w:line="360" w:lineRule="auto"/>
        <w:jc w:val="both"/>
        <w:rPr>
          <w:rFonts w:ascii="Times New Roman" w:hAnsi="Times New Roman" w:cs="Times New Roman"/>
          <w:b/>
          <w:bCs/>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837BA5" w:rsidRPr="00837BA5" w14:paraId="7F86FC35"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6CC5E8F5"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Tabla No: 3</w:t>
            </w:r>
          </w:p>
        </w:tc>
      </w:tr>
      <w:tr w:rsidR="00837BA5" w:rsidRPr="00837BA5" w14:paraId="57CA62CE"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78866B2C"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Antecedentes patológicos de los niños en estudio</w:t>
            </w:r>
          </w:p>
        </w:tc>
      </w:tr>
      <w:tr w:rsidR="00837BA5" w:rsidRPr="00837BA5" w14:paraId="6FCCEF2B"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0A3D615D"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Comportamiento Clínico de la IVU</w:t>
            </w:r>
          </w:p>
        </w:tc>
      </w:tr>
      <w:tr w:rsidR="00837BA5" w:rsidRPr="00837BA5" w14:paraId="38FB68CC" w14:textId="77777777" w:rsidTr="00837BA5">
        <w:trPr>
          <w:trHeight w:val="300"/>
        </w:trPr>
        <w:tc>
          <w:tcPr>
            <w:tcW w:w="7300" w:type="dxa"/>
            <w:gridSpan w:val="3"/>
            <w:tcBorders>
              <w:top w:val="nil"/>
              <w:left w:val="nil"/>
              <w:bottom w:val="nil"/>
              <w:right w:val="nil"/>
            </w:tcBorders>
            <w:shd w:val="clear" w:color="auto" w:fill="auto"/>
            <w:vAlign w:val="bottom"/>
            <w:hideMark/>
          </w:tcPr>
          <w:p w14:paraId="24004247"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Servicio de Pediatría del Hospital SERMESA Masaya</w:t>
            </w:r>
          </w:p>
        </w:tc>
      </w:tr>
      <w:tr w:rsidR="00837BA5" w:rsidRPr="00837BA5" w14:paraId="5C002EB7" w14:textId="77777777" w:rsidTr="00837BA5">
        <w:trPr>
          <w:trHeight w:val="300"/>
        </w:trPr>
        <w:tc>
          <w:tcPr>
            <w:tcW w:w="7300" w:type="dxa"/>
            <w:gridSpan w:val="3"/>
            <w:tcBorders>
              <w:top w:val="nil"/>
              <w:left w:val="nil"/>
              <w:bottom w:val="single" w:sz="4" w:space="0" w:color="auto"/>
              <w:right w:val="nil"/>
            </w:tcBorders>
            <w:shd w:val="clear" w:color="auto" w:fill="auto"/>
            <w:vAlign w:val="bottom"/>
            <w:hideMark/>
          </w:tcPr>
          <w:p w14:paraId="1FF02D22"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enero a diciembre del año 2024</w:t>
            </w:r>
          </w:p>
        </w:tc>
      </w:tr>
      <w:tr w:rsidR="00837BA5" w:rsidRPr="00837BA5" w14:paraId="1AB2B87C" w14:textId="77777777" w:rsidTr="00837BA5">
        <w:trPr>
          <w:trHeight w:val="300"/>
        </w:trPr>
        <w:tc>
          <w:tcPr>
            <w:tcW w:w="3820" w:type="dxa"/>
            <w:tcBorders>
              <w:top w:val="nil"/>
              <w:left w:val="nil"/>
              <w:bottom w:val="double" w:sz="6" w:space="0" w:color="auto"/>
              <w:right w:val="nil"/>
            </w:tcBorders>
            <w:shd w:val="clear" w:color="auto" w:fill="auto"/>
            <w:vAlign w:val="center"/>
            <w:hideMark/>
          </w:tcPr>
          <w:p w14:paraId="0E0D199F"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APP</w:t>
            </w:r>
          </w:p>
        </w:tc>
        <w:tc>
          <w:tcPr>
            <w:tcW w:w="1720" w:type="dxa"/>
            <w:tcBorders>
              <w:top w:val="nil"/>
              <w:left w:val="nil"/>
              <w:bottom w:val="double" w:sz="6" w:space="0" w:color="auto"/>
              <w:right w:val="nil"/>
            </w:tcBorders>
            <w:shd w:val="clear" w:color="auto" w:fill="auto"/>
            <w:noWrap/>
            <w:vAlign w:val="bottom"/>
            <w:hideMark/>
          </w:tcPr>
          <w:p w14:paraId="279C94E5"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proofErr w:type="spellStart"/>
            <w:r w:rsidRPr="00837BA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3D08EE82"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w:t>
            </w:r>
          </w:p>
        </w:tc>
      </w:tr>
      <w:tr w:rsidR="00837BA5" w:rsidRPr="00837BA5" w14:paraId="72CF4B10" w14:textId="77777777" w:rsidTr="00837BA5">
        <w:trPr>
          <w:trHeight w:val="300"/>
        </w:trPr>
        <w:tc>
          <w:tcPr>
            <w:tcW w:w="3820" w:type="dxa"/>
            <w:tcBorders>
              <w:top w:val="nil"/>
              <w:left w:val="nil"/>
              <w:bottom w:val="nil"/>
              <w:right w:val="nil"/>
            </w:tcBorders>
            <w:shd w:val="clear" w:color="auto" w:fill="auto"/>
            <w:noWrap/>
            <w:vAlign w:val="bottom"/>
            <w:hideMark/>
          </w:tcPr>
          <w:p w14:paraId="555C3CEB"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4E99F556"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8</w:t>
            </w:r>
          </w:p>
        </w:tc>
        <w:tc>
          <w:tcPr>
            <w:tcW w:w="1760" w:type="dxa"/>
            <w:tcBorders>
              <w:top w:val="nil"/>
              <w:left w:val="nil"/>
              <w:bottom w:val="nil"/>
              <w:right w:val="nil"/>
            </w:tcBorders>
            <w:shd w:val="clear" w:color="auto" w:fill="auto"/>
            <w:noWrap/>
            <w:vAlign w:val="bottom"/>
            <w:hideMark/>
          </w:tcPr>
          <w:p w14:paraId="0365C8A6"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21</w:t>
            </w:r>
          </w:p>
        </w:tc>
      </w:tr>
      <w:tr w:rsidR="00837BA5" w:rsidRPr="00837BA5" w14:paraId="7E4A0808" w14:textId="77777777" w:rsidTr="00837BA5">
        <w:trPr>
          <w:trHeight w:val="300"/>
        </w:trPr>
        <w:tc>
          <w:tcPr>
            <w:tcW w:w="3820" w:type="dxa"/>
            <w:tcBorders>
              <w:top w:val="nil"/>
              <w:left w:val="nil"/>
              <w:bottom w:val="nil"/>
              <w:right w:val="nil"/>
            </w:tcBorders>
            <w:shd w:val="clear" w:color="auto" w:fill="auto"/>
            <w:noWrap/>
            <w:vAlign w:val="bottom"/>
            <w:hideMark/>
          </w:tcPr>
          <w:p w14:paraId="157F9EF3"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5C0186C0"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31</w:t>
            </w:r>
          </w:p>
        </w:tc>
        <w:tc>
          <w:tcPr>
            <w:tcW w:w="1760" w:type="dxa"/>
            <w:tcBorders>
              <w:top w:val="nil"/>
              <w:left w:val="nil"/>
              <w:bottom w:val="nil"/>
              <w:right w:val="nil"/>
            </w:tcBorders>
            <w:shd w:val="clear" w:color="auto" w:fill="auto"/>
            <w:noWrap/>
            <w:vAlign w:val="bottom"/>
            <w:hideMark/>
          </w:tcPr>
          <w:p w14:paraId="419B4F9D"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79</w:t>
            </w:r>
          </w:p>
        </w:tc>
      </w:tr>
      <w:tr w:rsidR="00837BA5" w:rsidRPr="00837BA5" w14:paraId="5D8B9C24" w14:textId="77777777" w:rsidTr="00837BA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79231E7A"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53552D06"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05AD1F04"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100</w:t>
            </w:r>
          </w:p>
        </w:tc>
      </w:tr>
      <w:tr w:rsidR="00837BA5" w:rsidRPr="00837BA5" w14:paraId="2356B327" w14:textId="77777777" w:rsidTr="00837BA5">
        <w:trPr>
          <w:trHeight w:val="300"/>
        </w:trPr>
        <w:tc>
          <w:tcPr>
            <w:tcW w:w="3820" w:type="dxa"/>
            <w:tcBorders>
              <w:top w:val="nil"/>
              <w:left w:val="nil"/>
              <w:bottom w:val="nil"/>
              <w:right w:val="nil"/>
            </w:tcBorders>
            <w:shd w:val="clear" w:color="auto" w:fill="auto"/>
            <w:noWrap/>
            <w:vAlign w:val="bottom"/>
            <w:hideMark/>
          </w:tcPr>
          <w:p w14:paraId="4FF1FA0D"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r w:rsidRPr="00837BA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1112B0EC"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151A0C4D" w14:textId="77777777" w:rsidR="00837BA5" w:rsidRPr="00837BA5" w:rsidRDefault="00837BA5" w:rsidP="00837BA5">
            <w:pPr>
              <w:spacing w:after="0" w:line="240" w:lineRule="auto"/>
              <w:rPr>
                <w:rFonts w:ascii="Times New Roman" w:eastAsia="Times New Roman" w:hAnsi="Times New Roman" w:cs="Times New Roman"/>
                <w:kern w:val="0"/>
                <w:sz w:val="20"/>
                <w:szCs w:val="20"/>
                <w:lang w:val="es-ES" w:eastAsia="es-ES"/>
              </w:rPr>
            </w:pPr>
          </w:p>
        </w:tc>
      </w:tr>
    </w:tbl>
    <w:p w14:paraId="0CB73BD9" w14:textId="77777777" w:rsidR="00837BA5" w:rsidRDefault="00837BA5" w:rsidP="000840C9">
      <w:pPr>
        <w:spacing w:after="0" w:line="360" w:lineRule="auto"/>
        <w:jc w:val="both"/>
        <w:rPr>
          <w:rFonts w:ascii="Times New Roman" w:hAnsi="Times New Roman" w:cs="Times New Roman"/>
          <w:b/>
          <w:bCs/>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837BA5" w:rsidRPr="00837BA5" w14:paraId="0507E3AE"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28C0BC63"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Tabla No: 4</w:t>
            </w:r>
          </w:p>
        </w:tc>
      </w:tr>
      <w:tr w:rsidR="00837BA5" w:rsidRPr="00837BA5" w14:paraId="5E2126D2"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1AB64927"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Antecedentes patológicos de los niños en estudio</w:t>
            </w:r>
          </w:p>
        </w:tc>
      </w:tr>
      <w:tr w:rsidR="00837BA5" w:rsidRPr="00837BA5" w14:paraId="4C99DF0F" w14:textId="77777777" w:rsidTr="00837BA5">
        <w:trPr>
          <w:trHeight w:val="315"/>
        </w:trPr>
        <w:tc>
          <w:tcPr>
            <w:tcW w:w="7300" w:type="dxa"/>
            <w:gridSpan w:val="3"/>
            <w:tcBorders>
              <w:top w:val="nil"/>
              <w:left w:val="nil"/>
              <w:bottom w:val="nil"/>
              <w:right w:val="nil"/>
            </w:tcBorders>
            <w:shd w:val="clear" w:color="auto" w:fill="auto"/>
            <w:noWrap/>
            <w:vAlign w:val="bottom"/>
            <w:hideMark/>
          </w:tcPr>
          <w:p w14:paraId="38DB3555"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Comportamiento Clínico de la IVU</w:t>
            </w:r>
          </w:p>
        </w:tc>
      </w:tr>
      <w:tr w:rsidR="00837BA5" w:rsidRPr="00837BA5" w14:paraId="501E4DA0" w14:textId="77777777" w:rsidTr="00837BA5">
        <w:trPr>
          <w:trHeight w:val="300"/>
        </w:trPr>
        <w:tc>
          <w:tcPr>
            <w:tcW w:w="7300" w:type="dxa"/>
            <w:gridSpan w:val="3"/>
            <w:tcBorders>
              <w:top w:val="nil"/>
              <w:left w:val="nil"/>
              <w:bottom w:val="nil"/>
              <w:right w:val="nil"/>
            </w:tcBorders>
            <w:shd w:val="clear" w:color="auto" w:fill="auto"/>
            <w:vAlign w:val="bottom"/>
            <w:hideMark/>
          </w:tcPr>
          <w:p w14:paraId="460F32D7"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Servicio de Pediatría del Hospital SERMESA Masaya</w:t>
            </w:r>
          </w:p>
        </w:tc>
      </w:tr>
      <w:tr w:rsidR="00837BA5" w:rsidRPr="00837BA5" w14:paraId="2C4AE614" w14:textId="77777777" w:rsidTr="00837BA5">
        <w:trPr>
          <w:trHeight w:val="300"/>
        </w:trPr>
        <w:tc>
          <w:tcPr>
            <w:tcW w:w="7300" w:type="dxa"/>
            <w:gridSpan w:val="3"/>
            <w:tcBorders>
              <w:top w:val="nil"/>
              <w:left w:val="nil"/>
              <w:bottom w:val="single" w:sz="4" w:space="0" w:color="auto"/>
              <w:right w:val="nil"/>
            </w:tcBorders>
            <w:shd w:val="clear" w:color="auto" w:fill="auto"/>
            <w:vAlign w:val="bottom"/>
            <w:hideMark/>
          </w:tcPr>
          <w:p w14:paraId="3594E611" w14:textId="77777777" w:rsidR="00837BA5" w:rsidRPr="00837BA5" w:rsidRDefault="00837BA5" w:rsidP="00837BA5">
            <w:pPr>
              <w:spacing w:after="0" w:line="240" w:lineRule="auto"/>
              <w:jc w:val="center"/>
              <w:rPr>
                <w:rFonts w:ascii="Times New Roman" w:eastAsia="Times New Roman" w:hAnsi="Times New Roman" w:cs="Times New Roman"/>
                <w:b/>
                <w:bCs/>
                <w:i/>
                <w:iCs/>
                <w:kern w:val="0"/>
                <w:sz w:val="24"/>
                <w:szCs w:val="24"/>
                <w:lang w:val="es-ES" w:eastAsia="es-ES"/>
              </w:rPr>
            </w:pPr>
            <w:r w:rsidRPr="00837BA5">
              <w:rPr>
                <w:rFonts w:ascii="Times New Roman" w:eastAsia="Times New Roman" w:hAnsi="Times New Roman" w:cs="Times New Roman"/>
                <w:b/>
                <w:bCs/>
                <w:i/>
                <w:iCs/>
                <w:kern w:val="0"/>
                <w:sz w:val="24"/>
                <w:szCs w:val="24"/>
                <w:lang w:val="es-ES" w:eastAsia="es-ES"/>
              </w:rPr>
              <w:t>enero a diciembre del año 2024</w:t>
            </w:r>
          </w:p>
        </w:tc>
      </w:tr>
      <w:tr w:rsidR="00837BA5" w:rsidRPr="00837BA5" w14:paraId="0356A77C" w14:textId="77777777" w:rsidTr="00837BA5">
        <w:trPr>
          <w:trHeight w:val="300"/>
        </w:trPr>
        <w:tc>
          <w:tcPr>
            <w:tcW w:w="3820" w:type="dxa"/>
            <w:tcBorders>
              <w:top w:val="nil"/>
              <w:left w:val="nil"/>
              <w:bottom w:val="double" w:sz="6" w:space="0" w:color="auto"/>
              <w:right w:val="nil"/>
            </w:tcBorders>
            <w:shd w:val="clear" w:color="auto" w:fill="auto"/>
            <w:vAlign w:val="center"/>
            <w:hideMark/>
          </w:tcPr>
          <w:p w14:paraId="5069672E"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APP</w:t>
            </w:r>
          </w:p>
        </w:tc>
        <w:tc>
          <w:tcPr>
            <w:tcW w:w="1720" w:type="dxa"/>
            <w:tcBorders>
              <w:top w:val="nil"/>
              <w:left w:val="nil"/>
              <w:bottom w:val="double" w:sz="6" w:space="0" w:color="auto"/>
              <w:right w:val="nil"/>
            </w:tcBorders>
            <w:shd w:val="clear" w:color="auto" w:fill="auto"/>
            <w:noWrap/>
            <w:vAlign w:val="bottom"/>
            <w:hideMark/>
          </w:tcPr>
          <w:p w14:paraId="76A82859"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proofErr w:type="spellStart"/>
            <w:r w:rsidRPr="00837BA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2C20D9F7"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w:t>
            </w:r>
          </w:p>
        </w:tc>
      </w:tr>
      <w:tr w:rsidR="00837BA5" w:rsidRPr="00837BA5" w14:paraId="32385348" w14:textId="77777777" w:rsidTr="00837BA5">
        <w:trPr>
          <w:trHeight w:val="300"/>
        </w:trPr>
        <w:tc>
          <w:tcPr>
            <w:tcW w:w="3820" w:type="dxa"/>
            <w:tcBorders>
              <w:top w:val="nil"/>
              <w:left w:val="nil"/>
              <w:bottom w:val="nil"/>
              <w:right w:val="nil"/>
            </w:tcBorders>
            <w:shd w:val="clear" w:color="auto" w:fill="auto"/>
            <w:noWrap/>
            <w:vAlign w:val="bottom"/>
            <w:hideMark/>
          </w:tcPr>
          <w:p w14:paraId="2E63EFDA"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Cardiopatías</w:t>
            </w:r>
          </w:p>
        </w:tc>
        <w:tc>
          <w:tcPr>
            <w:tcW w:w="1720" w:type="dxa"/>
            <w:tcBorders>
              <w:top w:val="nil"/>
              <w:left w:val="nil"/>
              <w:bottom w:val="nil"/>
              <w:right w:val="nil"/>
            </w:tcBorders>
            <w:shd w:val="clear" w:color="auto" w:fill="auto"/>
            <w:noWrap/>
            <w:vAlign w:val="bottom"/>
            <w:hideMark/>
          </w:tcPr>
          <w:p w14:paraId="4AF553B0"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40986A71"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63</w:t>
            </w:r>
          </w:p>
        </w:tc>
      </w:tr>
      <w:tr w:rsidR="00837BA5" w:rsidRPr="00837BA5" w14:paraId="5B49682A" w14:textId="77777777" w:rsidTr="00837BA5">
        <w:trPr>
          <w:trHeight w:val="300"/>
        </w:trPr>
        <w:tc>
          <w:tcPr>
            <w:tcW w:w="3820" w:type="dxa"/>
            <w:tcBorders>
              <w:top w:val="nil"/>
              <w:left w:val="nil"/>
              <w:bottom w:val="nil"/>
              <w:right w:val="nil"/>
            </w:tcBorders>
            <w:shd w:val="clear" w:color="auto" w:fill="auto"/>
            <w:noWrap/>
            <w:vAlign w:val="bottom"/>
            <w:hideMark/>
          </w:tcPr>
          <w:p w14:paraId="35DFD004"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Crisis Convulsiva</w:t>
            </w:r>
          </w:p>
        </w:tc>
        <w:tc>
          <w:tcPr>
            <w:tcW w:w="1720" w:type="dxa"/>
            <w:tcBorders>
              <w:top w:val="nil"/>
              <w:left w:val="nil"/>
              <w:bottom w:val="nil"/>
              <w:right w:val="nil"/>
            </w:tcBorders>
            <w:shd w:val="clear" w:color="auto" w:fill="auto"/>
            <w:noWrap/>
            <w:vAlign w:val="bottom"/>
            <w:hideMark/>
          </w:tcPr>
          <w:p w14:paraId="663C01A4"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2717E8C4"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13</w:t>
            </w:r>
          </w:p>
        </w:tc>
      </w:tr>
      <w:tr w:rsidR="00837BA5" w:rsidRPr="00837BA5" w14:paraId="508AC72C" w14:textId="77777777" w:rsidTr="00837BA5">
        <w:trPr>
          <w:trHeight w:val="300"/>
        </w:trPr>
        <w:tc>
          <w:tcPr>
            <w:tcW w:w="3820" w:type="dxa"/>
            <w:tcBorders>
              <w:top w:val="nil"/>
              <w:left w:val="nil"/>
              <w:bottom w:val="nil"/>
              <w:right w:val="nil"/>
            </w:tcBorders>
            <w:shd w:val="clear" w:color="auto" w:fill="auto"/>
            <w:noWrap/>
            <w:vAlign w:val="bottom"/>
            <w:hideMark/>
          </w:tcPr>
          <w:p w14:paraId="2A2DFF9B" w14:textId="77777777" w:rsidR="00837BA5" w:rsidRPr="00837BA5" w:rsidRDefault="00837BA5" w:rsidP="00837BA5">
            <w:pPr>
              <w:spacing w:after="0" w:line="240" w:lineRule="auto"/>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Otras</w:t>
            </w:r>
          </w:p>
        </w:tc>
        <w:tc>
          <w:tcPr>
            <w:tcW w:w="1720" w:type="dxa"/>
            <w:tcBorders>
              <w:top w:val="nil"/>
              <w:left w:val="nil"/>
              <w:bottom w:val="nil"/>
              <w:right w:val="nil"/>
            </w:tcBorders>
            <w:shd w:val="clear" w:color="auto" w:fill="auto"/>
            <w:noWrap/>
            <w:vAlign w:val="bottom"/>
            <w:hideMark/>
          </w:tcPr>
          <w:p w14:paraId="41B3A9D0"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24865580" w14:textId="77777777" w:rsidR="00837BA5" w:rsidRPr="00837BA5" w:rsidRDefault="00837BA5" w:rsidP="00837BA5">
            <w:pPr>
              <w:spacing w:after="0" w:line="240" w:lineRule="auto"/>
              <w:jc w:val="center"/>
              <w:rPr>
                <w:rFonts w:ascii="Times New Roman" w:eastAsia="Times New Roman" w:hAnsi="Times New Roman" w:cs="Times New Roman"/>
                <w:kern w:val="0"/>
                <w:lang w:val="es-ES" w:eastAsia="es-ES"/>
              </w:rPr>
            </w:pPr>
            <w:r w:rsidRPr="00837BA5">
              <w:rPr>
                <w:rFonts w:ascii="Times New Roman" w:eastAsia="Times New Roman" w:hAnsi="Times New Roman" w:cs="Times New Roman"/>
                <w:kern w:val="0"/>
                <w:lang w:val="es-ES" w:eastAsia="es-ES"/>
              </w:rPr>
              <w:t>25</w:t>
            </w:r>
          </w:p>
        </w:tc>
      </w:tr>
      <w:tr w:rsidR="00837BA5" w:rsidRPr="00837BA5" w14:paraId="75820F68" w14:textId="77777777" w:rsidTr="00837BA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7707BB3F"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7EA75F09"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8</w:t>
            </w:r>
          </w:p>
        </w:tc>
        <w:tc>
          <w:tcPr>
            <w:tcW w:w="1760" w:type="dxa"/>
            <w:tcBorders>
              <w:top w:val="single" w:sz="4" w:space="0" w:color="auto"/>
              <w:left w:val="nil"/>
              <w:bottom w:val="double" w:sz="6" w:space="0" w:color="auto"/>
              <w:right w:val="nil"/>
            </w:tcBorders>
            <w:shd w:val="clear" w:color="auto" w:fill="auto"/>
            <w:vAlign w:val="center"/>
            <w:hideMark/>
          </w:tcPr>
          <w:p w14:paraId="75F5E5E9" w14:textId="77777777" w:rsidR="00837BA5" w:rsidRPr="00837BA5" w:rsidRDefault="00837BA5" w:rsidP="00837BA5">
            <w:pPr>
              <w:spacing w:after="0" w:line="240" w:lineRule="auto"/>
              <w:jc w:val="center"/>
              <w:rPr>
                <w:rFonts w:ascii="Times New Roman" w:eastAsia="Times New Roman" w:hAnsi="Times New Roman" w:cs="Times New Roman"/>
                <w:b/>
                <w:bCs/>
                <w:i/>
                <w:iCs/>
                <w:kern w:val="0"/>
                <w:lang w:val="es-ES" w:eastAsia="es-ES"/>
              </w:rPr>
            </w:pPr>
            <w:r w:rsidRPr="00837BA5">
              <w:rPr>
                <w:rFonts w:ascii="Times New Roman" w:eastAsia="Times New Roman" w:hAnsi="Times New Roman" w:cs="Times New Roman"/>
                <w:b/>
                <w:bCs/>
                <w:i/>
                <w:iCs/>
                <w:kern w:val="0"/>
                <w:lang w:val="es-ES" w:eastAsia="es-ES"/>
              </w:rPr>
              <w:t>100</w:t>
            </w:r>
          </w:p>
        </w:tc>
      </w:tr>
      <w:tr w:rsidR="00837BA5" w:rsidRPr="00837BA5" w14:paraId="4DA86CB3" w14:textId="77777777" w:rsidTr="00837BA5">
        <w:trPr>
          <w:trHeight w:val="300"/>
        </w:trPr>
        <w:tc>
          <w:tcPr>
            <w:tcW w:w="3820" w:type="dxa"/>
            <w:tcBorders>
              <w:top w:val="nil"/>
              <w:left w:val="nil"/>
              <w:bottom w:val="nil"/>
              <w:right w:val="nil"/>
            </w:tcBorders>
            <w:shd w:val="clear" w:color="auto" w:fill="auto"/>
            <w:noWrap/>
            <w:vAlign w:val="bottom"/>
            <w:hideMark/>
          </w:tcPr>
          <w:p w14:paraId="1995FB0D"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r w:rsidRPr="00837BA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29CCD55A" w14:textId="77777777" w:rsidR="00837BA5" w:rsidRPr="00837BA5" w:rsidRDefault="00837BA5" w:rsidP="00837BA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322196F1" w14:textId="77777777" w:rsidR="00837BA5" w:rsidRPr="00837BA5" w:rsidRDefault="00837BA5" w:rsidP="00837BA5">
            <w:pPr>
              <w:spacing w:after="0" w:line="240" w:lineRule="auto"/>
              <w:rPr>
                <w:rFonts w:ascii="Times New Roman" w:eastAsia="Times New Roman" w:hAnsi="Times New Roman" w:cs="Times New Roman"/>
                <w:kern w:val="0"/>
                <w:sz w:val="20"/>
                <w:szCs w:val="20"/>
                <w:lang w:val="es-ES" w:eastAsia="es-ES"/>
              </w:rPr>
            </w:pPr>
          </w:p>
        </w:tc>
      </w:tr>
    </w:tbl>
    <w:p w14:paraId="3D7B8FF4" w14:textId="77777777" w:rsidR="00837BA5" w:rsidRDefault="00837BA5" w:rsidP="000840C9">
      <w:pPr>
        <w:spacing w:after="0" w:line="360" w:lineRule="auto"/>
        <w:jc w:val="both"/>
        <w:rPr>
          <w:rFonts w:ascii="Times New Roman" w:hAnsi="Times New Roman" w:cs="Times New Roman"/>
          <w:b/>
          <w:bCs/>
          <w:sz w:val="24"/>
          <w:szCs w:val="24"/>
          <w:lang w:val="es-MX"/>
        </w:rPr>
      </w:pPr>
    </w:p>
    <w:p w14:paraId="449D520E" w14:textId="77777777" w:rsidR="00ED0855" w:rsidRDefault="00ED0855">
      <w:pPr>
        <w:spacing w:after="0" w:line="240" w:lineRule="auto"/>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4B7407AB" w14:textId="7031BC0C" w:rsidR="000840C9" w:rsidRDefault="000840C9" w:rsidP="000840C9">
      <w:pPr>
        <w:spacing w:after="0" w:line="360" w:lineRule="auto"/>
        <w:jc w:val="both"/>
      </w:pPr>
      <w:r>
        <w:rPr>
          <w:rFonts w:ascii="Times New Roman" w:hAnsi="Times New Roman" w:cs="Times New Roman"/>
          <w:sz w:val="24"/>
          <w:szCs w:val="24"/>
          <w:lang w:val="es-MX"/>
        </w:rPr>
        <w:lastRenderedPageBreak/>
        <w:t xml:space="preserve">En cuanto al estado nutricional, el </w:t>
      </w:r>
      <w:r>
        <w:rPr>
          <w:rFonts w:ascii="Times New Roman" w:hAnsi="Times New Roman" w:cs="Times New Roman"/>
          <w:b/>
          <w:bCs/>
          <w:sz w:val="24"/>
          <w:szCs w:val="24"/>
          <w:lang w:val="es-MX"/>
        </w:rPr>
        <w:t xml:space="preserve">64% (n=25/39) </w:t>
      </w:r>
      <w:r>
        <w:rPr>
          <w:rFonts w:ascii="Times New Roman" w:hAnsi="Times New Roman" w:cs="Times New Roman"/>
          <w:sz w:val="24"/>
          <w:szCs w:val="24"/>
          <w:lang w:val="es-MX"/>
        </w:rPr>
        <w:t xml:space="preserve">de los pacientes en estudio fueron clasificados como eutróficos, el </w:t>
      </w:r>
      <w:r>
        <w:rPr>
          <w:rFonts w:ascii="Times New Roman" w:hAnsi="Times New Roman" w:cs="Times New Roman"/>
          <w:b/>
          <w:bCs/>
          <w:sz w:val="24"/>
          <w:szCs w:val="24"/>
          <w:lang w:val="es-MX"/>
        </w:rPr>
        <w:t xml:space="preserve">31% (n=12/39) </w:t>
      </w:r>
      <w:r>
        <w:rPr>
          <w:rFonts w:ascii="Times New Roman" w:hAnsi="Times New Roman" w:cs="Times New Roman"/>
          <w:sz w:val="24"/>
          <w:szCs w:val="24"/>
          <w:lang w:val="es-MX"/>
        </w:rPr>
        <w:t>con bajo peso</w:t>
      </w:r>
      <w:r>
        <w:rPr>
          <w:rFonts w:ascii="Times New Roman" w:hAnsi="Times New Roman" w:cs="Times New Roman"/>
          <w:b/>
          <w:bCs/>
          <w:sz w:val="24"/>
          <w:szCs w:val="24"/>
          <w:lang w:val="es-MX"/>
        </w:rPr>
        <w:t>,</w:t>
      </w:r>
      <w:r>
        <w:rPr>
          <w:rFonts w:ascii="Times New Roman" w:hAnsi="Times New Roman" w:cs="Times New Roman"/>
          <w:sz w:val="24"/>
          <w:szCs w:val="24"/>
          <w:lang w:val="es-MX"/>
        </w:rPr>
        <w:t xml:space="preserve"> el sobre peso y la obesidad con el </w:t>
      </w:r>
      <w:r>
        <w:rPr>
          <w:rFonts w:ascii="Times New Roman" w:hAnsi="Times New Roman" w:cs="Times New Roman"/>
          <w:b/>
          <w:bCs/>
          <w:sz w:val="24"/>
          <w:szCs w:val="24"/>
          <w:lang w:val="es-MX"/>
        </w:rPr>
        <w:t>3% (n=1/39). Ver Tabla No 5</w:t>
      </w:r>
      <w:r w:rsidR="007A1B83">
        <w:rPr>
          <w:rFonts w:ascii="Times New Roman" w:hAnsi="Times New Roman" w:cs="Times New Roman"/>
          <w:b/>
          <w:bCs/>
          <w:sz w:val="24"/>
          <w:szCs w:val="24"/>
          <w:lang w:val="es-MX"/>
        </w:rPr>
        <w:t xml:space="preserve"> y Gráfico 4.</w:t>
      </w:r>
    </w:p>
    <w:tbl>
      <w:tblPr>
        <w:tblW w:w="7300" w:type="dxa"/>
        <w:tblCellMar>
          <w:left w:w="70" w:type="dxa"/>
          <w:right w:w="70" w:type="dxa"/>
        </w:tblCellMar>
        <w:tblLook w:val="04A0" w:firstRow="1" w:lastRow="0" w:firstColumn="1" w:lastColumn="0" w:noHBand="0" w:noVBand="1"/>
      </w:tblPr>
      <w:tblGrid>
        <w:gridCol w:w="3820"/>
        <w:gridCol w:w="1720"/>
        <w:gridCol w:w="1760"/>
      </w:tblGrid>
      <w:tr w:rsidR="00ED0855" w:rsidRPr="00ED0855" w14:paraId="193BC423"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477CC91A"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Tabla No: 5</w:t>
            </w:r>
          </w:p>
        </w:tc>
      </w:tr>
      <w:tr w:rsidR="00ED0855" w:rsidRPr="00ED0855" w14:paraId="4895BB69"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24E03674"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Estado Nutricional de los niños en estudio</w:t>
            </w:r>
          </w:p>
        </w:tc>
      </w:tr>
      <w:tr w:rsidR="00ED0855" w:rsidRPr="00ED0855" w14:paraId="3E773E8F"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3343789F"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Comportamiento Clínico de la IVU</w:t>
            </w:r>
          </w:p>
        </w:tc>
      </w:tr>
      <w:tr w:rsidR="00ED0855" w:rsidRPr="00ED0855" w14:paraId="61E80310" w14:textId="77777777" w:rsidTr="00ED0855">
        <w:trPr>
          <w:trHeight w:val="300"/>
        </w:trPr>
        <w:tc>
          <w:tcPr>
            <w:tcW w:w="7300" w:type="dxa"/>
            <w:gridSpan w:val="3"/>
            <w:tcBorders>
              <w:top w:val="nil"/>
              <w:left w:val="nil"/>
              <w:bottom w:val="nil"/>
              <w:right w:val="nil"/>
            </w:tcBorders>
            <w:shd w:val="clear" w:color="auto" w:fill="auto"/>
            <w:vAlign w:val="bottom"/>
            <w:hideMark/>
          </w:tcPr>
          <w:p w14:paraId="7FA7C2C5"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Servicio de Pediatría del Hospital SERMESA Masaya</w:t>
            </w:r>
          </w:p>
        </w:tc>
      </w:tr>
      <w:tr w:rsidR="00ED0855" w:rsidRPr="00ED0855" w14:paraId="1DE8E29D" w14:textId="77777777" w:rsidTr="00ED0855">
        <w:trPr>
          <w:trHeight w:val="300"/>
        </w:trPr>
        <w:tc>
          <w:tcPr>
            <w:tcW w:w="7300" w:type="dxa"/>
            <w:gridSpan w:val="3"/>
            <w:tcBorders>
              <w:top w:val="nil"/>
              <w:left w:val="nil"/>
              <w:bottom w:val="single" w:sz="4" w:space="0" w:color="auto"/>
              <w:right w:val="nil"/>
            </w:tcBorders>
            <w:shd w:val="clear" w:color="auto" w:fill="auto"/>
            <w:vAlign w:val="bottom"/>
            <w:hideMark/>
          </w:tcPr>
          <w:p w14:paraId="1CCA74A0"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enero a diciembre del año 2024</w:t>
            </w:r>
          </w:p>
        </w:tc>
      </w:tr>
      <w:tr w:rsidR="00ED0855" w:rsidRPr="00ED0855" w14:paraId="089B5C31" w14:textId="77777777" w:rsidTr="00ED0855">
        <w:trPr>
          <w:trHeight w:val="300"/>
        </w:trPr>
        <w:tc>
          <w:tcPr>
            <w:tcW w:w="3820" w:type="dxa"/>
            <w:tcBorders>
              <w:top w:val="nil"/>
              <w:left w:val="nil"/>
              <w:bottom w:val="double" w:sz="6" w:space="0" w:color="auto"/>
              <w:right w:val="nil"/>
            </w:tcBorders>
            <w:shd w:val="clear" w:color="auto" w:fill="auto"/>
            <w:vAlign w:val="center"/>
            <w:hideMark/>
          </w:tcPr>
          <w:p w14:paraId="0A4A5544"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Estado Nutricional</w:t>
            </w:r>
          </w:p>
        </w:tc>
        <w:tc>
          <w:tcPr>
            <w:tcW w:w="1720" w:type="dxa"/>
            <w:tcBorders>
              <w:top w:val="nil"/>
              <w:left w:val="nil"/>
              <w:bottom w:val="double" w:sz="6" w:space="0" w:color="auto"/>
              <w:right w:val="nil"/>
            </w:tcBorders>
            <w:shd w:val="clear" w:color="auto" w:fill="auto"/>
            <w:noWrap/>
            <w:vAlign w:val="bottom"/>
            <w:hideMark/>
          </w:tcPr>
          <w:p w14:paraId="60B5B5F7"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proofErr w:type="spellStart"/>
            <w:r w:rsidRPr="00ED085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3612C1A3"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w:t>
            </w:r>
          </w:p>
        </w:tc>
      </w:tr>
      <w:tr w:rsidR="00ED0855" w:rsidRPr="00ED0855" w14:paraId="4D3A4A63" w14:textId="77777777" w:rsidTr="00ED0855">
        <w:trPr>
          <w:trHeight w:val="300"/>
        </w:trPr>
        <w:tc>
          <w:tcPr>
            <w:tcW w:w="3820" w:type="dxa"/>
            <w:tcBorders>
              <w:top w:val="nil"/>
              <w:left w:val="nil"/>
              <w:bottom w:val="nil"/>
              <w:right w:val="nil"/>
            </w:tcBorders>
            <w:shd w:val="clear" w:color="auto" w:fill="auto"/>
            <w:noWrap/>
            <w:vAlign w:val="bottom"/>
            <w:hideMark/>
          </w:tcPr>
          <w:p w14:paraId="4B2C6C56"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Bajo peso</w:t>
            </w:r>
          </w:p>
        </w:tc>
        <w:tc>
          <w:tcPr>
            <w:tcW w:w="1720" w:type="dxa"/>
            <w:tcBorders>
              <w:top w:val="nil"/>
              <w:left w:val="nil"/>
              <w:bottom w:val="nil"/>
              <w:right w:val="nil"/>
            </w:tcBorders>
            <w:shd w:val="clear" w:color="auto" w:fill="auto"/>
            <w:noWrap/>
            <w:vAlign w:val="bottom"/>
            <w:hideMark/>
          </w:tcPr>
          <w:p w14:paraId="0245035A"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12</w:t>
            </w:r>
          </w:p>
        </w:tc>
        <w:tc>
          <w:tcPr>
            <w:tcW w:w="1760" w:type="dxa"/>
            <w:tcBorders>
              <w:top w:val="nil"/>
              <w:left w:val="nil"/>
              <w:bottom w:val="nil"/>
              <w:right w:val="nil"/>
            </w:tcBorders>
            <w:shd w:val="clear" w:color="auto" w:fill="auto"/>
            <w:noWrap/>
            <w:vAlign w:val="bottom"/>
            <w:hideMark/>
          </w:tcPr>
          <w:p w14:paraId="2C9E3A96"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31</w:t>
            </w:r>
          </w:p>
        </w:tc>
      </w:tr>
      <w:tr w:rsidR="00ED0855" w:rsidRPr="00ED0855" w14:paraId="65786EDB" w14:textId="77777777" w:rsidTr="00ED0855">
        <w:trPr>
          <w:trHeight w:val="300"/>
        </w:trPr>
        <w:tc>
          <w:tcPr>
            <w:tcW w:w="3820" w:type="dxa"/>
            <w:tcBorders>
              <w:top w:val="nil"/>
              <w:left w:val="nil"/>
              <w:bottom w:val="nil"/>
              <w:right w:val="nil"/>
            </w:tcBorders>
            <w:shd w:val="clear" w:color="auto" w:fill="auto"/>
            <w:noWrap/>
            <w:vAlign w:val="bottom"/>
            <w:hideMark/>
          </w:tcPr>
          <w:p w14:paraId="504483CB"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proofErr w:type="spellStart"/>
            <w:r w:rsidRPr="00ED0855">
              <w:rPr>
                <w:rFonts w:ascii="Times New Roman" w:eastAsia="Times New Roman" w:hAnsi="Times New Roman" w:cs="Times New Roman"/>
                <w:kern w:val="0"/>
                <w:lang w:val="es-ES" w:eastAsia="es-ES"/>
              </w:rPr>
              <w:t>Eutrofico</w:t>
            </w:r>
            <w:proofErr w:type="spellEnd"/>
          </w:p>
        </w:tc>
        <w:tc>
          <w:tcPr>
            <w:tcW w:w="1720" w:type="dxa"/>
            <w:tcBorders>
              <w:top w:val="nil"/>
              <w:left w:val="nil"/>
              <w:bottom w:val="nil"/>
              <w:right w:val="nil"/>
            </w:tcBorders>
            <w:shd w:val="clear" w:color="auto" w:fill="auto"/>
            <w:noWrap/>
            <w:vAlign w:val="bottom"/>
            <w:hideMark/>
          </w:tcPr>
          <w:p w14:paraId="6F80D5B0"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25</w:t>
            </w:r>
          </w:p>
        </w:tc>
        <w:tc>
          <w:tcPr>
            <w:tcW w:w="1760" w:type="dxa"/>
            <w:tcBorders>
              <w:top w:val="nil"/>
              <w:left w:val="nil"/>
              <w:bottom w:val="nil"/>
              <w:right w:val="nil"/>
            </w:tcBorders>
            <w:shd w:val="clear" w:color="auto" w:fill="auto"/>
            <w:noWrap/>
            <w:vAlign w:val="bottom"/>
            <w:hideMark/>
          </w:tcPr>
          <w:p w14:paraId="3C92C410"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64</w:t>
            </w:r>
          </w:p>
        </w:tc>
      </w:tr>
      <w:tr w:rsidR="00ED0855" w:rsidRPr="00ED0855" w14:paraId="365D136C" w14:textId="77777777" w:rsidTr="00ED0855">
        <w:trPr>
          <w:trHeight w:val="300"/>
        </w:trPr>
        <w:tc>
          <w:tcPr>
            <w:tcW w:w="3820" w:type="dxa"/>
            <w:tcBorders>
              <w:top w:val="nil"/>
              <w:left w:val="nil"/>
              <w:bottom w:val="nil"/>
              <w:right w:val="nil"/>
            </w:tcBorders>
            <w:shd w:val="clear" w:color="auto" w:fill="auto"/>
            <w:noWrap/>
            <w:vAlign w:val="bottom"/>
            <w:hideMark/>
          </w:tcPr>
          <w:p w14:paraId="5841A79E"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Sobrepeso</w:t>
            </w:r>
          </w:p>
        </w:tc>
        <w:tc>
          <w:tcPr>
            <w:tcW w:w="1720" w:type="dxa"/>
            <w:tcBorders>
              <w:top w:val="nil"/>
              <w:left w:val="nil"/>
              <w:bottom w:val="nil"/>
              <w:right w:val="nil"/>
            </w:tcBorders>
            <w:shd w:val="clear" w:color="auto" w:fill="auto"/>
            <w:noWrap/>
            <w:vAlign w:val="bottom"/>
            <w:hideMark/>
          </w:tcPr>
          <w:p w14:paraId="69C82CFE"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3F72E8E3"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3</w:t>
            </w:r>
          </w:p>
        </w:tc>
      </w:tr>
      <w:tr w:rsidR="00ED0855" w:rsidRPr="00ED0855" w14:paraId="3735F564" w14:textId="77777777" w:rsidTr="00ED0855">
        <w:trPr>
          <w:trHeight w:val="300"/>
        </w:trPr>
        <w:tc>
          <w:tcPr>
            <w:tcW w:w="3820" w:type="dxa"/>
            <w:tcBorders>
              <w:top w:val="nil"/>
              <w:left w:val="nil"/>
              <w:bottom w:val="nil"/>
              <w:right w:val="nil"/>
            </w:tcBorders>
            <w:shd w:val="clear" w:color="auto" w:fill="auto"/>
            <w:noWrap/>
            <w:vAlign w:val="bottom"/>
            <w:hideMark/>
          </w:tcPr>
          <w:p w14:paraId="2BBEF099"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Obesidad</w:t>
            </w:r>
          </w:p>
        </w:tc>
        <w:tc>
          <w:tcPr>
            <w:tcW w:w="1720" w:type="dxa"/>
            <w:tcBorders>
              <w:top w:val="nil"/>
              <w:left w:val="nil"/>
              <w:bottom w:val="nil"/>
              <w:right w:val="nil"/>
            </w:tcBorders>
            <w:shd w:val="clear" w:color="auto" w:fill="auto"/>
            <w:noWrap/>
            <w:vAlign w:val="bottom"/>
            <w:hideMark/>
          </w:tcPr>
          <w:p w14:paraId="5720F9AB"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2716F807"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3</w:t>
            </w:r>
          </w:p>
        </w:tc>
      </w:tr>
      <w:tr w:rsidR="00ED0855" w:rsidRPr="00ED0855" w14:paraId="7E9D766C" w14:textId="77777777" w:rsidTr="00ED085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2C13D6CB"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1023FEF1"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4FF82B2E"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100</w:t>
            </w:r>
          </w:p>
        </w:tc>
      </w:tr>
      <w:tr w:rsidR="00ED0855" w:rsidRPr="00ED0855" w14:paraId="74B86C0B" w14:textId="77777777" w:rsidTr="00ED0855">
        <w:trPr>
          <w:trHeight w:val="300"/>
        </w:trPr>
        <w:tc>
          <w:tcPr>
            <w:tcW w:w="3820" w:type="dxa"/>
            <w:tcBorders>
              <w:top w:val="nil"/>
              <w:left w:val="nil"/>
              <w:bottom w:val="nil"/>
              <w:right w:val="nil"/>
            </w:tcBorders>
            <w:shd w:val="clear" w:color="auto" w:fill="auto"/>
            <w:noWrap/>
            <w:vAlign w:val="bottom"/>
            <w:hideMark/>
          </w:tcPr>
          <w:p w14:paraId="79D510F5"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r w:rsidRPr="00ED085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7DF86D6D"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3E8AFA7D" w14:textId="77777777" w:rsidR="00ED0855" w:rsidRPr="00ED0855" w:rsidRDefault="00ED0855" w:rsidP="00ED0855">
            <w:pPr>
              <w:spacing w:after="0" w:line="240" w:lineRule="auto"/>
              <w:rPr>
                <w:rFonts w:ascii="Times New Roman" w:eastAsia="Times New Roman" w:hAnsi="Times New Roman" w:cs="Times New Roman"/>
                <w:kern w:val="0"/>
                <w:sz w:val="20"/>
                <w:szCs w:val="20"/>
                <w:lang w:val="es-ES" w:eastAsia="es-ES"/>
              </w:rPr>
            </w:pPr>
          </w:p>
        </w:tc>
      </w:tr>
    </w:tbl>
    <w:p w14:paraId="3D570004" w14:textId="77777777" w:rsidR="000840C9" w:rsidRDefault="000840C9" w:rsidP="00752FF8">
      <w:pPr>
        <w:spacing w:after="0" w:line="360" w:lineRule="auto"/>
        <w:jc w:val="both"/>
        <w:rPr>
          <w:rFonts w:ascii="Times New Roman" w:hAnsi="Times New Roman" w:cs="Times New Roman"/>
          <w:b/>
          <w:bCs/>
          <w:sz w:val="24"/>
          <w:szCs w:val="24"/>
          <w:lang w:val="es-MX"/>
        </w:rPr>
      </w:pPr>
    </w:p>
    <w:p w14:paraId="239B5C1A" w14:textId="77777777" w:rsidR="00ED0855" w:rsidRDefault="00ED0855" w:rsidP="000840C9">
      <w:pPr>
        <w:spacing w:after="0" w:line="360" w:lineRule="auto"/>
        <w:jc w:val="both"/>
        <w:rPr>
          <w:rFonts w:ascii="Times New Roman" w:hAnsi="Times New Roman" w:cs="Times New Roman"/>
          <w:sz w:val="24"/>
          <w:szCs w:val="24"/>
          <w:lang w:val="es-MX"/>
        </w:rPr>
      </w:pPr>
    </w:p>
    <w:p w14:paraId="4DA86B93" w14:textId="159581A5" w:rsidR="000840C9" w:rsidRDefault="000840C9" w:rsidP="000840C9">
      <w:pPr>
        <w:spacing w:after="0" w:line="360" w:lineRule="auto"/>
        <w:jc w:val="both"/>
      </w:pPr>
      <w:r>
        <w:rPr>
          <w:rFonts w:ascii="Times New Roman" w:hAnsi="Times New Roman" w:cs="Times New Roman"/>
          <w:sz w:val="24"/>
          <w:szCs w:val="24"/>
          <w:lang w:val="es-MX"/>
        </w:rPr>
        <w:t xml:space="preserve">Al analizar las manifestaciones clínicas de los pacientes, se encontró que la fiebre fue referida en el </w:t>
      </w:r>
      <w:r>
        <w:rPr>
          <w:rFonts w:ascii="Times New Roman" w:hAnsi="Times New Roman" w:cs="Times New Roman"/>
          <w:b/>
          <w:bCs/>
          <w:sz w:val="24"/>
          <w:szCs w:val="24"/>
          <w:lang w:val="es-MX"/>
        </w:rPr>
        <w:t xml:space="preserve">100% (n=39/39) </w:t>
      </w:r>
      <w:r>
        <w:rPr>
          <w:rFonts w:ascii="Times New Roman" w:hAnsi="Times New Roman" w:cs="Times New Roman"/>
          <w:sz w:val="24"/>
          <w:szCs w:val="24"/>
          <w:lang w:val="es-MX"/>
        </w:rPr>
        <w:t xml:space="preserve">de los pacientes, la disuria, oliguria y vómitos por el </w:t>
      </w:r>
      <w:r>
        <w:rPr>
          <w:rFonts w:ascii="Times New Roman" w:hAnsi="Times New Roman" w:cs="Times New Roman"/>
          <w:b/>
          <w:bCs/>
          <w:sz w:val="24"/>
          <w:szCs w:val="24"/>
          <w:lang w:val="es-MX"/>
        </w:rPr>
        <w:t>13% (n=5/39). Ver Tabla No 6.</w:t>
      </w:r>
    </w:p>
    <w:tbl>
      <w:tblPr>
        <w:tblW w:w="7300" w:type="dxa"/>
        <w:tblCellMar>
          <w:left w:w="70" w:type="dxa"/>
          <w:right w:w="70" w:type="dxa"/>
        </w:tblCellMar>
        <w:tblLook w:val="04A0" w:firstRow="1" w:lastRow="0" w:firstColumn="1" w:lastColumn="0" w:noHBand="0" w:noVBand="1"/>
      </w:tblPr>
      <w:tblGrid>
        <w:gridCol w:w="3820"/>
        <w:gridCol w:w="1720"/>
        <w:gridCol w:w="1760"/>
      </w:tblGrid>
      <w:tr w:rsidR="00ED0855" w:rsidRPr="00ED0855" w14:paraId="3D14F928"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78AA6C98"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Tabla No: 6</w:t>
            </w:r>
          </w:p>
        </w:tc>
      </w:tr>
      <w:tr w:rsidR="00ED0855" w:rsidRPr="00ED0855" w14:paraId="74C60D63"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68A749C6"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Manifestaciones clínicas en los niños en estudio</w:t>
            </w:r>
          </w:p>
        </w:tc>
      </w:tr>
      <w:tr w:rsidR="00ED0855" w:rsidRPr="00ED0855" w14:paraId="30E1ECCD"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6CFC94B6"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Comportamiento Clínico de la IVU</w:t>
            </w:r>
          </w:p>
        </w:tc>
      </w:tr>
      <w:tr w:rsidR="00ED0855" w:rsidRPr="00ED0855" w14:paraId="2DBF1835" w14:textId="77777777" w:rsidTr="00ED0855">
        <w:trPr>
          <w:trHeight w:val="300"/>
        </w:trPr>
        <w:tc>
          <w:tcPr>
            <w:tcW w:w="7300" w:type="dxa"/>
            <w:gridSpan w:val="3"/>
            <w:tcBorders>
              <w:top w:val="nil"/>
              <w:left w:val="nil"/>
              <w:bottom w:val="nil"/>
              <w:right w:val="nil"/>
            </w:tcBorders>
            <w:shd w:val="clear" w:color="auto" w:fill="auto"/>
            <w:vAlign w:val="bottom"/>
            <w:hideMark/>
          </w:tcPr>
          <w:p w14:paraId="6646307D"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Servicio de Pediatría del Hospital SERMESA Masaya</w:t>
            </w:r>
          </w:p>
        </w:tc>
      </w:tr>
      <w:tr w:rsidR="00ED0855" w:rsidRPr="00ED0855" w14:paraId="6E069276" w14:textId="77777777" w:rsidTr="00ED0855">
        <w:trPr>
          <w:trHeight w:val="300"/>
        </w:trPr>
        <w:tc>
          <w:tcPr>
            <w:tcW w:w="7300" w:type="dxa"/>
            <w:gridSpan w:val="3"/>
            <w:tcBorders>
              <w:top w:val="nil"/>
              <w:left w:val="nil"/>
              <w:bottom w:val="single" w:sz="4" w:space="0" w:color="auto"/>
              <w:right w:val="nil"/>
            </w:tcBorders>
            <w:shd w:val="clear" w:color="auto" w:fill="auto"/>
            <w:vAlign w:val="bottom"/>
            <w:hideMark/>
          </w:tcPr>
          <w:p w14:paraId="17107935"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enero a diciembre del año 2024</w:t>
            </w:r>
          </w:p>
        </w:tc>
      </w:tr>
      <w:tr w:rsidR="00ED0855" w:rsidRPr="00ED0855" w14:paraId="23C6DC77" w14:textId="77777777" w:rsidTr="00ED0855">
        <w:trPr>
          <w:trHeight w:val="300"/>
        </w:trPr>
        <w:tc>
          <w:tcPr>
            <w:tcW w:w="3820" w:type="dxa"/>
            <w:tcBorders>
              <w:top w:val="nil"/>
              <w:left w:val="nil"/>
              <w:bottom w:val="double" w:sz="6" w:space="0" w:color="auto"/>
              <w:right w:val="nil"/>
            </w:tcBorders>
            <w:shd w:val="clear" w:color="auto" w:fill="auto"/>
            <w:vAlign w:val="center"/>
            <w:hideMark/>
          </w:tcPr>
          <w:p w14:paraId="0D2D9927"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Manifestaciones</w:t>
            </w:r>
          </w:p>
        </w:tc>
        <w:tc>
          <w:tcPr>
            <w:tcW w:w="1720" w:type="dxa"/>
            <w:tcBorders>
              <w:top w:val="nil"/>
              <w:left w:val="nil"/>
              <w:bottom w:val="double" w:sz="6" w:space="0" w:color="auto"/>
              <w:right w:val="nil"/>
            </w:tcBorders>
            <w:shd w:val="clear" w:color="auto" w:fill="auto"/>
            <w:noWrap/>
            <w:vAlign w:val="bottom"/>
            <w:hideMark/>
          </w:tcPr>
          <w:p w14:paraId="29593061"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proofErr w:type="spellStart"/>
            <w:r w:rsidRPr="00ED085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5DA1D074"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w:t>
            </w:r>
          </w:p>
        </w:tc>
      </w:tr>
      <w:tr w:rsidR="00ED0855" w:rsidRPr="00ED0855" w14:paraId="08CBE8CC" w14:textId="77777777" w:rsidTr="00ED0855">
        <w:trPr>
          <w:trHeight w:val="300"/>
        </w:trPr>
        <w:tc>
          <w:tcPr>
            <w:tcW w:w="3820" w:type="dxa"/>
            <w:tcBorders>
              <w:top w:val="nil"/>
              <w:left w:val="nil"/>
              <w:bottom w:val="nil"/>
              <w:right w:val="nil"/>
            </w:tcBorders>
            <w:shd w:val="clear" w:color="auto" w:fill="auto"/>
            <w:noWrap/>
            <w:vAlign w:val="bottom"/>
            <w:hideMark/>
          </w:tcPr>
          <w:p w14:paraId="1F049168"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Fiebre</w:t>
            </w:r>
          </w:p>
        </w:tc>
        <w:tc>
          <w:tcPr>
            <w:tcW w:w="1720" w:type="dxa"/>
            <w:tcBorders>
              <w:top w:val="nil"/>
              <w:left w:val="nil"/>
              <w:bottom w:val="nil"/>
              <w:right w:val="nil"/>
            </w:tcBorders>
            <w:shd w:val="clear" w:color="auto" w:fill="auto"/>
            <w:noWrap/>
            <w:vAlign w:val="bottom"/>
            <w:hideMark/>
          </w:tcPr>
          <w:p w14:paraId="0D4B03E6"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39</w:t>
            </w:r>
          </w:p>
        </w:tc>
        <w:tc>
          <w:tcPr>
            <w:tcW w:w="1760" w:type="dxa"/>
            <w:tcBorders>
              <w:top w:val="nil"/>
              <w:left w:val="nil"/>
              <w:bottom w:val="nil"/>
              <w:right w:val="nil"/>
            </w:tcBorders>
            <w:shd w:val="clear" w:color="auto" w:fill="auto"/>
            <w:noWrap/>
            <w:vAlign w:val="bottom"/>
            <w:hideMark/>
          </w:tcPr>
          <w:p w14:paraId="11E13C1D"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100</w:t>
            </w:r>
          </w:p>
        </w:tc>
      </w:tr>
      <w:tr w:rsidR="00ED0855" w:rsidRPr="00ED0855" w14:paraId="694550CD" w14:textId="77777777" w:rsidTr="00ED0855">
        <w:trPr>
          <w:trHeight w:val="300"/>
        </w:trPr>
        <w:tc>
          <w:tcPr>
            <w:tcW w:w="3820" w:type="dxa"/>
            <w:tcBorders>
              <w:top w:val="nil"/>
              <w:left w:val="nil"/>
              <w:bottom w:val="nil"/>
              <w:right w:val="nil"/>
            </w:tcBorders>
            <w:shd w:val="clear" w:color="auto" w:fill="auto"/>
            <w:noWrap/>
            <w:vAlign w:val="bottom"/>
            <w:hideMark/>
          </w:tcPr>
          <w:p w14:paraId="11AE9FCC"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Disuria</w:t>
            </w:r>
          </w:p>
        </w:tc>
        <w:tc>
          <w:tcPr>
            <w:tcW w:w="1720" w:type="dxa"/>
            <w:tcBorders>
              <w:top w:val="nil"/>
              <w:left w:val="nil"/>
              <w:bottom w:val="nil"/>
              <w:right w:val="nil"/>
            </w:tcBorders>
            <w:shd w:val="clear" w:color="auto" w:fill="auto"/>
            <w:noWrap/>
            <w:vAlign w:val="bottom"/>
            <w:hideMark/>
          </w:tcPr>
          <w:p w14:paraId="733505BC"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5429F914"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13</w:t>
            </w:r>
          </w:p>
        </w:tc>
      </w:tr>
      <w:tr w:rsidR="00ED0855" w:rsidRPr="00ED0855" w14:paraId="3BD43906" w14:textId="77777777" w:rsidTr="00ED0855">
        <w:trPr>
          <w:trHeight w:val="300"/>
        </w:trPr>
        <w:tc>
          <w:tcPr>
            <w:tcW w:w="3820" w:type="dxa"/>
            <w:tcBorders>
              <w:top w:val="nil"/>
              <w:left w:val="nil"/>
              <w:bottom w:val="nil"/>
              <w:right w:val="nil"/>
            </w:tcBorders>
            <w:shd w:val="clear" w:color="auto" w:fill="auto"/>
            <w:noWrap/>
            <w:vAlign w:val="bottom"/>
            <w:hideMark/>
          </w:tcPr>
          <w:p w14:paraId="2339AED4"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Oliguria</w:t>
            </w:r>
          </w:p>
        </w:tc>
        <w:tc>
          <w:tcPr>
            <w:tcW w:w="1720" w:type="dxa"/>
            <w:tcBorders>
              <w:top w:val="nil"/>
              <w:left w:val="nil"/>
              <w:bottom w:val="nil"/>
              <w:right w:val="nil"/>
            </w:tcBorders>
            <w:shd w:val="clear" w:color="auto" w:fill="auto"/>
            <w:noWrap/>
            <w:vAlign w:val="bottom"/>
            <w:hideMark/>
          </w:tcPr>
          <w:p w14:paraId="76F4B322"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2489216E"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13</w:t>
            </w:r>
          </w:p>
        </w:tc>
      </w:tr>
      <w:tr w:rsidR="00ED0855" w:rsidRPr="00ED0855" w14:paraId="75FAFC20" w14:textId="77777777" w:rsidTr="00ED0855">
        <w:trPr>
          <w:trHeight w:val="300"/>
        </w:trPr>
        <w:tc>
          <w:tcPr>
            <w:tcW w:w="3820" w:type="dxa"/>
            <w:tcBorders>
              <w:top w:val="nil"/>
              <w:left w:val="nil"/>
              <w:bottom w:val="nil"/>
              <w:right w:val="nil"/>
            </w:tcBorders>
            <w:shd w:val="clear" w:color="auto" w:fill="auto"/>
            <w:noWrap/>
            <w:vAlign w:val="bottom"/>
            <w:hideMark/>
          </w:tcPr>
          <w:p w14:paraId="579C80A2"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Vómitos</w:t>
            </w:r>
          </w:p>
        </w:tc>
        <w:tc>
          <w:tcPr>
            <w:tcW w:w="1720" w:type="dxa"/>
            <w:tcBorders>
              <w:top w:val="nil"/>
              <w:left w:val="nil"/>
              <w:bottom w:val="nil"/>
              <w:right w:val="nil"/>
            </w:tcBorders>
            <w:shd w:val="clear" w:color="auto" w:fill="auto"/>
            <w:noWrap/>
            <w:vAlign w:val="bottom"/>
            <w:hideMark/>
          </w:tcPr>
          <w:p w14:paraId="29FF9E72"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4E6E3BDA"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13</w:t>
            </w:r>
          </w:p>
        </w:tc>
      </w:tr>
      <w:tr w:rsidR="00ED0855" w:rsidRPr="00ED0855" w14:paraId="706CD8AD" w14:textId="77777777" w:rsidTr="00ED085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38A740FA"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03747949"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265D9D6B"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 </w:t>
            </w:r>
          </w:p>
        </w:tc>
      </w:tr>
      <w:tr w:rsidR="00ED0855" w:rsidRPr="00ED0855" w14:paraId="0A414890" w14:textId="77777777" w:rsidTr="00ED0855">
        <w:trPr>
          <w:trHeight w:val="300"/>
        </w:trPr>
        <w:tc>
          <w:tcPr>
            <w:tcW w:w="3820" w:type="dxa"/>
            <w:tcBorders>
              <w:top w:val="nil"/>
              <w:left w:val="nil"/>
              <w:bottom w:val="nil"/>
              <w:right w:val="nil"/>
            </w:tcBorders>
            <w:shd w:val="clear" w:color="auto" w:fill="auto"/>
            <w:noWrap/>
            <w:vAlign w:val="bottom"/>
            <w:hideMark/>
          </w:tcPr>
          <w:p w14:paraId="1AC157A4"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r w:rsidRPr="00ED085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064BEC8C"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29BE72A7" w14:textId="77777777" w:rsidR="00ED0855" w:rsidRPr="00ED0855" w:rsidRDefault="00ED0855" w:rsidP="00ED0855">
            <w:pPr>
              <w:spacing w:after="0" w:line="240" w:lineRule="auto"/>
              <w:rPr>
                <w:rFonts w:ascii="Times New Roman" w:eastAsia="Times New Roman" w:hAnsi="Times New Roman" w:cs="Times New Roman"/>
                <w:kern w:val="0"/>
                <w:sz w:val="20"/>
                <w:szCs w:val="20"/>
                <w:lang w:val="es-ES" w:eastAsia="es-ES"/>
              </w:rPr>
            </w:pPr>
          </w:p>
        </w:tc>
      </w:tr>
    </w:tbl>
    <w:p w14:paraId="5133C33D" w14:textId="77777777" w:rsidR="000840C9" w:rsidRDefault="000840C9" w:rsidP="000840C9">
      <w:pPr>
        <w:spacing w:after="0" w:line="360" w:lineRule="auto"/>
        <w:jc w:val="both"/>
        <w:rPr>
          <w:rFonts w:ascii="Times New Roman" w:hAnsi="Times New Roman" w:cs="Times New Roman"/>
          <w:sz w:val="24"/>
          <w:szCs w:val="24"/>
        </w:rPr>
      </w:pPr>
    </w:p>
    <w:p w14:paraId="5D2EC406" w14:textId="77777777" w:rsidR="00ED0855" w:rsidRDefault="00ED0855" w:rsidP="000840C9">
      <w:pPr>
        <w:spacing w:after="0" w:line="360" w:lineRule="auto"/>
        <w:jc w:val="both"/>
        <w:rPr>
          <w:rFonts w:ascii="Times New Roman" w:hAnsi="Times New Roman" w:cs="Times New Roman"/>
          <w:sz w:val="24"/>
          <w:szCs w:val="24"/>
        </w:rPr>
      </w:pPr>
    </w:p>
    <w:p w14:paraId="36719815" w14:textId="77777777" w:rsidR="00ED0855" w:rsidRDefault="00ED0855">
      <w:pPr>
        <w:spacing w:after="0" w:line="240" w:lineRule="auto"/>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49D5D706" w14:textId="7534346E" w:rsidR="000840C9" w:rsidRDefault="000840C9" w:rsidP="000840C9">
      <w:pPr>
        <w:spacing w:after="0" w:line="360" w:lineRule="auto"/>
        <w:jc w:val="both"/>
      </w:pPr>
      <w:r>
        <w:rPr>
          <w:rFonts w:ascii="Times New Roman" w:hAnsi="Times New Roman" w:cs="Times New Roman"/>
          <w:sz w:val="24"/>
          <w:szCs w:val="24"/>
          <w:lang w:val="es-MX"/>
        </w:rPr>
        <w:lastRenderedPageBreak/>
        <w:t xml:space="preserve">El </w:t>
      </w:r>
      <w:r>
        <w:rPr>
          <w:rFonts w:ascii="Times New Roman" w:hAnsi="Times New Roman" w:cs="Times New Roman"/>
          <w:b/>
          <w:bCs/>
          <w:sz w:val="24"/>
          <w:szCs w:val="24"/>
          <w:lang w:val="es-MX"/>
        </w:rPr>
        <w:t xml:space="preserve">26% (10/39) </w:t>
      </w:r>
      <w:r>
        <w:rPr>
          <w:rFonts w:ascii="Times New Roman" w:hAnsi="Times New Roman" w:cs="Times New Roman"/>
          <w:sz w:val="24"/>
          <w:szCs w:val="24"/>
          <w:lang w:val="es-MX"/>
        </w:rPr>
        <w:t xml:space="preserve">de los pacientes refirieron ingresos hospitalarios previos, siendo la principal causa de ingreso la IVU con el </w:t>
      </w:r>
      <w:r>
        <w:rPr>
          <w:rFonts w:ascii="Times New Roman" w:hAnsi="Times New Roman" w:cs="Times New Roman"/>
          <w:b/>
          <w:bCs/>
          <w:sz w:val="24"/>
          <w:szCs w:val="24"/>
          <w:lang w:val="es-MX"/>
        </w:rPr>
        <w:t xml:space="preserve">70% (7/10) </w:t>
      </w:r>
      <w:r>
        <w:rPr>
          <w:rFonts w:ascii="Times New Roman" w:hAnsi="Times New Roman" w:cs="Times New Roman"/>
          <w:sz w:val="24"/>
          <w:szCs w:val="24"/>
          <w:lang w:val="es-MX"/>
        </w:rPr>
        <w:t xml:space="preserve">y la EDA en el </w:t>
      </w:r>
      <w:r>
        <w:rPr>
          <w:rFonts w:ascii="Times New Roman" w:hAnsi="Times New Roman" w:cs="Times New Roman"/>
          <w:b/>
          <w:bCs/>
          <w:sz w:val="24"/>
          <w:szCs w:val="24"/>
          <w:lang w:val="es-MX"/>
        </w:rPr>
        <w:t xml:space="preserve">20% (n=20/10) </w:t>
      </w:r>
      <w:r>
        <w:rPr>
          <w:rFonts w:ascii="Times New Roman" w:hAnsi="Times New Roman" w:cs="Times New Roman"/>
          <w:sz w:val="24"/>
          <w:szCs w:val="24"/>
          <w:lang w:val="es-MX"/>
        </w:rPr>
        <w:t xml:space="preserve">y solamente 1 paciente refirió descompensación de su patología de base. </w:t>
      </w:r>
      <w:r>
        <w:rPr>
          <w:rFonts w:ascii="Times New Roman" w:hAnsi="Times New Roman" w:cs="Times New Roman"/>
          <w:b/>
          <w:bCs/>
          <w:sz w:val="24"/>
          <w:szCs w:val="24"/>
          <w:lang w:val="es-MX"/>
        </w:rPr>
        <w:t>Ver Tablas No 7 y 8</w:t>
      </w:r>
      <w:r w:rsidR="007A1B83">
        <w:rPr>
          <w:rFonts w:ascii="Times New Roman" w:hAnsi="Times New Roman" w:cs="Times New Roman"/>
          <w:b/>
          <w:bCs/>
          <w:sz w:val="24"/>
          <w:szCs w:val="24"/>
          <w:lang w:val="es-MX"/>
        </w:rPr>
        <w:t xml:space="preserve"> y Gráfico 5.</w:t>
      </w:r>
    </w:p>
    <w:tbl>
      <w:tblPr>
        <w:tblW w:w="7300" w:type="dxa"/>
        <w:tblCellMar>
          <w:left w:w="70" w:type="dxa"/>
          <w:right w:w="70" w:type="dxa"/>
        </w:tblCellMar>
        <w:tblLook w:val="04A0" w:firstRow="1" w:lastRow="0" w:firstColumn="1" w:lastColumn="0" w:noHBand="0" w:noVBand="1"/>
      </w:tblPr>
      <w:tblGrid>
        <w:gridCol w:w="3820"/>
        <w:gridCol w:w="1720"/>
        <w:gridCol w:w="1760"/>
      </w:tblGrid>
      <w:tr w:rsidR="00ED0855" w:rsidRPr="00ED0855" w14:paraId="2B43BDF3"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23E88BB1"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Tabla No: 7</w:t>
            </w:r>
          </w:p>
        </w:tc>
      </w:tr>
      <w:tr w:rsidR="00ED0855" w:rsidRPr="00ED0855" w14:paraId="45DF1693"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60DAD30A"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Hospitalizaciones previas en los niños en estudio</w:t>
            </w:r>
          </w:p>
        </w:tc>
      </w:tr>
      <w:tr w:rsidR="00ED0855" w:rsidRPr="00ED0855" w14:paraId="1FB046A0"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1A71ED7B"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Comportamiento Clínico de la IVU</w:t>
            </w:r>
          </w:p>
        </w:tc>
      </w:tr>
      <w:tr w:rsidR="00ED0855" w:rsidRPr="00ED0855" w14:paraId="2B8C8E57" w14:textId="77777777" w:rsidTr="00ED0855">
        <w:trPr>
          <w:trHeight w:val="300"/>
        </w:trPr>
        <w:tc>
          <w:tcPr>
            <w:tcW w:w="7300" w:type="dxa"/>
            <w:gridSpan w:val="3"/>
            <w:tcBorders>
              <w:top w:val="nil"/>
              <w:left w:val="nil"/>
              <w:bottom w:val="nil"/>
              <w:right w:val="nil"/>
            </w:tcBorders>
            <w:shd w:val="clear" w:color="auto" w:fill="auto"/>
            <w:vAlign w:val="bottom"/>
            <w:hideMark/>
          </w:tcPr>
          <w:p w14:paraId="489231C8"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Servicio de Pediatría del Hospital SERMESA Masaya</w:t>
            </w:r>
          </w:p>
        </w:tc>
      </w:tr>
      <w:tr w:rsidR="00ED0855" w:rsidRPr="00ED0855" w14:paraId="2EC2D1A1" w14:textId="77777777" w:rsidTr="00ED0855">
        <w:trPr>
          <w:trHeight w:val="300"/>
        </w:trPr>
        <w:tc>
          <w:tcPr>
            <w:tcW w:w="7300" w:type="dxa"/>
            <w:gridSpan w:val="3"/>
            <w:tcBorders>
              <w:top w:val="nil"/>
              <w:left w:val="nil"/>
              <w:bottom w:val="single" w:sz="4" w:space="0" w:color="auto"/>
              <w:right w:val="nil"/>
            </w:tcBorders>
            <w:shd w:val="clear" w:color="auto" w:fill="auto"/>
            <w:vAlign w:val="bottom"/>
            <w:hideMark/>
          </w:tcPr>
          <w:p w14:paraId="4A3D5A6D"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enero a diciembre del año 2024</w:t>
            </w:r>
          </w:p>
        </w:tc>
      </w:tr>
      <w:tr w:rsidR="00ED0855" w:rsidRPr="00ED0855" w14:paraId="2590FF48" w14:textId="77777777" w:rsidTr="00ED0855">
        <w:trPr>
          <w:trHeight w:val="300"/>
        </w:trPr>
        <w:tc>
          <w:tcPr>
            <w:tcW w:w="3820" w:type="dxa"/>
            <w:tcBorders>
              <w:top w:val="nil"/>
              <w:left w:val="nil"/>
              <w:bottom w:val="double" w:sz="6" w:space="0" w:color="auto"/>
              <w:right w:val="nil"/>
            </w:tcBorders>
            <w:shd w:val="clear" w:color="auto" w:fill="auto"/>
            <w:vAlign w:val="center"/>
            <w:hideMark/>
          </w:tcPr>
          <w:p w14:paraId="02F0D2A7"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Hospitalizaciones previas</w:t>
            </w:r>
          </w:p>
        </w:tc>
        <w:tc>
          <w:tcPr>
            <w:tcW w:w="1720" w:type="dxa"/>
            <w:tcBorders>
              <w:top w:val="nil"/>
              <w:left w:val="nil"/>
              <w:bottom w:val="double" w:sz="6" w:space="0" w:color="auto"/>
              <w:right w:val="nil"/>
            </w:tcBorders>
            <w:shd w:val="clear" w:color="auto" w:fill="auto"/>
            <w:noWrap/>
            <w:vAlign w:val="bottom"/>
            <w:hideMark/>
          </w:tcPr>
          <w:p w14:paraId="6BCDF6E1"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proofErr w:type="spellStart"/>
            <w:r w:rsidRPr="00ED085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57850801"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w:t>
            </w:r>
          </w:p>
        </w:tc>
      </w:tr>
      <w:tr w:rsidR="00ED0855" w:rsidRPr="00ED0855" w14:paraId="1311EACE" w14:textId="77777777" w:rsidTr="00ED0855">
        <w:trPr>
          <w:trHeight w:val="300"/>
        </w:trPr>
        <w:tc>
          <w:tcPr>
            <w:tcW w:w="3820" w:type="dxa"/>
            <w:tcBorders>
              <w:top w:val="nil"/>
              <w:left w:val="nil"/>
              <w:bottom w:val="nil"/>
              <w:right w:val="nil"/>
            </w:tcBorders>
            <w:shd w:val="clear" w:color="auto" w:fill="auto"/>
            <w:noWrap/>
            <w:vAlign w:val="bottom"/>
            <w:hideMark/>
          </w:tcPr>
          <w:p w14:paraId="469E3CBB"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3F8CA807"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10</w:t>
            </w:r>
          </w:p>
        </w:tc>
        <w:tc>
          <w:tcPr>
            <w:tcW w:w="1760" w:type="dxa"/>
            <w:tcBorders>
              <w:top w:val="nil"/>
              <w:left w:val="nil"/>
              <w:bottom w:val="nil"/>
              <w:right w:val="nil"/>
            </w:tcBorders>
            <w:shd w:val="clear" w:color="auto" w:fill="auto"/>
            <w:noWrap/>
            <w:vAlign w:val="bottom"/>
            <w:hideMark/>
          </w:tcPr>
          <w:p w14:paraId="1216E312"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26</w:t>
            </w:r>
          </w:p>
        </w:tc>
      </w:tr>
      <w:tr w:rsidR="00ED0855" w:rsidRPr="00ED0855" w14:paraId="27F126DC" w14:textId="77777777" w:rsidTr="00ED0855">
        <w:trPr>
          <w:trHeight w:val="300"/>
        </w:trPr>
        <w:tc>
          <w:tcPr>
            <w:tcW w:w="3820" w:type="dxa"/>
            <w:tcBorders>
              <w:top w:val="nil"/>
              <w:left w:val="nil"/>
              <w:bottom w:val="nil"/>
              <w:right w:val="nil"/>
            </w:tcBorders>
            <w:shd w:val="clear" w:color="auto" w:fill="auto"/>
            <w:noWrap/>
            <w:vAlign w:val="bottom"/>
            <w:hideMark/>
          </w:tcPr>
          <w:p w14:paraId="31699C55"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3B9F24E6"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29</w:t>
            </w:r>
          </w:p>
        </w:tc>
        <w:tc>
          <w:tcPr>
            <w:tcW w:w="1760" w:type="dxa"/>
            <w:tcBorders>
              <w:top w:val="nil"/>
              <w:left w:val="nil"/>
              <w:bottom w:val="nil"/>
              <w:right w:val="nil"/>
            </w:tcBorders>
            <w:shd w:val="clear" w:color="auto" w:fill="auto"/>
            <w:noWrap/>
            <w:vAlign w:val="bottom"/>
            <w:hideMark/>
          </w:tcPr>
          <w:p w14:paraId="635751FC"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74</w:t>
            </w:r>
          </w:p>
        </w:tc>
      </w:tr>
      <w:tr w:rsidR="00ED0855" w:rsidRPr="00ED0855" w14:paraId="53EB4EBD" w14:textId="77777777" w:rsidTr="00ED085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696C987E"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0622FA0F"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06DFD497"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100</w:t>
            </w:r>
          </w:p>
        </w:tc>
      </w:tr>
      <w:tr w:rsidR="00ED0855" w:rsidRPr="00ED0855" w14:paraId="30B5EFDD" w14:textId="77777777" w:rsidTr="00ED0855">
        <w:trPr>
          <w:trHeight w:val="300"/>
        </w:trPr>
        <w:tc>
          <w:tcPr>
            <w:tcW w:w="3820" w:type="dxa"/>
            <w:tcBorders>
              <w:top w:val="nil"/>
              <w:left w:val="nil"/>
              <w:bottom w:val="nil"/>
              <w:right w:val="nil"/>
            </w:tcBorders>
            <w:shd w:val="clear" w:color="auto" w:fill="auto"/>
            <w:noWrap/>
            <w:vAlign w:val="bottom"/>
            <w:hideMark/>
          </w:tcPr>
          <w:p w14:paraId="0538971C"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r w:rsidRPr="00ED085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6709B69B"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7AAF434E" w14:textId="77777777" w:rsidR="00ED0855" w:rsidRPr="00ED0855" w:rsidRDefault="00ED0855" w:rsidP="00ED0855">
            <w:pPr>
              <w:spacing w:after="0" w:line="240" w:lineRule="auto"/>
              <w:rPr>
                <w:rFonts w:ascii="Times New Roman" w:eastAsia="Times New Roman" w:hAnsi="Times New Roman" w:cs="Times New Roman"/>
                <w:kern w:val="0"/>
                <w:sz w:val="20"/>
                <w:szCs w:val="20"/>
                <w:lang w:val="es-ES" w:eastAsia="es-ES"/>
              </w:rPr>
            </w:pPr>
          </w:p>
        </w:tc>
      </w:tr>
    </w:tbl>
    <w:p w14:paraId="2BA6CF2E" w14:textId="77777777" w:rsidR="000840C9" w:rsidRDefault="000840C9" w:rsidP="000840C9">
      <w:pPr>
        <w:spacing w:after="0" w:line="360" w:lineRule="auto"/>
        <w:jc w:val="both"/>
        <w:rPr>
          <w:rFonts w:ascii="Times New Roman" w:hAnsi="Times New Roman" w:cs="Times New Roman"/>
          <w:sz w:val="24"/>
          <w:szCs w:val="24"/>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ED0855" w:rsidRPr="00ED0855" w14:paraId="4A10E3B3"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4F9CB677"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Tabla No: 8</w:t>
            </w:r>
          </w:p>
        </w:tc>
      </w:tr>
      <w:tr w:rsidR="00ED0855" w:rsidRPr="00ED0855" w14:paraId="55EAC4FC"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04FC1629"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Hospitalizaciones previas en los niños en estudio</w:t>
            </w:r>
          </w:p>
        </w:tc>
      </w:tr>
      <w:tr w:rsidR="00ED0855" w:rsidRPr="00ED0855" w14:paraId="078C09D5"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2A93EA30"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Comportamiento Clínico de la IVU</w:t>
            </w:r>
          </w:p>
        </w:tc>
      </w:tr>
      <w:tr w:rsidR="00ED0855" w:rsidRPr="00ED0855" w14:paraId="22EA5DA7" w14:textId="77777777" w:rsidTr="00ED0855">
        <w:trPr>
          <w:trHeight w:val="300"/>
        </w:trPr>
        <w:tc>
          <w:tcPr>
            <w:tcW w:w="7300" w:type="dxa"/>
            <w:gridSpan w:val="3"/>
            <w:tcBorders>
              <w:top w:val="nil"/>
              <w:left w:val="nil"/>
              <w:bottom w:val="nil"/>
              <w:right w:val="nil"/>
            </w:tcBorders>
            <w:shd w:val="clear" w:color="auto" w:fill="auto"/>
            <w:vAlign w:val="bottom"/>
            <w:hideMark/>
          </w:tcPr>
          <w:p w14:paraId="2261F46A"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Servicio de Pediatría del Hospital SERMESA Masaya</w:t>
            </w:r>
          </w:p>
        </w:tc>
      </w:tr>
      <w:tr w:rsidR="00ED0855" w:rsidRPr="00ED0855" w14:paraId="667C03B0" w14:textId="77777777" w:rsidTr="00ED0855">
        <w:trPr>
          <w:trHeight w:val="300"/>
        </w:trPr>
        <w:tc>
          <w:tcPr>
            <w:tcW w:w="7300" w:type="dxa"/>
            <w:gridSpan w:val="3"/>
            <w:tcBorders>
              <w:top w:val="nil"/>
              <w:left w:val="nil"/>
              <w:bottom w:val="single" w:sz="4" w:space="0" w:color="auto"/>
              <w:right w:val="nil"/>
            </w:tcBorders>
            <w:shd w:val="clear" w:color="auto" w:fill="auto"/>
            <w:vAlign w:val="bottom"/>
            <w:hideMark/>
          </w:tcPr>
          <w:p w14:paraId="14178CAA"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enero a diciembre del año 2024</w:t>
            </w:r>
          </w:p>
        </w:tc>
      </w:tr>
      <w:tr w:rsidR="00ED0855" w:rsidRPr="00ED0855" w14:paraId="2E50BB61" w14:textId="77777777" w:rsidTr="00ED0855">
        <w:trPr>
          <w:trHeight w:val="300"/>
        </w:trPr>
        <w:tc>
          <w:tcPr>
            <w:tcW w:w="3820" w:type="dxa"/>
            <w:tcBorders>
              <w:top w:val="nil"/>
              <w:left w:val="nil"/>
              <w:bottom w:val="double" w:sz="6" w:space="0" w:color="auto"/>
              <w:right w:val="nil"/>
            </w:tcBorders>
            <w:shd w:val="clear" w:color="auto" w:fill="auto"/>
            <w:vAlign w:val="center"/>
            <w:hideMark/>
          </w:tcPr>
          <w:p w14:paraId="3EA65E0A"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Causas de Hospitalizaciones</w:t>
            </w:r>
          </w:p>
        </w:tc>
        <w:tc>
          <w:tcPr>
            <w:tcW w:w="1720" w:type="dxa"/>
            <w:tcBorders>
              <w:top w:val="nil"/>
              <w:left w:val="nil"/>
              <w:bottom w:val="double" w:sz="6" w:space="0" w:color="auto"/>
              <w:right w:val="nil"/>
            </w:tcBorders>
            <w:shd w:val="clear" w:color="auto" w:fill="auto"/>
            <w:noWrap/>
            <w:vAlign w:val="bottom"/>
            <w:hideMark/>
          </w:tcPr>
          <w:p w14:paraId="0F727D14"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proofErr w:type="spellStart"/>
            <w:r w:rsidRPr="00ED085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36351AC5"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w:t>
            </w:r>
          </w:p>
        </w:tc>
      </w:tr>
      <w:tr w:rsidR="00ED0855" w:rsidRPr="00ED0855" w14:paraId="78D8C644" w14:textId="77777777" w:rsidTr="00ED0855">
        <w:trPr>
          <w:trHeight w:val="300"/>
        </w:trPr>
        <w:tc>
          <w:tcPr>
            <w:tcW w:w="3820" w:type="dxa"/>
            <w:tcBorders>
              <w:top w:val="nil"/>
              <w:left w:val="nil"/>
              <w:bottom w:val="nil"/>
              <w:right w:val="nil"/>
            </w:tcBorders>
            <w:shd w:val="clear" w:color="auto" w:fill="auto"/>
            <w:noWrap/>
            <w:vAlign w:val="bottom"/>
            <w:hideMark/>
          </w:tcPr>
          <w:p w14:paraId="6A313A79"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IVU / Sepsis urinaria / Bacteriuria</w:t>
            </w:r>
          </w:p>
        </w:tc>
        <w:tc>
          <w:tcPr>
            <w:tcW w:w="1720" w:type="dxa"/>
            <w:tcBorders>
              <w:top w:val="nil"/>
              <w:left w:val="nil"/>
              <w:bottom w:val="nil"/>
              <w:right w:val="nil"/>
            </w:tcBorders>
            <w:shd w:val="clear" w:color="auto" w:fill="auto"/>
            <w:noWrap/>
            <w:vAlign w:val="bottom"/>
            <w:hideMark/>
          </w:tcPr>
          <w:p w14:paraId="7D9D23AC"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7</w:t>
            </w:r>
          </w:p>
        </w:tc>
        <w:tc>
          <w:tcPr>
            <w:tcW w:w="1760" w:type="dxa"/>
            <w:tcBorders>
              <w:top w:val="nil"/>
              <w:left w:val="nil"/>
              <w:bottom w:val="nil"/>
              <w:right w:val="nil"/>
            </w:tcBorders>
            <w:shd w:val="clear" w:color="auto" w:fill="auto"/>
            <w:noWrap/>
            <w:vAlign w:val="bottom"/>
            <w:hideMark/>
          </w:tcPr>
          <w:p w14:paraId="106E7705"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70</w:t>
            </w:r>
          </w:p>
        </w:tc>
      </w:tr>
      <w:tr w:rsidR="00ED0855" w:rsidRPr="00ED0855" w14:paraId="13D4D0CB" w14:textId="77777777" w:rsidTr="00ED0855">
        <w:trPr>
          <w:trHeight w:val="300"/>
        </w:trPr>
        <w:tc>
          <w:tcPr>
            <w:tcW w:w="3820" w:type="dxa"/>
            <w:tcBorders>
              <w:top w:val="nil"/>
              <w:left w:val="nil"/>
              <w:bottom w:val="nil"/>
              <w:right w:val="nil"/>
            </w:tcBorders>
            <w:shd w:val="clear" w:color="auto" w:fill="auto"/>
            <w:noWrap/>
            <w:vAlign w:val="bottom"/>
            <w:hideMark/>
          </w:tcPr>
          <w:p w14:paraId="2F3B1B89"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Descompensación de patología</w:t>
            </w:r>
          </w:p>
        </w:tc>
        <w:tc>
          <w:tcPr>
            <w:tcW w:w="1720" w:type="dxa"/>
            <w:tcBorders>
              <w:top w:val="nil"/>
              <w:left w:val="nil"/>
              <w:bottom w:val="nil"/>
              <w:right w:val="nil"/>
            </w:tcBorders>
            <w:shd w:val="clear" w:color="auto" w:fill="auto"/>
            <w:noWrap/>
            <w:vAlign w:val="bottom"/>
            <w:hideMark/>
          </w:tcPr>
          <w:p w14:paraId="099C21ED"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45CE3BB1"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10</w:t>
            </w:r>
          </w:p>
        </w:tc>
      </w:tr>
      <w:tr w:rsidR="00ED0855" w:rsidRPr="00ED0855" w14:paraId="58BB6935" w14:textId="77777777" w:rsidTr="00ED0855">
        <w:trPr>
          <w:trHeight w:val="300"/>
        </w:trPr>
        <w:tc>
          <w:tcPr>
            <w:tcW w:w="3820" w:type="dxa"/>
            <w:tcBorders>
              <w:top w:val="nil"/>
              <w:left w:val="nil"/>
              <w:bottom w:val="nil"/>
              <w:right w:val="nil"/>
            </w:tcBorders>
            <w:shd w:val="clear" w:color="auto" w:fill="auto"/>
            <w:noWrap/>
            <w:vAlign w:val="bottom"/>
            <w:hideMark/>
          </w:tcPr>
          <w:p w14:paraId="665AA6E7"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EDA</w:t>
            </w:r>
          </w:p>
        </w:tc>
        <w:tc>
          <w:tcPr>
            <w:tcW w:w="1720" w:type="dxa"/>
            <w:tcBorders>
              <w:top w:val="nil"/>
              <w:left w:val="nil"/>
              <w:bottom w:val="nil"/>
              <w:right w:val="nil"/>
            </w:tcBorders>
            <w:shd w:val="clear" w:color="auto" w:fill="auto"/>
            <w:noWrap/>
            <w:vAlign w:val="bottom"/>
            <w:hideMark/>
          </w:tcPr>
          <w:p w14:paraId="3EC1DDBC"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2E644BC4"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20</w:t>
            </w:r>
          </w:p>
        </w:tc>
      </w:tr>
      <w:tr w:rsidR="00ED0855" w:rsidRPr="00ED0855" w14:paraId="6D27299D" w14:textId="77777777" w:rsidTr="00ED085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28BFE947"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65650628"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10</w:t>
            </w:r>
          </w:p>
        </w:tc>
        <w:tc>
          <w:tcPr>
            <w:tcW w:w="1760" w:type="dxa"/>
            <w:tcBorders>
              <w:top w:val="single" w:sz="4" w:space="0" w:color="auto"/>
              <w:left w:val="nil"/>
              <w:bottom w:val="double" w:sz="6" w:space="0" w:color="auto"/>
              <w:right w:val="nil"/>
            </w:tcBorders>
            <w:shd w:val="clear" w:color="auto" w:fill="auto"/>
            <w:vAlign w:val="center"/>
            <w:hideMark/>
          </w:tcPr>
          <w:p w14:paraId="6FAA23AA"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100</w:t>
            </w:r>
          </w:p>
        </w:tc>
      </w:tr>
      <w:tr w:rsidR="00ED0855" w:rsidRPr="00ED0855" w14:paraId="13C68978" w14:textId="77777777" w:rsidTr="00ED0855">
        <w:trPr>
          <w:trHeight w:val="300"/>
        </w:trPr>
        <w:tc>
          <w:tcPr>
            <w:tcW w:w="3820" w:type="dxa"/>
            <w:tcBorders>
              <w:top w:val="nil"/>
              <w:left w:val="nil"/>
              <w:bottom w:val="nil"/>
              <w:right w:val="nil"/>
            </w:tcBorders>
            <w:shd w:val="clear" w:color="auto" w:fill="auto"/>
            <w:noWrap/>
            <w:vAlign w:val="bottom"/>
            <w:hideMark/>
          </w:tcPr>
          <w:p w14:paraId="12746BCA"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r w:rsidRPr="00ED085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1757F2B0"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2405F64C" w14:textId="77777777" w:rsidR="00ED0855" w:rsidRPr="00ED0855" w:rsidRDefault="00ED0855" w:rsidP="00ED0855">
            <w:pPr>
              <w:spacing w:after="0" w:line="240" w:lineRule="auto"/>
              <w:rPr>
                <w:rFonts w:ascii="Times New Roman" w:eastAsia="Times New Roman" w:hAnsi="Times New Roman" w:cs="Times New Roman"/>
                <w:kern w:val="0"/>
                <w:sz w:val="20"/>
                <w:szCs w:val="20"/>
                <w:lang w:val="es-ES" w:eastAsia="es-ES"/>
              </w:rPr>
            </w:pPr>
          </w:p>
        </w:tc>
      </w:tr>
    </w:tbl>
    <w:p w14:paraId="16711D2E" w14:textId="77777777" w:rsidR="00ED0855" w:rsidRDefault="00ED0855" w:rsidP="000840C9">
      <w:pPr>
        <w:spacing w:after="0" w:line="360" w:lineRule="auto"/>
        <w:jc w:val="both"/>
        <w:rPr>
          <w:rFonts w:ascii="Times New Roman" w:hAnsi="Times New Roman" w:cs="Times New Roman"/>
          <w:sz w:val="24"/>
          <w:szCs w:val="24"/>
        </w:rPr>
      </w:pPr>
    </w:p>
    <w:p w14:paraId="3966F4EC" w14:textId="77777777" w:rsidR="000840C9" w:rsidRDefault="000840C9" w:rsidP="000840C9">
      <w:pPr>
        <w:spacing w:after="0" w:line="360" w:lineRule="auto"/>
        <w:jc w:val="both"/>
      </w:pPr>
      <w:r>
        <w:rPr>
          <w:rFonts w:ascii="Times New Roman" w:hAnsi="Times New Roman" w:cs="Times New Roman"/>
          <w:sz w:val="24"/>
          <w:szCs w:val="24"/>
          <w:lang w:val="es-MX"/>
        </w:rPr>
        <w:t xml:space="preserve">La utilización de la lactancia materna exclusiva en los pacientes en estudio fue del </w:t>
      </w:r>
      <w:r>
        <w:rPr>
          <w:rFonts w:ascii="Times New Roman" w:hAnsi="Times New Roman" w:cs="Times New Roman"/>
          <w:b/>
          <w:bCs/>
          <w:sz w:val="24"/>
          <w:szCs w:val="24"/>
          <w:lang w:val="es-MX"/>
        </w:rPr>
        <w:t xml:space="preserve">85% (33/39), </w:t>
      </w:r>
      <w:r>
        <w:rPr>
          <w:rFonts w:ascii="Times New Roman" w:hAnsi="Times New Roman" w:cs="Times New Roman"/>
          <w:sz w:val="24"/>
          <w:szCs w:val="24"/>
          <w:lang w:val="es-MX"/>
        </w:rPr>
        <w:t xml:space="preserve">así como la presencia de malformaciones congénitas fue del </w:t>
      </w:r>
      <w:r>
        <w:rPr>
          <w:rFonts w:ascii="Times New Roman" w:hAnsi="Times New Roman" w:cs="Times New Roman"/>
          <w:b/>
          <w:bCs/>
          <w:sz w:val="24"/>
          <w:szCs w:val="24"/>
          <w:lang w:val="es-MX"/>
        </w:rPr>
        <w:t>8% (3/39). Ver Tablas No 9 y 10.</w:t>
      </w:r>
    </w:p>
    <w:tbl>
      <w:tblPr>
        <w:tblW w:w="7300" w:type="dxa"/>
        <w:tblCellMar>
          <w:left w:w="70" w:type="dxa"/>
          <w:right w:w="70" w:type="dxa"/>
        </w:tblCellMar>
        <w:tblLook w:val="04A0" w:firstRow="1" w:lastRow="0" w:firstColumn="1" w:lastColumn="0" w:noHBand="0" w:noVBand="1"/>
      </w:tblPr>
      <w:tblGrid>
        <w:gridCol w:w="3820"/>
        <w:gridCol w:w="1720"/>
        <w:gridCol w:w="1760"/>
      </w:tblGrid>
      <w:tr w:rsidR="00ED0855" w:rsidRPr="00ED0855" w14:paraId="6013D273"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71FBB320"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Tabla No: 9</w:t>
            </w:r>
          </w:p>
        </w:tc>
      </w:tr>
      <w:tr w:rsidR="00ED0855" w:rsidRPr="00ED0855" w14:paraId="30DD479E"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737D817B"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Utilización de Lactancia en los niños en estudio</w:t>
            </w:r>
          </w:p>
        </w:tc>
      </w:tr>
      <w:tr w:rsidR="00ED0855" w:rsidRPr="00ED0855" w14:paraId="1450E515"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34113CA9"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Comportamiento Clínico de la IVU</w:t>
            </w:r>
          </w:p>
        </w:tc>
      </w:tr>
      <w:tr w:rsidR="00ED0855" w:rsidRPr="00ED0855" w14:paraId="51304465" w14:textId="77777777" w:rsidTr="00ED0855">
        <w:trPr>
          <w:trHeight w:val="300"/>
        </w:trPr>
        <w:tc>
          <w:tcPr>
            <w:tcW w:w="7300" w:type="dxa"/>
            <w:gridSpan w:val="3"/>
            <w:tcBorders>
              <w:top w:val="nil"/>
              <w:left w:val="nil"/>
              <w:bottom w:val="nil"/>
              <w:right w:val="nil"/>
            </w:tcBorders>
            <w:shd w:val="clear" w:color="auto" w:fill="auto"/>
            <w:vAlign w:val="bottom"/>
            <w:hideMark/>
          </w:tcPr>
          <w:p w14:paraId="7E710741"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Servicio de Pediatría del Hospital SERMESA Masaya</w:t>
            </w:r>
          </w:p>
        </w:tc>
      </w:tr>
      <w:tr w:rsidR="00ED0855" w:rsidRPr="00ED0855" w14:paraId="39349E6C" w14:textId="77777777" w:rsidTr="00ED0855">
        <w:trPr>
          <w:trHeight w:val="300"/>
        </w:trPr>
        <w:tc>
          <w:tcPr>
            <w:tcW w:w="7300" w:type="dxa"/>
            <w:gridSpan w:val="3"/>
            <w:tcBorders>
              <w:top w:val="nil"/>
              <w:left w:val="nil"/>
              <w:bottom w:val="single" w:sz="4" w:space="0" w:color="auto"/>
              <w:right w:val="nil"/>
            </w:tcBorders>
            <w:shd w:val="clear" w:color="auto" w:fill="auto"/>
            <w:vAlign w:val="bottom"/>
            <w:hideMark/>
          </w:tcPr>
          <w:p w14:paraId="43BCB33A"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enero a diciembre del año 2024</w:t>
            </w:r>
          </w:p>
        </w:tc>
      </w:tr>
      <w:tr w:rsidR="00ED0855" w:rsidRPr="00ED0855" w14:paraId="5780AB8B" w14:textId="77777777" w:rsidTr="00ED0855">
        <w:trPr>
          <w:trHeight w:val="300"/>
        </w:trPr>
        <w:tc>
          <w:tcPr>
            <w:tcW w:w="3820" w:type="dxa"/>
            <w:tcBorders>
              <w:top w:val="nil"/>
              <w:left w:val="nil"/>
              <w:bottom w:val="double" w:sz="6" w:space="0" w:color="auto"/>
              <w:right w:val="nil"/>
            </w:tcBorders>
            <w:shd w:val="clear" w:color="auto" w:fill="auto"/>
            <w:vAlign w:val="center"/>
            <w:hideMark/>
          </w:tcPr>
          <w:p w14:paraId="32AE73B8"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Lactancia Materna</w:t>
            </w:r>
          </w:p>
        </w:tc>
        <w:tc>
          <w:tcPr>
            <w:tcW w:w="1720" w:type="dxa"/>
            <w:tcBorders>
              <w:top w:val="nil"/>
              <w:left w:val="nil"/>
              <w:bottom w:val="double" w:sz="6" w:space="0" w:color="auto"/>
              <w:right w:val="nil"/>
            </w:tcBorders>
            <w:shd w:val="clear" w:color="auto" w:fill="auto"/>
            <w:noWrap/>
            <w:vAlign w:val="bottom"/>
            <w:hideMark/>
          </w:tcPr>
          <w:p w14:paraId="699A358E"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proofErr w:type="spellStart"/>
            <w:r w:rsidRPr="00ED085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5C056F03"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w:t>
            </w:r>
          </w:p>
        </w:tc>
      </w:tr>
      <w:tr w:rsidR="00ED0855" w:rsidRPr="00ED0855" w14:paraId="18D20833" w14:textId="77777777" w:rsidTr="00ED0855">
        <w:trPr>
          <w:trHeight w:val="300"/>
        </w:trPr>
        <w:tc>
          <w:tcPr>
            <w:tcW w:w="3820" w:type="dxa"/>
            <w:tcBorders>
              <w:top w:val="nil"/>
              <w:left w:val="nil"/>
              <w:bottom w:val="nil"/>
              <w:right w:val="nil"/>
            </w:tcBorders>
            <w:shd w:val="clear" w:color="auto" w:fill="auto"/>
            <w:noWrap/>
            <w:vAlign w:val="bottom"/>
            <w:hideMark/>
          </w:tcPr>
          <w:p w14:paraId="7E41CB15"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3D18F1CB"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33</w:t>
            </w:r>
          </w:p>
        </w:tc>
        <w:tc>
          <w:tcPr>
            <w:tcW w:w="1760" w:type="dxa"/>
            <w:tcBorders>
              <w:top w:val="nil"/>
              <w:left w:val="nil"/>
              <w:bottom w:val="nil"/>
              <w:right w:val="nil"/>
            </w:tcBorders>
            <w:shd w:val="clear" w:color="auto" w:fill="auto"/>
            <w:noWrap/>
            <w:vAlign w:val="bottom"/>
            <w:hideMark/>
          </w:tcPr>
          <w:p w14:paraId="0100DAAE"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85</w:t>
            </w:r>
          </w:p>
        </w:tc>
      </w:tr>
      <w:tr w:rsidR="00ED0855" w:rsidRPr="00ED0855" w14:paraId="48145A33" w14:textId="77777777" w:rsidTr="00ED0855">
        <w:trPr>
          <w:trHeight w:val="300"/>
        </w:trPr>
        <w:tc>
          <w:tcPr>
            <w:tcW w:w="3820" w:type="dxa"/>
            <w:tcBorders>
              <w:top w:val="nil"/>
              <w:left w:val="nil"/>
              <w:bottom w:val="nil"/>
              <w:right w:val="nil"/>
            </w:tcBorders>
            <w:shd w:val="clear" w:color="auto" w:fill="auto"/>
            <w:noWrap/>
            <w:vAlign w:val="bottom"/>
            <w:hideMark/>
          </w:tcPr>
          <w:p w14:paraId="4C914ED7"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7D8A69ED"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6</w:t>
            </w:r>
          </w:p>
        </w:tc>
        <w:tc>
          <w:tcPr>
            <w:tcW w:w="1760" w:type="dxa"/>
            <w:tcBorders>
              <w:top w:val="nil"/>
              <w:left w:val="nil"/>
              <w:bottom w:val="nil"/>
              <w:right w:val="nil"/>
            </w:tcBorders>
            <w:shd w:val="clear" w:color="auto" w:fill="auto"/>
            <w:noWrap/>
            <w:vAlign w:val="bottom"/>
            <w:hideMark/>
          </w:tcPr>
          <w:p w14:paraId="420EAD1F"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15</w:t>
            </w:r>
          </w:p>
        </w:tc>
      </w:tr>
      <w:tr w:rsidR="00ED0855" w:rsidRPr="00ED0855" w14:paraId="623A4041" w14:textId="77777777" w:rsidTr="00ED085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FD52B7F"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3FF2803A"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552E09C9"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100</w:t>
            </w:r>
          </w:p>
        </w:tc>
      </w:tr>
      <w:tr w:rsidR="00ED0855" w:rsidRPr="00ED0855" w14:paraId="5E621EFC" w14:textId="77777777" w:rsidTr="00ED0855">
        <w:trPr>
          <w:trHeight w:val="300"/>
        </w:trPr>
        <w:tc>
          <w:tcPr>
            <w:tcW w:w="3820" w:type="dxa"/>
            <w:tcBorders>
              <w:top w:val="nil"/>
              <w:left w:val="nil"/>
              <w:bottom w:val="nil"/>
              <w:right w:val="nil"/>
            </w:tcBorders>
            <w:shd w:val="clear" w:color="auto" w:fill="auto"/>
            <w:noWrap/>
            <w:vAlign w:val="bottom"/>
            <w:hideMark/>
          </w:tcPr>
          <w:p w14:paraId="6FBFEE74"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r w:rsidRPr="00ED085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312BC71C"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77825775" w14:textId="77777777" w:rsidR="00ED0855" w:rsidRPr="00ED0855" w:rsidRDefault="00ED0855" w:rsidP="00ED0855">
            <w:pPr>
              <w:spacing w:after="0" w:line="240" w:lineRule="auto"/>
              <w:rPr>
                <w:rFonts w:ascii="Times New Roman" w:eastAsia="Times New Roman" w:hAnsi="Times New Roman" w:cs="Times New Roman"/>
                <w:kern w:val="0"/>
                <w:sz w:val="20"/>
                <w:szCs w:val="20"/>
                <w:lang w:val="es-ES" w:eastAsia="es-ES"/>
              </w:rPr>
            </w:pPr>
          </w:p>
        </w:tc>
      </w:tr>
    </w:tbl>
    <w:p w14:paraId="5FB2A3B8" w14:textId="77777777" w:rsidR="000840C9" w:rsidRDefault="000840C9" w:rsidP="000840C9">
      <w:pPr>
        <w:spacing w:after="0" w:line="360" w:lineRule="auto"/>
        <w:jc w:val="both"/>
      </w:pPr>
    </w:p>
    <w:tbl>
      <w:tblPr>
        <w:tblW w:w="7300" w:type="dxa"/>
        <w:tblCellMar>
          <w:left w:w="70" w:type="dxa"/>
          <w:right w:w="70" w:type="dxa"/>
        </w:tblCellMar>
        <w:tblLook w:val="04A0" w:firstRow="1" w:lastRow="0" w:firstColumn="1" w:lastColumn="0" w:noHBand="0" w:noVBand="1"/>
      </w:tblPr>
      <w:tblGrid>
        <w:gridCol w:w="3820"/>
        <w:gridCol w:w="1720"/>
        <w:gridCol w:w="1760"/>
      </w:tblGrid>
      <w:tr w:rsidR="00ED0855" w:rsidRPr="00ED0855" w14:paraId="1B52D73F"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2D406AED"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lastRenderedPageBreak/>
              <w:t>Tabla No: 10</w:t>
            </w:r>
          </w:p>
        </w:tc>
      </w:tr>
      <w:tr w:rsidR="00ED0855" w:rsidRPr="00ED0855" w14:paraId="456294FF"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54185ADC"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Malformaciones de los niños en estudio</w:t>
            </w:r>
          </w:p>
        </w:tc>
      </w:tr>
      <w:tr w:rsidR="00ED0855" w:rsidRPr="00ED0855" w14:paraId="3C351AD5" w14:textId="77777777" w:rsidTr="00ED0855">
        <w:trPr>
          <w:trHeight w:val="315"/>
        </w:trPr>
        <w:tc>
          <w:tcPr>
            <w:tcW w:w="7300" w:type="dxa"/>
            <w:gridSpan w:val="3"/>
            <w:tcBorders>
              <w:top w:val="nil"/>
              <w:left w:val="nil"/>
              <w:bottom w:val="nil"/>
              <w:right w:val="nil"/>
            </w:tcBorders>
            <w:shd w:val="clear" w:color="auto" w:fill="auto"/>
            <w:noWrap/>
            <w:vAlign w:val="bottom"/>
            <w:hideMark/>
          </w:tcPr>
          <w:p w14:paraId="71FAC3C4"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Comportamiento Clínico de la IVU</w:t>
            </w:r>
          </w:p>
        </w:tc>
      </w:tr>
      <w:tr w:rsidR="00ED0855" w:rsidRPr="00ED0855" w14:paraId="7F29B4A2" w14:textId="77777777" w:rsidTr="00ED0855">
        <w:trPr>
          <w:trHeight w:val="300"/>
        </w:trPr>
        <w:tc>
          <w:tcPr>
            <w:tcW w:w="7300" w:type="dxa"/>
            <w:gridSpan w:val="3"/>
            <w:tcBorders>
              <w:top w:val="nil"/>
              <w:left w:val="nil"/>
              <w:bottom w:val="nil"/>
              <w:right w:val="nil"/>
            </w:tcBorders>
            <w:shd w:val="clear" w:color="auto" w:fill="auto"/>
            <w:vAlign w:val="bottom"/>
            <w:hideMark/>
          </w:tcPr>
          <w:p w14:paraId="5C53351E"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Servicio de Pediatría del Hospital SERMESA Masaya</w:t>
            </w:r>
          </w:p>
        </w:tc>
      </w:tr>
      <w:tr w:rsidR="00ED0855" w:rsidRPr="00ED0855" w14:paraId="6DC04A17" w14:textId="77777777" w:rsidTr="00ED0855">
        <w:trPr>
          <w:trHeight w:val="300"/>
        </w:trPr>
        <w:tc>
          <w:tcPr>
            <w:tcW w:w="7300" w:type="dxa"/>
            <w:gridSpan w:val="3"/>
            <w:tcBorders>
              <w:top w:val="nil"/>
              <w:left w:val="nil"/>
              <w:bottom w:val="single" w:sz="4" w:space="0" w:color="auto"/>
              <w:right w:val="nil"/>
            </w:tcBorders>
            <w:shd w:val="clear" w:color="auto" w:fill="auto"/>
            <w:vAlign w:val="bottom"/>
            <w:hideMark/>
          </w:tcPr>
          <w:p w14:paraId="7E03AAE7" w14:textId="77777777" w:rsidR="00ED0855" w:rsidRPr="00ED0855" w:rsidRDefault="00ED0855" w:rsidP="00ED0855">
            <w:pPr>
              <w:spacing w:after="0" w:line="240" w:lineRule="auto"/>
              <w:jc w:val="center"/>
              <w:rPr>
                <w:rFonts w:ascii="Times New Roman" w:eastAsia="Times New Roman" w:hAnsi="Times New Roman" w:cs="Times New Roman"/>
                <w:b/>
                <w:bCs/>
                <w:i/>
                <w:iCs/>
                <w:kern w:val="0"/>
                <w:sz w:val="24"/>
                <w:szCs w:val="24"/>
                <w:lang w:val="es-ES" w:eastAsia="es-ES"/>
              </w:rPr>
            </w:pPr>
            <w:r w:rsidRPr="00ED0855">
              <w:rPr>
                <w:rFonts w:ascii="Times New Roman" w:eastAsia="Times New Roman" w:hAnsi="Times New Roman" w:cs="Times New Roman"/>
                <w:b/>
                <w:bCs/>
                <w:i/>
                <w:iCs/>
                <w:kern w:val="0"/>
                <w:sz w:val="24"/>
                <w:szCs w:val="24"/>
                <w:lang w:val="es-ES" w:eastAsia="es-ES"/>
              </w:rPr>
              <w:t>enero a diciembre del año 2024</w:t>
            </w:r>
          </w:p>
        </w:tc>
      </w:tr>
      <w:tr w:rsidR="00ED0855" w:rsidRPr="00ED0855" w14:paraId="714AA49D" w14:textId="77777777" w:rsidTr="00ED0855">
        <w:trPr>
          <w:trHeight w:val="300"/>
        </w:trPr>
        <w:tc>
          <w:tcPr>
            <w:tcW w:w="3820" w:type="dxa"/>
            <w:tcBorders>
              <w:top w:val="nil"/>
              <w:left w:val="nil"/>
              <w:bottom w:val="double" w:sz="6" w:space="0" w:color="auto"/>
              <w:right w:val="nil"/>
            </w:tcBorders>
            <w:shd w:val="clear" w:color="auto" w:fill="auto"/>
            <w:vAlign w:val="center"/>
            <w:hideMark/>
          </w:tcPr>
          <w:p w14:paraId="04E73D09"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Malformaciones</w:t>
            </w:r>
          </w:p>
        </w:tc>
        <w:tc>
          <w:tcPr>
            <w:tcW w:w="1720" w:type="dxa"/>
            <w:tcBorders>
              <w:top w:val="nil"/>
              <w:left w:val="nil"/>
              <w:bottom w:val="double" w:sz="6" w:space="0" w:color="auto"/>
              <w:right w:val="nil"/>
            </w:tcBorders>
            <w:shd w:val="clear" w:color="auto" w:fill="auto"/>
            <w:noWrap/>
            <w:vAlign w:val="bottom"/>
            <w:hideMark/>
          </w:tcPr>
          <w:p w14:paraId="361D2C4E"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proofErr w:type="spellStart"/>
            <w:r w:rsidRPr="00ED0855">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1839825B"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w:t>
            </w:r>
          </w:p>
        </w:tc>
      </w:tr>
      <w:tr w:rsidR="00ED0855" w:rsidRPr="00ED0855" w14:paraId="18E9B838" w14:textId="77777777" w:rsidTr="00ED0855">
        <w:trPr>
          <w:trHeight w:val="300"/>
        </w:trPr>
        <w:tc>
          <w:tcPr>
            <w:tcW w:w="3820" w:type="dxa"/>
            <w:tcBorders>
              <w:top w:val="nil"/>
              <w:left w:val="nil"/>
              <w:bottom w:val="nil"/>
              <w:right w:val="nil"/>
            </w:tcBorders>
            <w:shd w:val="clear" w:color="auto" w:fill="auto"/>
            <w:noWrap/>
            <w:vAlign w:val="bottom"/>
            <w:hideMark/>
          </w:tcPr>
          <w:p w14:paraId="579A06C8"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4B03084A"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4E61CC5C"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8</w:t>
            </w:r>
          </w:p>
        </w:tc>
      </w:tr>
      <w:tr w:rsidR="00ED0855" w:rsidRPr="00ED0855" w14:paraId="65EE54DC" w14:textId="77777777" w:rsidTr="00ED0855">
        <w:trPr>
          <w:trHeight w:val="300"/>
        </w:trPr>
        <w:tc>
          <w:tcPr>
            <w:tcW w:w="3820" w:type="dxa"/>
            <w:tcBorders>
              <w:top w:val="nil"/>
              <w:left w:val="nil"/>
              <w:bottom w:val="nil"/>
              <w:right w:val="nil"/>
            </w:tcBorders>
            <w:shd w:val="clear" w:color="auto" w:fill="auto"/>
            <w:noWrap/>
            <w:vAlign w:val="bottom"/>
            <w:hideMark/>
          </w:tcPr>
          <w:p w14:paraId="594D0B2B" w14:textId="77777777" w:rsidR="00ED0855" w:rsidRPr="00ED0855" w:rsidRDefault="00ED0855" w:rsidP="00ED0855">
            <w:pPr>
              <w:spacing w:after="0" w:line="240" w:lineRule="auto"/>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7BB24DC1"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36</w:t>
            </w:r>
          </w:p>
        </w:tc>
        <w:tc>
          <w:tcPr>
            <w:tcW w:w="1760" w:type="dxa"/>
            <w:tcBorders>
              <w:top w:val="nil"/>
              <w:left w:val="nil"/>
              <w:bottom w:val="nil"/>
              <w:right w:val="nil"/>
            </w:tcBorders>
            <w:shd w:val="clear" w:color="auto" w:fill="auto"/>
            <w:noWrap/>
            <w:vAlign w:val="bottom"/>
            <w:hideMark/>
          </w:tcPr>
          <w:p w14:paraId="025DDCDA" w14:textId="77777777" w:rsidR="00ED0855" w:rsidRPr="00ED0855" w:rsidRDefault="00ED0855" w:rsidP="00ED0855">
            <w:pPr>
              <w:spacing w:after="0" w:line="240" w:lineRule="auto"/>
              <w:jc w:val="center"/>
              <w:rPr>
                <w:rFonts w:ascii="Times New Roman" w:eastAsia="Times New Roman" w:hAnsi="Times New Roman" w:cs="Times New Roman"/>
                <w:kern w:val="0"/>
                <w:lang w:val="es-ES" w:eastAsia="es-ES"/>
              </w:rPr>
            </w:pPr>
            <w:r w:rsidRPr="00ED0855">
              <w:rPr>
                <w:rFonts w:ascii="Times New Roman" w:eastAsia="Times New Roman" w:hAnsi="Times New Roman" w:cs="Times New Roman"/>
                <w:kern w:val="0"/>
                <w:lang w:val="es-ES" w:eastAsia="es-ES"/>
              </w:rPr>
              <w:t>92</w:t>
            </w:r>
          </w:p>
        </w:tc>
      </w:tr>
      <w:tr w:rsidR="00ED0855" w:rsidRPr="00ED0855" w14:paraId="474DF6BD" w14:textId="77777777" w:rsidTr="00ED0855">
        <w:trPr>
          <w:trHeight w:val="300"/>
        </w:trPr>
        <w:tc>
          <w:tcPr>
            <w:tcW w:w="3820" w:type="dxa"/>
            <w:tcBorders>
              <w:top w:val="single" w:sz="4" w:space="0" w:color="auto"/>
              <w:left w:val="nil"/>
              <w:bottom w:val="double" w:sz="6" w:space="0" w:color="auto"/>
              <w:right w:val="nil"/>
            </w:tcBorders>
            <w:shd w:val="clear" w:color="auto" w:fill="auto"/>
            <w:vAlign w:val="center"/>
            <w:hideMark/>
          </w:tcPr>
          <w:p w14:paraId="033A6893"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72CA820D"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5DEC24D5" w14:textId="77777777" w:rsidR="00ED0855" w:rsidRPr="00ED0855" w:rsidRDefault="00ED0855" w:rsidP="00ED0855">
            <w:pPr>
              <w:spacing w:after="0" w:line="240" w:lineRule="auto"/>
              <w:jc w:val="center"/>
              <w:rPr>
                <w:rFonts w:ascii="Times New Roman" w:eastAsia="Times New Roman" w:hAnsi="Times New Roman" w:cs="Times New Roman"/>
                <w:b/>
                <w:bCs/>
                <w:i/>
                <w:iCs/>
                <w:kern w:val="0"/>
                <w:lang w:val="es-ES" w:eastAsia="es-ES"/>
              </w:rPr>
            </w:pPr>
            <w:r w:rsidRPr="00ED0855">
              <w:rPr>
                <w:rFonts w:ascii="Times New Roman" w:eastAsia="Times New Roman" w:hAnsi="Times New Roman" w:cs="Times New Roman"/>
                <w:b/>
                <w:bCs/>
                <w:i/>
                <w:iCs/>
                <w:kern w:val="0"/>
                <w:lang w:val="es-ES" w:eastAsia="es-ES"/>
              </w:rPr>
              <w:t>100</w:t>
            </w:r>
          </w:p>
        </w:tc>
      </w:tr>
      <w:tr w:rsidR="00ED0855" w:rsidRPr="00ED0855" w14:paraId="5FD3A4CD" w14:textId="77777777" w:rsidTr="00ED0855">
        <w:trPr>
          <w:trHeight w:val="300"/>
        </w:trPr>
        <w:tc>
          <w:tcPr>
            <w:tcW w:w="3820" w:type="dxa"/>
            <w:tcBorders>
              <w:top w:val="nil"/>
              <w:left w:val="nil"/>
              <w:bottom w:val="nil"/>
              <w:right w:val="nil"/>
            </w:tcBorders>
            <w:shd w:val="clear" w:color="auto" w:fill="auto"/>
            <w:noWrap/>
            <w:vAlign w:val="bottom"/>
            <w:hideMark/>
          </w:tcPr>
          <w:p w14:paraId="14FF9810"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r w:rsidRPr="00ED0855">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2C796AC4" w14:textId="77777777" w:rsidR="00ED0855" w:rsidRPr="00ED0855" w:rsidRDefault="00ED0855" w:rsidP="00ED0855">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4901A995" w14:textId="77777777" w:rsidR="00ED0855" w:rsidRPr="00ED0855" w:rsidRDefault="00ED0855" w:rsidP="00ED0855">
            <w:pPr>
              <w:spacing w:after="0" w:line="240" w:lineRule="auto"/>
              <w:rPr>
                <w:rFonts w:ascii="Times New Roman" w:eastAsia="Times New Roman" w:hAnsi="Times New Roman" w:cs="Times New Roman"/>
                <w:kern w:val="0"/>
                <w:sz w:val="20"/>
                <w:szCs w:val="20"/>
                <w:lang w:val="es-ES" w:eastAsia="es-ES"/>
              </w:rPr>
            </w:pPr>
          </w:p>
        </w:tc>
      </w:tr>
    </w:tbl>
    <w:p w14:paraId="51697CAC" w14:textId="77777777" w:rsidR="00ED0855" w:rsidRDefault="00ED0855" w:rsidP="000840C9">
      <w:pPr>
        <w:spacing w:after="0" w:line="360" w:lineRule="auto"/>
        <w:jc w:val="both"/>
      </w:pPr>
    </w:p>
    <w:p w14:paraId="40ABF173" w14:textId="77777777" w:rsidR="005839FD" w:rsidRDefault="005839FD" w:rsidP="00752FF8">
      <w:pPr>
        <w:spacing w:after="0" w:line="360" w:lineRule="auto"/>
        <w:jc w:val="both"/>
        <w:rPr>
          <w:rFonts w:ascii="Times New Roman" w:hAnsi="Times New Roman" w:cs="Times New Roman"/>
          <w:b/>
          <w:bCs/>
          <w:sz w:val="24"/>
          <w:szCs w:val="24"/>
          <w:lang w:val="es-MX"/>
        </w:rPr>
      </w:pPr>
    </w:p>
    <w:p w14:paraId="5E6A1DC6" w14:textId="58514409" w:rsidR="00752FF8" w:rsidRDefault="00752FF8" w:rsidP="00752FF8">
      <w:pPr>
        <w:spacing w:after="0" w:line="360" w:lineRule="auto"/>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2.- Características clínicas y manejo de los pacientes pediátricos en estudio.</w:t>
      </w:r>
    </w:p>
    <w:p w14:paraId="28050E9F" w14:textId="77777777" w:rsidR="00752FF8" w:rsidRDefault="00752FF8" w:rsidP="00752FF8">
      <w:pPr>
        <w:spacing w:after="0" w:line="360" w:lineRule="auto"/>
        <w:jc w:val="both"/>
        <w:rPr>
          <w:rFonts w:ascii="Times New Roman" w:hAnsi="Times New Roman" w:cs="Times New Roman"/>
          <w:b/>
          <w:bCs/>
          <w:color w:val="EE0000"/>
          <w:sz w:val="24"/>
          <w:szCs w:val="24"/>
          <w:lang w:val="es-MX"/>
        </w:rPr>
      </w:pPr>
      <w:r>
        <w:rPr>
          <w:rFonts w:ascii="Times New Roman" w:hAnsi="Times New Roman" w:cs="Times New Roman"/>
          <w:sz w:val="24"/>
          <w:szCs w:val="24"/>
          <w:lang w:val="es-MX"/>
        </w:rPr>
        <w:t xml:space="preserve">El diagnostico de IVU en los ingresos hospitalarios, fueron encontrados de diversas maneras, siendo solamente IVU, sepsis urinaria o bacteriuria en el </w:t>
      </w:r>
      <w:r>
        <w:rPr>
          <w:rFonts w:ascii="Times New Roman" w:hAnsi="Times New Roman" w:cs="Times New Roman"/>
          <w:b/>
          <w:bCs/>
          <w:sz w:val="24"/>
          <w:szCs w:val="24"/>
          <w:lang w:val="es-MX"/>
        </w:rPr>
        <w:t xml:space="preserve">87% (n=34/39), </w:t>
      </w:r>
      <w:r>
        <w:rPr>
          <w:rFonts w:ascii="Times New Roman" w:hAnsi="Times New Roman" w:cs="Times New Roman"/>
          <w:sz w:val="24"/>
          <w:szCs w:val="24"/>
          <w:lang w:val="es-MX"/>
        </w:rPr>
        <w:t xml:space="preserve">con diagnóstico de IVU y neumonía muy grave se presentó en el </w:t>
      </w:r>
      <w:r>
        <w:rPr>
          <w:rFonts w:ascii="Times New Roman" w:hAnsi="Times New Roman" w:cs="Times New Roman"/>
          <w:b/>
          <w:bCs/>
          <w:sz w:val="24"/>
          <w:szCs w:val="24"/>
          <w:lang w:val="es-MX"/>
        </w:rPr>
        <w:t xml:space="preserve">8% (3/39), </w:t>
      </w:r>
      <w:r>
        <w:rPr>
          <w:rFonts w:ascii="Times New Roman" w:hAnsi="Times New Roman" w:cs="Times New Roman"/>
          <w:sz w:val="24"/>
          <w:szCs w:val="24"/>
          <w:lang w:val="es-MX"/>
        </w:rPr>
        <w:t xml:space="preserve">así como la con acidosis metabólica y CSDSSA con 1 caso </w:t>
      </w:r>
      <w:r>
        <w:rPr>
          <w:rFonts w:ascii="Times New Roman" w:hAnsi="Times New Roman" w:cs="Times New Roman"/>
          <w:b/>
          <w:bCs/>
          <w:sz w:val="24"/>
          <w:szCs w:val="24"/>
          <w:lang w:val="es-MX"/>
        </w:rPr>
        <w:t>(3% 1/39). Ver Tablas No 11</w:t>
      </w:r>
      <w:r>
        <w:rPr>
          <w:rFonts w:ascii="Times New Roman" w:hAnsi="Times New Roman" w:cs="Times New Roman"/>
          <w:b/>
          <w:bCs/>
          <w:color w:val="EE0000"/>
          <w:sz w:val="24"/>
          <w:szCs w:val="24"/>
          <w:lang w:val="es-MX"/>
        </w:rPr>
        <w:t>.</w:t>
      </w:r>
    </w:p>
    <w:p w14:paraId="7245C2C4" w14:textId="77777777" w:rsidR="005839FD" w:rsidRDefault="005839FD" w:rsidP="00752FF8">
      <w:pPr>
        <w:spacing w:after="0" w:line="360" w:lineRule="auto"/>
        <w:jc w:val="both"/>
        <w:rPr>
          <w:rFonts w:ascii="Times New Roman" w:hAnsi="Times New Roman" w:cs="Times New Roman"/>
          <w:b/>
          <w:bCs/>
          <w:color w:val="EE0000"/>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4286A131"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3ED312D7"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11</w:t>
            </w:r>
          </w:p>
        </w:tc>
      </w:tr>
      <w:tr w:rsidR="005839FD" w:rsidRPr="005839FD" w14:paraId="2D759C3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41E29B8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Diagnósticos de Ingreso de los niños en estudio</w:t>
            </w:r>
          </w:p>
        </w:tc>
      </w:tr>
      <w:tr w:rsidR="005839FD" w:rsidRPr="005839FD" w14:paraId="1032E11A"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3F74586"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0E136DB2" w14:textId="77777777" w:rsidTr="005839FD">
        <w:trPr>
          <w:trHeight w:val="300"/>
        </w:trPr>
        <w:tc>
          <w:tcPr>
            <w:tcW w:w="7300" w:type="dxa"/>
            <w:gridSpan w:val="3"/>
            <w:tcBorders>
              <w:top w:val="nil"/>
              <w:left w:val="nil"/>
              <w:bottom w:val="nil"/>
              <w:right w:val="nil"/>
            </w:tcBorders>
            <w:shd w:val="clear" w:color="auto" w:fill="auto"/>
            <w:vAlign w:val="bottom"/>
            <w:hideMark/>
          </w:tcPr>
          <w:p w14:paraId="0AF25780"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06CFDD79"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1A63EEE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72A11D05"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6F70131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Diagnósticos</w:t>
            </w:r>
          </w:p>
        </w:tc>
        <w:tc>
          <w:tcPr>
            <w:tcW w:w="1720" w:type="dxa"/>
            <w:tcBorders>
              <w:top w:val="nil"/>
              <w:left w:val="nil"/>
              <w:bottom w:val="double" w:sz="6" w:space="0" w:color="auto"/>
              <w:right w:val="nil"/>
            </w:tcBorders>
            <w:shd w:val="clear" w:color="auto" w:fill="auto"/>
            <w:noWrap/>
            <w:vAlign w:val="bottom"/>
            <w:hideMark/>
          </w:tcPr>
          <w:p w14:paraId="399A4D8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6F9CEF9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0D0D3B54" w14:textId="77777777" w:rsidTr="005839FD">
        <w:trPr>
          <w:trHeight w:val="300"/>
        </w:trPr>
        <w:tc>
          <w:tcPr>
            <w:tcW w:w="3820" w:type="dxa"/>
            <w:tcBorders>
              <w:top w:val="nil"/>
              <w:left w:val="nil"/>
              <w:bottom w:val="nil"/>
              <w:right w:val="nil"/>
            </w:tcBorders>
            <w:shd w:val="clear" w:color="auto" w:fill="auto"/>
            <w:noWrap/>
            <w:vAlign w:val="bottom"/>
            <w:hideMark/>
          </w:tcPr>
          <w:p w14:paraId="29E331A5"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IVU / Sepsis urinaria / Bacteriuria</w:t>
            </w:r>
          </w:p>
        </w:tc>
        <w:tc>
          <w:tcPr>
            <w:tcW w:w="1720" w:type="dxa"/>
            <w:tcBorders>
              <w:top w:val="nil"/>
              <w:left w:val="nil"/>
              <w:bottom w:val="nil"/>
              <w:right w:val="nil"/>
            </w:tcBorders>
            <w:shd w:val="clear" w:color="auto" w:fill="auto"/>
            <w:noWrap/>
            <w:vAlign w:val="bottom"/>
            <w:hideMark/>
          </w:tcPr>
          <w:p w14:paraId="0BF43EE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34</w:t>
            </w:r>
          </w:p>
        </w:tc>
        <w:tc>
          <w:tcPr>
            <w:tcW w:w="1760" w:type="dxa"/>
            <w:tcBorders>
              <w:top w:val="nil"/>
              <w:left w:val="nil"/>
              <w:bottom w:val="nil"/>
              <w:right w:val="nil"/>
            </w:tcBorders>
            <w:shd w:val="clear" w:color="auto" w:fill="auto"/>
            <w:noWrap/>
            <w:vAlign w:val="bottom"/>
            <w:hideMark/>
          </w:tcPr>
          <w:p w14:paraId="341E64C9"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87</w:t>
            </w:r>
          </w:p>
        </w:tc>
      </w:tr>
      <w:tr w:rsidR="005839FD" w:rsidRPr="005839FD" w14:paraId="3C97B5F6" w14:textId="77777777" w:rsidTr="005839FD">
        <w:trPr>
          <w:trHeight w:val="300"/>
        </w:trPr>
        <w:tc>
          <w:tcPr>
            <w:tcW w:w="3820" w:type="dxa"/>
            <w:tcBorders>
              <w:top w:val="nil"/>
              <w:left w:val="nil"/>
              <w:bottom w:val="nil"/>
              <w:right w:val="nil"/>
            </w:tcBorders>
            <w:shd w:val="clear" w:color="auto" w:fill="auto"/>
            <w:noWrap/>
            <w:vAlign w:val="bottom"/>
            <w:hideMark/>
          </w:tcPr>
          <w:p w14:paraId="4FA9C3DB"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IVU + CSDSSA</w:t>
            </w:r>
          </w:p>
        </w:tc>
        <w:tc>
          <w:tcPr>
            <w:tcW w:w="1720" w:type="dxa"/>
            <w:tcBorders>
              <w:top w:val="nil"/>
              <w:left w:val="nil"/>
              <w:bottom w:val="nil"/>
              <w:right w:val="nil"/>
            </w:tcBorders>
            <w:shd w:val="clear" w:color="auto" w:fill="auto"/>
            <w:noWrap/>
            <w:vAlign w:val="bottom"/>
            <w:hideMark/>
          </w:tcPr>
          <w:p w14:paraId="3ECB8732"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210E4C74"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r>
      <w:tr w:rsidR="005839FD" w:rsidRPr="005839FD" w14:paraId="73D3AE3D" w14:textId="77777777" w:rsidTr="005839FD">
        <w:trPr>
          <w:trHeight w:val="300"/>
        </w:trPr>
        <w:tc>
          <w:tcPr>
            <w:tcW w:w="3820" w:type="dxa"/>
            <w:tcBorders>
              <w:top w:val="nil"/>
              <w:left w:val="nil"/>
              <w:bottom w:val="nil"/>
              <w:right w:val="nil"/>
            </w:tcBorders>
            <w:shd w:val="clear" w:color="auto" w:fill="auto"/>
            <w:noWrap/>
            <w:vAlign w:val="bottom"/>
            <w:hideMark/>
          </w:tcPr>
          <w:p w14:paraId="232C8492"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 xml:space="preserve">IVU + Acidosis Metabólica + </w:t>
            </w:r>
            <w:proofErr w:type="spellStart"/>
            <w:r w:rsidRPr="005839FD">
              <w:rPr>
                <w:rFonts w:ascii="Times New Roman" w:eastAsia="Times New Roman" w:hAnsi="Times New Roman" w:cs="Times New Roman"/>
                <w:kern w:val="0"/>
                <w:lang w:val="es-ES" w:eastAsia="es-ES"/>
              </w:rPr>
              <w:t>HiperK</w:t>
            </w:r>
            <w:proofErr w:type="spellEnd"/>
          </w:p>
        </w:tc>
        <w:tc>
          <w:tcPr>
            <w:tcW w:w="1720" w:type="dxa"/>
            <w:tcBorders>
              <w:top w:val="nil"/>
              <w:left w:val="nil"/>
              <w:bottom w:val="nil"/>
              <w:right w:val="nil"/>
            </w:tcBorders>
            <w:shd w:val="clear" w:color="auto" w:fill="auto"/>
            <w:noWrap/>
            <w:vAlign w:val="bottom"/>
            <w:hideMark/>
          </w:tcPr>
          <w:p w14:paraId="7DE6A59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146B4F7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r>
      <w:tr w:rsidR="005839FD" w:rsidRPr="005839FD" w14:paraId="58175B95" w14:textId="77777777" w:rsidTr="005839FD">
        <w:trPr>
          <w:trHeight w:val="300"/>
        </w:trPr>
        <w:tc>
          <w:tcPr>
            <w:tcW w:w="3820" w:type="dxa"/>
            <w:tcBorders>
              <w:top w:val="nil"/>
              <w:left w:val="nil"/>
              <w:bottom w:val="nil"/>
              <w:right w:val="nil"/>
            </w:tcBorders>
            <w:shd w:val="clear" w:color="auto" w:fill="auto"/>
            <w:noWrap/>
            <w:vAlign w:val="bottom"/>
            <w:hideMark/>
          </w:tcPr>
          <w:p w14:paraId="1AD05498"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IVU + Neumonía muy grave</w:t>
            </w:r>
          </w:p>
        </w:tc>
        <w:tc>
          <w:tcPr>
            <w:tcW w:w="1720" w:type="dxa"/>
            <w:tcBorders>
              <w:top w:val="nil"/>
              <w:left w:val="nil"/>
              <w:bottom w:val="nil"/>
              <w:right w:val="nil"/>
            </w:tcBorders>
            <w:shd w:val="clear" w:color="auto" w:fill="auto"/>
            <w:noWrap/>
            <w:vAlign w:val="bottom"/>
            <w:hideMark/>
          </w:tcPr>
          <w:p w14:paraId="454A1D9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475D0F0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w:t>
            </w:r>
          </w:p>
        </w:tc>
      </w:tr>
      <w:tr w:rsidR="005839FD" w:rsidRPr="005839FD" w14:paraId="4EDCC744"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1321589F"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0151780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2D772540"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1631D88F" w14:textId="77777777" w:rsidTr="005839FD">
        <w:trPr>
          <w:trHeight w:val="300"/>
        </w:trPr>
        <w:tc>
          <w:tcPr>
            <w:tcW w:w="3820" w:type="dxa"/>
            <w:tcBorders>
              <w:top w:val="nil"/>
              <w:left w:val="nil"/>
              <w:bottom w:val="nil"/>
              <w:right w:val="nil"/>
            </w:tcBorders>
            <w:shd w:val="clear" w:color="auto" w:fill="auto"/>
            <w:noWrap/>
            <w:vAlign w:val="bottom"/>
            <w:hideMark/>
          </w:tcPr>
          <w:p w14:paraId="06D557D5"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41973330"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609383BD"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67C76269" w14:textId="77777777" w:rsidR="00752FF8" w:rsidRDefault="00752FF8" w:rsidP="00752FF8">
      <w:pPr>
        <w:spacing w:after="0" w:line="360" w:lineRule="auto"/>
        <w:jc w:val="both"/>
        <w:rPr>
          <w:rFonts w:ascii="Times New Roman" w:hAnsi="Times New Roman" w:cs="Times New Roman"/>
          <w:b/>
          <w:bCs/>
          <w:color w:val="EE0000"/>
          <w:sz w:val="24"/>
          <w:szCs w:val="24"/>
          <w:lang w:val="es-MX"/>
        </w:rPr>
      </w:pPr>
    </w:p>
    <w:p w14:paraId="3ADC59A1" w14:textId="77777777" w:rsidR="005839FD" w:rsidRDefault="005839FD">
      <w:pPr>
        <w:spacing w:after="0" w:line="240" w:lineRule="auto"/>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4184FC93" w14:textId="41ED8A24" w:rsidR="00752FF8" w:rsidRDefault="00752FF8" w:rsidP="00752FF8">
      <w:pPr>
        <w:spacing w:after="0" w:line="360" w:lineRule="auto"/>
        <w:jc w:val="both"/>
      </w:pPr>
      <w:r>
        <w:rPr>
          <w:rFonts w:ascii="Times New Roman" w:hAnsi="Times New Roman" w:cs="Times New Roman"/>
          <w:sz w:val="24"/>
          <w:szCs w:val="24"/>
          <w:lang w:val="es-MX"/>
        </w:rPr>
        <w:lastRenderedPageBreak/>
        <w:t xml:space="preserve">Según la gravedad de los casos el </w:t>
      </w:r>
      <w:r>
        <w:rPr>
          <w:rFonts w:ascii="Times New Roman" w:hAnsi="Times New Roman" w:cs="Times New Roman"/>
          <w:b/>
          <w:bCs/>
          <w:sz w:val="24"/>
          <w:szCs w:val="24"/>
          <w:lang w:val="es-MX"/>
        </w:rPr>
        <w:t xml:space="preserve">77% (n=30/39) </w:t>
      </w:r>
      <w:r>
        <w:rPr>
          <w:rFonts w:ascii="Times New Roman" w:hAnsi="Times New Roman" w:cs="Times New Roman"/>
          <w:sz w:val="24"/>
          <w:szCs w:val="24"/>
          <w:lang w:val="es-MX"/>
        </w:rPr>
        <w:t xml:space="preserve">fueron clasificados como moderados, seguido de los casos muy graves con el </w:t>
      </w:r>
      <w:r>
        <w:rPr>
          <w:rFonts w:ascii="Times New Roman" w:hAnsi="Times New Roman" w:cs="Times New Roman"/>
          <w:b/>
          <w:bCs/>
          <w:sz w:val="24"/>
          <w:szCs w:val="24"/>
          <w:lang w:val="es-MX"/>
        </w:rPr>
        <w:t xml:space="preserve">13% (n=5/39) </w:t>
      </w:r>
      <w:r>
        <w:rPr>
          <w:rFonts w:ascii="Times New Roman" w:hAnsi="Times New Roman" w:cs="Times New Roman"/>
          <w:sz w:val="24"/>
          <w:szCs w:val="24"/>
          <w:lang w:val="es-MX"/>
        </w:rPr>
        <w:t xml:space="preserve">y el </w:t>
      </w:r>
      <w:r>
        <w:rPr>
          <w:rFonts w:ascii="Times New Roman" w:hAnsi="Times New Roman" w:cs="Times New Roman"/>
          <w:b/>
          <w:bCs/>
          <w:sz w:val="24"/>
          <w:szCs w:val="24"/>
          <w:lang w:val="es-MX"/>
        </w:rPr>
        <w:t xml:space="preserve">8% (n=3/39) </w:t>
      </w:r>
      <w:r>
        <w:rPr>
          <w:rFonts w:ascii="Times New Roman" w:hAnsi="Times New Roman" w:cs="Times New Roman"/>
          <w:sz w:val="24"/>
          <w:szCs w:val="24"/>
          <w:lang w:val="es-MX"/>
        </w:rPr>
        <w:t>como leves.</w:t>
      </w:r>
      <w:r>
        <w:rPr>
          <w:rFonts w:ascii="Times New Roman" w:hAnsi="Times New Roman" w:cs="Times New Roman"/>
          <w:b/>
          <w:bCs/>
          <w:sz w:val="24"/>
          <w:szCs w:val="24"/>
          <w:lang w:val="es-MX"/>
        </w:rPr>
        <w:t xml:space="preserve"> Ver Tabla No 12</w:t>
      </w:r>
      <w:bookmarkStart w:id="11" w:name="_Hlk199502346"/>
      <w:bookmarkEnd w:id="11"/>
      <w:r w:rsidR="007A1B83">
        <w:rPr>
          <w:rFonts w:ascii="Times New Roman" w:hAnsi="Times New Roman" w:cs="Times New Roman"/>
          <w:b/>
          <w:bCs/>
          <w:sz w:val="24"/>
          <w:szCs w:val="24"/>
          <w:lang w:val="es-MX"/>
        </w:rPr>
        <w:t xml:space="preserve"> y Gráfico 6.</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72A9737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868419A"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12</w:t>
            </w:r>
          </w:p>
        </w:tc>
      </w:tr>
      <w:tr w:rsidR="005839FD" w:rsidRPr="005839FD" w14:paraId="09D545C6"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69C01AE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Gravedad al Ingreso de los niños en estudio</w:t>
            </w:r>
          </w:p>
        </w:tc>
      </w:tr>
      <w:tr w:rsidR="005839FD" w:rsidRPr="005839FD" w14:paraId="6A1641ED"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5E26A56"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65FD4D35" w14:textId="77777777" w:rsidTr="005839FD">
        <w:trPr>
          <w:trHeight w:val="300"/>
        </w:trPr>
        <w:tc>
          <w:tcPr>
            <w:tcW w:w="7300" w:type="dxa"/>
            <w:gridSpan w:val="3"/>
            <w:tcBorders>
              <w:top w:val="nil"/>
              <w:left w:val="nil"/>
              <w:bottom w:val="nil"/>
              <w:right w:val="nil"/>
            </w:tcBorders>
            <w:shd w:val="clear" w:color="auto" w:fill="auto"/>
            <w:vAlign w:val="bottom"/>
            <w:hideMark/>
          </w:tcPr>
          <w:p w14:paraId="72EC1562"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10E219BD"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4187C6CA"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4ABF87DB"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4D021FC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Clasificación de Gravedad</w:t>
            </w:r>
          </w:p>
        </w:tc>
        <w:tc>
          <w:tcPr>
            <w:tcW w:w="1720" w:type="dxa"/>
            <w:tcBorders>
              <w:top w:val="nil"/>
              <w:left w:val="nil"/>
              <w:bottom w:val="double" w:sz="6" w:space="0" w:color="auto"/>
              <w:right w:val="nil"/>
            </w:tcBorders>
            <w:shd w:val="clear" w:color="auto" w:fill="auto"/>
            <w:noWrap/>
            <w:vAlign w:val="bottom"/>
            <w:hideMark/>
          </w:tcPr>
          <w:p w14:paraId="658A175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7DAF5792"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3260B5EB" w14:textId="77777777" w:rsidTr="005839FD">
        <w:trPr>
          <w:trHeight w:val="300"/>
        </w:trPr>
        <w:tc>
          <w:tcPr>
            <w:tcW w:w="3820" w:type="dxa"/>
            <w:tcBorders>
              <w:top w:val="nil"/>
              <w:left w:val="nil"/>
              <w:bottom w:val="nil"/>
              <w:right w:val="nil"/>
            </w:tcBorders>
            <w:shd w:val="clear" w:color="auto" w:fill="auto"/>
            <w:noWrap/>
            <w:vAlign w:val="bottom"/>
            <w:hideMark/>
          </w:tcPr>
          <w:p w14:paraId="30CBB44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Leve</w:t>
            </w:r>
          </w:p>
        </w:tc>
        <w:tc>
          <w:tcPr>
            <w:tcW w:w="1720" w:type="dxa"/>
            <w:tcBorders>
              <w:top w:val="nil"/>
              <w:left w:val="nil"/>
              <w:bottom w:val="nil"/>
              <w:right w:val="nil"/>
            </w:tcBorders>
            <w:shd w:val="clear" w:color="auto" w:fill="auto"/>
            <w:noWrap/>
            <w:vAlign w:val="bottom"/>
            <w:hideMark/>
          </w:tcPr>
          <w:p w14:paraId="11D0BC5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0FD67C06"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w:t>
            </w:r>
          </w:p>
        </w:tc>
      </w:tr>
      <w:tr w:rsidR="005839FD" w:rsidRPr="005839FD" w14:paraId="0B38B3EE" w14:textId="77777777" w:rsidTr="005839FD">
        <w:trPr>
          <w:trHeight w:val="300"/>
        </w:trPr>
        <w:tc>
          <w:tcPr>
            <w:tcW w:w="3820" w:type="dxa"/>
            <w:tcBorders>
              <w:top w:val="nil"/>
              <w:left w:val="nil"/>
              <w:bottom w:val="nil"/>
              <w:right w:val="nil"/>
            </w:tcBorders>
            <w:shd w:val="clear" w:color="auto" w:fill="auto"/>
            <w:noWrap/>
            <w:vAlign w:val="bottom"/>
            <w:hideMark/>
          </w:tcPr>
          <w:p w14:paraId="432FB3A4"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Moderado</w:t>
            </w:r>
          </w:p>
        </w:tc>
        <w:tc>
          <w:tcPr>
            <w:tcW w:w="1720" w:type="dxa"/>
            <w:tcBorders>
              <w:top w:val="nil"/>
              <w:left w:val="nil"/>
              <w:bottom w:val="nil"/>
              <w:right w:val="nil"/>
            </w:tcBorders>
            <w:shd w:val="clear" w:color="auto" w:fill="auto"/>
            <w:noWrap/>
            <w:vAlign w:val="bottom"/>
            <w:hideMark/>
          </w:tcPr>
          <w:p w14:paraId="180B680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30</w:t>
            </w:r>
          </w:p>
        </w:tc>
        <w:tc>
          <w:tcPr>
            <w:tcW w:w="1760" w:type="dxa"/>
            <w:tcBorders>
              <w:top w:val="nil"/>
              <w:left w:val="nil"/>
              <w:bottom w:val="nil"/>
              <w:right w:val="nil"/>
            </w:tcBorders>
            <w:shd w:val="clear" w:color="auto" w:fill="auto"/>
            <w:noWrap/>
            <w:vAlign w:val="bottom"/>
            <w:hideMark/>
          </w:tcPr>
          <w:p w14:paraId="08A3B3E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77</w:t>
            </w:r>
          </w:p>
        </w:tc>
      </w:tr>
      <w:tr w:rsidR="005839FD" w:rsidRPr="005839FD" w14:paraId="3EBF7D36" w14:textId="77777777" w:rsidTr="005839FD">
        <w:trPr>
          <w:trHeight w:val="300"/>
        </w:trPr>
        <w:tc>
          <w:tcPr>
            <w:tcW w:w="3820" w:type="dxa"/>
            <w:tcBorders>
              <w:top w:val="nil"/>
              <w:left w:val="nil"/>
              <w:bottom w:val="nil"/>
              <w:right w:val="nil"/>
            </w:tcBorders>
            <w:shd w:val="clear" w:color="auto" w:fill="auto"/>
            <w:noWrap/>
            <w:vAlign w:val="bottom"/>
            <w:hideMark/>
          </w:tcPr>
          <w:p w14:paraId="195B683C"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Grave</w:t>
            </w:r>
          </w:p>
        </w:tc>
        <w:tc>
          <w:tcPr>
            <w:tcW w:w="1720" w:type="dxa"/>
            <w:tcBorders>
              <w:top w:val="nil"/>
              <w:left w:val="nil"/>
              <w:bottom w:val="nil"/>
              <w:right w:val="nil"/>
            </w:tcBorders>
            <w:shd w:val="clear" w:color="auto" w:fill="auto"/>
            <w:noWrap/>
            <w:vAlign w:val="bottom"/>
            <w:hideMark/>
          </w:tcPr>
          <w:p w14:paraId="62BA972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2B46308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r>
      <w:tr w:rsidR="005839FD" w:rsidRPr="005839FD" w14:paraId="71473DC8" w14:textId="77777777" w:rsidTr="005839FD">
        <w:trPr>
          <w:trHeight w:val="300"/>
        </w:trPr>
        <w:tc>
          <w:tcPr>
            <w:tcW w:w="3820" w:type="dxa"/>
            <w:tcBorders>
              <w:top w:val="nil"/>
              <w:left w:val="nil"/>
              <w:bottom w:val="nil"/>
              <w:right w:val="nil"/>
            </w:tcBorders>
            <w:shd w:val="clear" w:color="auto" w:fill="auto"/>
            <w:noWrap/>
            <w:vAlign w:val="bottom"/>
            <w:hideMark/>
          </w:tcPr>
          <w:p w14:paraId="53334ADF"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Muy Grave</w:t>
            </w:r>
          </w:p>
        </w:tc>
        <w:tc>
          <w:tcPr>
            <w:tcW w:w="1720" w:type="dxa"/>
            <w:tcBorders>
              <w:top w:val="nil"/>
              <w:left w:val="nil"/>
              <w:bottom w:val="nil"/>
              <w:right w:val="nil"/>
            </w:tcBorders>
            <w:shd w:val="clear" w:color="auto" w:fill="auto"/>
            <w:noWrap/>
            <w:vAlign w:val="bottom"/>
            <w:hideMark/>
          </w:tcPr>
          <w:p w14:paraId="71CC271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4003EA7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13</w:t>
            </w:r>
          </w:p>
        </w:tc>
      </w:tr>
      <w:tr w:rsidR="005839FD" w:rsidRPr="005839FD" w14:paraId="07750B5F"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551A1E5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660AACA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428F1DBF"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47A71937" w14:textId="77777777" w:rsidTr="005839FD">
        <w:trPr>
          <w:trHeight w:val="300"/>
        </w:trPr>
        <w:tc>
          <w:tcPr>
            <w:tcW w:w="3820" w:type="dxa"/>
            <w:tcBorders>
              <w:top w:val="nil"/>
              <w:left w:val="nil"/>
              <w:bottom w:val="nil"/>
              <w:right w:val="nil"/>
            </w:tcBorders>
            <w:shd w:val="clear" w:color="auto" w:fill="auto"/>
            <w:noWrap/>
            <w:vAlign w:val="bottom"/>
            <w:hideMark/>
          </w:tcPr>
          <w:p w14:paraId="3041ECF7"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6C2C9512"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055FCF79"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25DA5B09" w14:textId="77777777" w:rsidR="00752FF8" w:rsidRDefault="00752FF8" w:rsidP="00752FF8">
      <w:pPr>
        <w:spacing w:after="0" w:line="360" w:lineRule="auto"/>
        <w:jc w:val="both"/>
        <w:rPr>
          <w:rFonts w:ascii="Times New Roman" w:hAnsi="Times New Roman" w:cs="Times New Roman"/>
          <w:sz w:val="24"/>
          <w:szCs w:val="24"/>
        </w:rPr>
      </w:pPr>
    </w:p>
    <w:p w14:paraId="44E3349F" w14:textId="3D93AE48" w:rsidR="00752FF8" w:rsidRDefault="00752FF8" w:rsidP="00752FF8">
      <w:pPr>
        <w:spacing w:after="0" w:line="360" w:lineRule="auto"/>
        <w:jc w:val="both"/>
      </w:pPr>
      <w:r>
        <w:rPr>
          <w:rFonts w:ascii="Times New Roman" w:hAnsi="Times New Roman" w:cs="Times New Roman"/>
          <w:sz w:val="24"/>
          <w:szCs w:val="24"/>
          <w:lang w:val="es-MX"/>
        </w:rPr>
        <w:t xml:space="preserve">En el caso de los resultados de laboratorio, se encontró que la BHC resulto con indicadores infecciosos en el </w:t>
      </w:r>
      <w:r>
        <w:rPr>
          <w:rFonts w:ascii="Times New Roman" w:hAnsi="Times New Roman" w:cs="Times New Roman"/>
          <w:b/>
          <w:bCs/>
          <w:sz w:val="24"/>
          <w:szCs w:val="24"/>
          <w:lang w:val="es-MX"/>
        </w:rPr>
        <w:t xml:space="preserve">85% (n=33/39), </w:t>
      </w:r>
      <w:r>
        <w:rPr>
          <w:rFonts w:ascii="Times New Roman" w:hAnsi="Times New Roman" w:cs="Times New Roman"/>
          <w:sz w:val="24"/>
          <w:szCs w:val="24"/>
          <w:lang w:val="es-MX"/>
        </w:rPr>
        <w:t xml:space="preserve">así como los resultados del EGO se presentó patológicos en el </w:t>
      </w:r>
      <w:r>
        <w:rPr>
          <w:rFonts w:ascii="Times New Roman" w:hAnsi="Times New Roman" w:cs="Times New Roman"/>
          <w:b/>
          <w:bCs/>
          <w:sz w:val="24"/>
          <w:szCs w:val="24"/>
          <w:lang w:val="es-MX"/>
        </w:rPr>
        <w:t xml:space="preserve">92% (n=36/39) </w:t>
      </w:r>
      <w:r>
        <w:rPr>
          <w:rFonts w:ascii="Times New Roman" w:hAnsi="Times New Roman" w:cs="Times New Roman"/>
          <w:sz w:val="24"/>
          <w:szCs w:val="24"/>
          <w:lang w:val="es-MX"/>
        </w:rPr>
        <w:t xml:space="preserve">de los casos. </w:t>
      </w:r>
      <w:r>
        <w:rPr>
          <w:rFonts w:ascii="Times New Roman" w:hAnsi="Times New Roman" w:cs="Times New Roman"/>
          <w:b/>
          <w:bCs/>
          <w:sz w:val="24"/>
          <w:szCs w:val="24"/>
          <w:lang w:val="es-MX"/>
        </w:rPr>
        <w:t>Ver Tablas No 13 y 14</w:t>
      </w:r>
      <w:r w:rsidR="007A1B83">
        <w:rPr>
          <w:rFonts w:ascii="Times New Roman" w:hAnsi="Times New Roman" w:cs="Times New Roman"/>
          <w:b/>
          <w:bCs/>
          <w:sz w:val="24"/>
          <w:szCs w:val="24"/>
          <w:lang w:val="es-MX"/>
        </w:rPr>
        <w:t xml:space="preserve"> y Gráficos 7 y 8.</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4CD1C095"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CC1AB35"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13</w:t>
            </w:r>
          </w:p>
        </w:tc>
      </w:tr>
      <w:tr w:rsidR="005839FD" w:rsidRPr="005839FD" w14:paraId="1BFFEA4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5D5F40A"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Resultados de Laboratorio de los niños en estudio</w:t>
            </w:r>
          </w:p>
        </w:tc>
      </w:tr>
      <w:tr w:rsidR="005839FD" w:rsidRPr="005839FD" w14:paraId="03D201DF"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43CBFDB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1E168F06" w14:textId="77777777" w:rsidTr="005839FD">
        <w:trPr>
          <w:trHeight w:val="300"/>
        </w:trPr>
        <w:tc>
          <w:tcPr>
            <w:tcW w:w="7300" w:type="dxa"/>
            <w:gridSpan w:val="3"/>
            <w:tcBorders>
              <w:top w:val="nil"/>
              <w:left w:val="nil"/>
              <w:bottom w:val="nil"/>
              <w:right w:val="nil"/>
            </w:tcBorders>
            <w:shd w:val="clear" w:color="auto" w:fill="auto"/>
            <w:vAlign w:val="bottom"/>
            <w:hideMark/>
          </w:tcPr>
          <w:p w14:paraId="2A9E830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6CE1F185"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627991F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21BB1B0C"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32FB630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BHC</w:t>
            </w:r>
          </w:p>
        </w:tc>
        <w:tc>
          <w:tcPr>
            <w:tcW w:w="1720" w:type="dxa"/>
            <w:tcBorders>
              <w:top w:val="nil"/>
              <w:left w:val="nil"/>
              <w:bottom w:val="double" w:sz="6" w:space="0" w:color="auto"/>
              <w:right w:val="nil"/>
            </w:tcBorders>
            <w:shd w:val="clear" w:color="auto" w:fill="auto"/>
            <w:noWrap/>
            <w:vAlign w:val="bottom"/>
            <w:hideMark/>
          </w:tcPr>
          <w:p w14:paraId="7112794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6CC3770D"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62B77766" w14:textId="77777777" w:rsidTr="005839FD">
        <w:trPr>
          <w:trHeight w:val="300"/>
        </w:trPr>
        <w:tc>
          <w:tcPr>
            <w:tcW w:w="3820" w:type="dxa"/>
            <w:tcBorders>
              <w:top w:val="nil"/>
              <w:left w:val="nil"/>
              <w:bottom w:val="nil"/>
              <w:right w:val="nil"/>
            </w:tcBorders>
            <w:shd w:val="clear" w:color="auto" w:fill="auto"/>
            <w:noWrap/>
            <w:vAlign w:val="bottom"/>
            <w:hideMark/>
          </w:tcPr>
          <w:p w14:paraId="22094F70"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Normal</w:t>
            </w:r>
          </w:p>
        </w:tc>
        <w:tc>
          <w:tcPr>
            <w:tcW w:w="1720" w:type="dxa"/>
            <w:tcBorders>
              <w:top w:val="nil"/>
              <w:left w:val="nil"/>
              <w:bottom w:val="nil"/>
              <w:right w:val="nil"/>
            </w:tcBorders>
            <w:shd w:val="clear" w:color="auto" w:fill="auto"/>
            <w:noWrap/>
            <w:vAlign w:val="bottom"/>
            <w:hideMark/>
          </w:tcPr>
          <w:p w14:paraId="5A39386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w:t>
            </w:r>
          </w:p>
        </w:tc>
        <w:tc>
          <w:tcPr>
            <w:tcW w:w="1760" w:type="dxa"/>
            <w:tcBorders>
              <w:top w:val="nil"/>
              <w:left w:val="nil"/>
              <w:bottom w:val="nil"/>
              <w:right w:val="nil"/>
            </w:tcBorders>
            <w:shd w:val="clear" w:color="auto" w:fill="auto"/>
            <w:noWrap/>
            <w:vAlign w:val="bottom"/>
            <w:hideMark/>
          </w:tcPr>
          <w:p w14:paraId="6034C00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15</w:t>
            </w:r>
          </w:p>
        </w:tc>
      </w:tr>
      <w:tr w:rsidR="005839FD" w:rsidRPr="005839FD" w14:paraId="0D851659" w14:textId="77777777" w:rsidTr="005839FD">
        <w:trPr>
          <w:trHeight w:val="300"/>
        </w:trPr>
        <w:tc>
          <w:tcPr>
            <w:tcW w:w="3820" w:type="dxa"/>
            <w:tcBorders>
              <w:top w:val="nil"/>
              <w:left w:val="nil"/>
              <w:bottom w:val="nil"/>
              <w:right w:val="nil"/>
            </w:tcBorders>
            <w:shd w:val="clear" w:color="auto" w:fill="auto"/>
            <w:noWrap/>
            <w:vAlign w:val="bottom"/>
            <w:hideMark/>
          </w:tcPr>
          <w:p w14:paraId="336C805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Alterados</w:t>
            </w:r>
          </w:p>
        </w:tc>
        <w:tc>
          <w:tcPr>
            <w:tcW w:w="1720" w:type="dxa"/>
            <w:tcBorders>
              <w:top w:val="nil"/>
              <w:left w:val="nil"/>
              <w:bottom w:val="nil"/>
              <w:right w:val="nil"/>
            </w:tcBorders>
            <w:shd w:val="clear" w:color="auto" w:fill="auto"/>
            <w:noWrap/>
            <w:vAlign w:val="bottom"/>
            <w:hideMark/>
          </w:tcPr>
          <w:p w14:paraId="6485305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33</w:t>
            </w:r>
          </w:p>
        </w:tc>
        <w:tc>
          <w:tcPr>
            <w:tcW w:w="1760" w:type="dxa"/>
            <w:tcBorders>
              <w:top w:val="nil"/>
              <w:left w:val="nil"/>
              <w:bottom w:val="nil"/>
              <w:right w:val="nil"/>
            </w:tcBorders>
            <w:shd w:val="clear" w:color="auto" w:fill="auto"/>
            <w:noWrap/>
            <w:vAlign w:val="bottom"/>
            <w:hideMark/>
          </w:tcPr>
          <w:p w14:paraId="649D9C6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85</w:t>
            </w:r>
          </w:p>
        </w:tc>
      </w:tr>
      <w:tr w:rsidR="005839FD" w:rsidRPr="005839FD" w14:paraId="027844D3"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5B7176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1C0946F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2AF48AA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1C0BAAB2" w14:textId="77777777" w:rsidTr="005839FD">
        <w:trPr>
          <w:trHeight w:val="300"/>
        </w:trPr>
        <w:tc>
          <w:tcPr>
            <w:tcW w:w="3820" w:type="dxa"/>
            <w:tcBorders>
              <w:top w:val="nil"/>
              <w:left w:val="nil"/>
              <w:bottom w:val="nil"/>
              <w:right w:val="nil"/>
            </w:tcBorders>
            <w:shd w:val="clear" w:color="auto" w:fill="auto"/>
            <w:noWrap/>
            <w:vAlign w:val="bottom"/>
            <w:hideMark/>
          </w:tcPr>
          <w:p w14:paraId="5AF4F472"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02529030"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34723297"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5B66951F" w14:textId="77777777" w:rsidR="00752FF8" w:rsidRDefault="00752FF8" w:rsidP="00752FF8">
      <w:pPr>
        <w:spacing w:after="0" w:line="360" w:lineRule="auto"/>
        <w:jc w:val="both"/>
        <w:rPr>
          <w:rFonts w:ascii="Times New Roman" w:hAnsi="Times New Roman" w:cs="Times New Roman"/>
          <w:sz w:val="24"/>
          <w:szCs w:val="24"/>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73B18D75"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A330E1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14</w:t>
            </w:r>
          </w:p>
        </w:tc>
      </w:tr>
      <w:tr w:rsidR="005839FD" w:rsidRPr="005839FD" w14:paraId="17AE9F71"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7D8CA54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Resultados de Laboratorio de los niños en estudio</w:t>
            </w:r>
          </w:p>
        </w:tc>
      </w:tr>
      <w:tr w:rsidR="005839FD" w:rsidRPr="005839FD" w14:paraId="03798F29"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127808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68D9783B" w14:textId="77777777" w:rsidTr="005839FD">
        <w:trPr>
          <w:trHeight w:val="300"/>
        </w:trPr>
        <w:tc>
          <w:tcPr>
            <w:tcW w:w="7300" w:type="dxa"/>
            <w:gridSpan w:val="3"/>
            <w:tcBorders>
              <w:top w:val="nil"/>
              <w:left w:val="nil"/>
              <w:bottom w:val="nil"/>
              <w:right w:val="nil"/>
            </w:tcBorders>
            <w:shd w:val="clear" w:color="auto" w:fill="auto"/>
            <w:vAlign w:val="bottom"/>
            <w:hideMark/>
          </w:tcPr>
          <w:p w14:paraId="6975D782"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15F42D4F"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79E65FB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47603B26"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537ADA2F"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EGO</w:t>
            </w:r>
          </w:p>
        </w:tc>
        <w:tc>
          <w:tcPr>
            <w:tcW w:w="1720" w:type="dxa"/>
            <w:tcBorders>
              <w:top w:val="nil"/>
              <w:left w:val="nil"/>
              <w:bottom w:val="double" w:sz="6" w:space="0" w:color="auto"/>
              <w:right w:val="nil"/>
            </w:tcBorders>
            <w:shd w:val="clear" w:color="auto" w:fill="auto"/>
            <w:noWrap/>
            <w:vAlign w:val="bottom"/>
            <w:hideMark/>
          </w:tcPr>
          <w:p w14:paraId="2B11168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499A8153"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3B46A453" w14:textId="77777777" w:rsidTr="005839FD">
        <w:trPr>
          <w:trHeight w:val="300"/>
        </w:trPr>
        <w:tc>
          <w:tcPr>
            <w:tcW w:w="3820" w:type="dxa"/>
            <w:tcBorders>
              <w:top w:val="nil"/>
              <w:left w:val="nil"/>
              <w:bottom w:val="nil"/>
              <w:right w:val="nil"/>
            </w:tcBorders>
            <w:shd w:val="clear" w:color="auto" w:fill="auto"/>
            <w:noWrap/>
            <w:vAlign w:val="bottom"/>
            <w:hideMark/>
          </w:tcPr>
          <w:p w14:paraId="51C9ED28"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Normal</w:t>
            </w:r>
          </w:p>
        </w:tc>
        <w:tc>
          <w:tcPr>
            <w:tcW w:w="1720" w:type="dxa"/>
            <w:tcBorders>
              <w:top w:val="nil"/>
              <w:left w:val="nil"/>
              <w:bottom w:val="nil"/>
              <w:right w:val="nil"/>
            </w:tcBorders>
            <w:shd w:val="clear" w:color="auto" w:fill="auto"/>
            <w:noWrap/>
            <w:vAlign w:val="bottom"/>
            <w:hideMark/>
          </w:tcPr>
          <w:p w14:paraId="4A9BF4E4"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5C0EB51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w:t>
            </w:r>
          </w:p>
        </w:tc>
      </w:tr>
      <w:tr w:rsidR="005839FD" w:rsidRPr="005839FD" w14:paraId="5C5511C8" w14:textId="77777777" w:rsidTr="005839FD">
        <w:trPr>
          <w:trHeight w:val="300"/>
        </w:trPr>
        <w:tc>
          <w:tcPr>
            <w:tcW w:w="3820" w:type="dxa"/>
            <w:tcBorders>
              <w:top w:val="nil"/>
              <w:left w:val="nil"/>
              <w:bottom w:val="nil"/>
              <w:right w:val="nil"/>
            </w:tcBorders>
            <w:shd w:val="clear" w:color="auto" w:fill="auto"/>
            <w:noWrap/>
            <w:vAlign w:val="bottom"/>
            <w:hideMark/>
          </w:tcPr>
          <w:p w14:paraId="201AE3F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Alterados</w:t>
            </w:r>
          </w:p>
        </w:tc>
        <w:tc>
          <w:tcPr>
            <w:tcW w:w="1720" w:type="dxa"/>
            <w:tcBorders>
              <w:top w:val="nil"/>
              <w:left w:val="nil"/>
              <w:bottom w:val="nil"/>
              <w:right w:val="nil"/>
            </w:tcBorders>
            <w:shd w:val="clear" w:color="auto" w:fill="auto"/>
            <w:noWrap/>
            <w:vAlign w:val="bottom"/>
            <w:hideMark/>
          </w:tcPr>
          <w:p w14:paraId="42A92099"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36</w:t>
            </w:r>
          </w:p>
        </w:tc>
        <w:tc>
          <w:tcPr>
            <w:tcW w:w="1760" w:type="dxa"/>
            <w:tcBorders>
              <w:top w:val="nil"/>
              <w:left w:val="nil"/>
              <w:bottom w:val="nil"/>
              <w:right w:val="nil"/>
            </w:tcBorders>
            <w:shd w:val="clear" w:color="auto" w:fill="auto"/>
            <w:noWrap/>
            <w:vAlign w:val="bottom"/>
            <w:hideMark/>
          </w:tcPr>
          <w:p w14:paraId="6D54768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92</w:t>
            </w:r>
          </w:p>
        </w:tc>
      </w:tr>
      <w:tr w:rsidR="005839FD" w:rsidRPr="005839FD" w14:paraId="688BCF16"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6980A9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lastRenderedPageBreak/>
              <w:t>Total</w:t>
            </w:r>
          </w:p>
        </w:tc>
        <w:tc>
          <w:tcPr>
            <w:tcW w:w="1720" w:type="dxa"/>
            <w:tcBorders>
              <w:top w:val="single" w:sz="4" w:space="0" w:color="auto"/>
              <w:left w:val="nil"/>
              <w:bottom w:val="double" w:sz="6" w:space="0" w:color="auto"/>
              <w:right w:val="nil"/>
            </w:tcBorders>
            <w:shd w:val="clear" w:color="auto" w:fill="auto"/>
            <w:vAlign w:val="center"/>
            <w:hideMark/>
          </w:tcPr>
          <w:p w14:paraId="51DAE9A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5643226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07D04C72" w14:textId="77777777" w:rsidTr="005839FD">
        <w:trPr>
          <w:trHeight w:val="300"/>
        </w:trPr>
        <w:tc>
          <w:tcPr>
            <w:tcW w:w="3820" w:type="dxa"/>
            <w:tcBorders>
              <w:top w:val="nil"/>
              <w:left w:val="nil"/>
              <w:bottom w:val="nil"/>
              <w:right w:val="nil"/>
            </w:tcBorders>
            <w:shd w:val="clear" w:color="auto" w:fill="auto"/>
            <w:noWrap/>
            <w:vAlign w:val="bottom"/>
            <w:hideMark/>
          </w:tcPr>
          <w:p w14:paraId="569480FE"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1A256FBC"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293C4282"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0973AC8B" w14:textId="77777777" w:rsidR="00752FF8" w:rsidRDefault="00752FF8" w:rsidP="00752FF8">
      <w:pPr>
        <w:spacing w:after="0" w:line="360" w:lineRule="auto"/>
        <w:jc w:val="both"/>
      </w:pPr>
      <w:r>
        <w:rPr>
          <w:rFonts w:ascii="Times New Roman" w:hAnsi="Times New Roman" w:cs="Times New Roman"/>
          <w:sz w:val="24"/>
          <w:szCs w:val="24"/>
          <w:lang w:val="es-MX"/>
        </w:rPr>
        <w:t xml:space="preserve">En cuanto a los resultados de imagenología se realizó ultrasonido al </w:t>
      </w:r>
      <w:r>
        <w:rPr>
          <w:rFonts w:ascii="Times New Roman" w:hAnsi="Times New Roman" w:cs="Times New Roman"/>
          <w:b/>
          <w:bCs/>
          <w:sz w:val="24"/>
          <w:szCs w:val="24"/>
          <w:lang w:val="es-MX"/>
        </w:rPr>
        <w:t xml:space="preserve">62% (n=24/39) </w:t>
      </w:r>
      <w:r>
        <w:rPr>
          <w:rFonts w:ascii="Times New Roman" w:hAnsi="Times New Roman" w:cs="Times New Roman"/>
          <w:sz w:val="24"/>
          <w:szCs w:val="24"/>
          <w:lang w:val="es-MX"/>
        </w:rPr>
        <w:t xml:space="preserve">de los pacientes, encontrando resultados normales en el </w:t>
      </w:r>
      <w:r>
        <w:rPr>
          <w:rFonts w:ascii="Times New Roman" w:hAnsi="Times New Roman" w:cs="Times New Roman"/>
          <w:b/>
          <w:bCs/>
          <w:sz w:val="24"/>
          <w:szCs w:val="24"/>
          <w:lang w:val="es-MX"/>
        </w:rPr>
        <w:t xml:space="preserve">75% (n=18/24) </w:t>
      </w:r>
      <w:r>
        <w:rPr>
          <w:rFonts w:ascii="Times New Roman" w:hAnsi="Times New Roman" w:cs="Times New Roman"/>
          <w:sz w:val="24"/>
          <w:szCs w:val="24"/>
          <w:lang w:val="es-MX"/>
        </w:rPr>
        <w:t xml:space="preserve">y con alteraciones el </w:t>
      </w:r>
      <w:r>
        <w:rPr>
          <w:rFonts w:ascii="Times New Roman" w:hAnsi="Times New Roman" w:cs="Times New Roman"/>
          <w:b/>
          <w:bCs/>
          <w:sz w:val="24"/>
          <w:szCs w:val="24"/>
          <w:lang w:val="es-MX"/>
        </w:rPr>
        <w:t xml:space="preserve">25% (n=6/24) </w:t>
      </w:r>
      <w:r>
        <w:rPr>
          <w:rFonts w:ascii="Times New Roman" w:hAnsi="Times New Roman" w:cs="Times New Roman"/>
          <w:sz w:val="24"/>
          <w:szCs w:val="24"/>
          <w:lang w:val="es-MX"/>
        </w:rPr>
        <w:t xml:space="preserve">de los casos. </w:t>
      </w:r>
      <w:r>
        <w:rPr>
          <w:rFonts w:ascii="Times New Roman" w:hAnsi="Times New Roman" w:cs="Times New Roman"/>
          <w:b/>
          <w:bCs/>
          <w:sz w:val="24"/>
          <w:szCs w:val="24"/>
          <w:lang w:val="es-MX"/>
        </w:rPr>
        <w:t>Ver Tablas No 15 y 16.</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13934A14"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02A1C87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15</w:t>
            </w:r>
          </w:p>
        </w:tc>
      </w:tr>
      <w:tr w:rsidR="005839FD" w:rsidRPr="005839FD" w14:paraId="1A925788"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48DAF7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Resultados de Imagenología de los niños en estudio</w:t>
            </w:r>
          </w:p>
        </w:tc>
      </w:tr>
      <w:tr w:rsidR="005839FD" w:rsidRPr="005839FD" w14:paraId="319C6822"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7B34BF50"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1E4BC4C9" w14:textId="77777777" w:rsidTr="005839FD">
        <w:trPr>
          <w:trHeight w:val="300"/>
        </w:trPr>
        <w:tc>
          <w:tcPr>
            <w:tcW w:w="7300" w:type="dxa"/>
            <w:gridSpan w:val="3"/>
            <w:tcBorders>
              <w:top w:val="nil"/>
              <w:left w:val="nil"/>
              <w:bottom w:val="nil"/>
              <w:right w:val="nil"/>
            </w:tcBorders>
            <w:shd w:val="clear" w:color="auto" w:fill="auto"/>
            <w:vAlign w:val="bottom"/>
            <w:hideMark/>
          </w:tcPr>
          <w:p w14:paraId="5853B4C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4E3297F5"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5BC92238"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445AEFF6"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05FC7523"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Ultrasonidos</w:t>
            </w:r>
          </w:p>
        </w:tc>
        <w:tc>
          <w:tcPr>
            <w:tcW w:w="1720" w:type="dxa"/>
            <w:tcBorders>
              <w:top w:val="nil"/>
              <w:left w:val="nil"/>
              <w:bottom w:val="double" w:sz="6" w:space="0" w:color="auto"/>
              <w:right w:val="nil"/>
            </w:tcBorders>
            <w:shd w:val="clear" w:color="auto" w:fill="auto"/>
            <w:noWrap/>
            <w:vAlign w:val="bottom"/>
            <w:hideMark/>
          </w:tcPr>
          <w:p w14:paraId="41267F1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7CE6FBE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1C8A3068" w14:textId="77777777" w:rsidTr="005839FD">
        <w:trPr>
          <w:trHeight w:val="300"/>
        </w:trPr>
        <w:tc>
          <w:tcPr>
            <w:tcW w:w="3820" w:type="dxa"/>
            <w:tcBorders>
              <w:top w:val="nil"/>
              <w:left w:val="nil"/>
              <w:bottom w:val="nil"/>
              <w:right w:val="nil"/>
            </w:tcBorders>
            <w:shd w:val="clear" w:color="auto" w:fill="auto"/>
            <w:noWrap/>
            <w:vAlign w:val="bottom"/>
            <w:hideMark/>
          </w:tcPr>
          <w:p w14:paraId="6FB493CB"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7D96D45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24</w:t>
            </w:r>
          </w:p>
        </w:tc>
        <w:tc>
          <w:tcPr>
            <w:tcW w:w="1760" w:type="dxa"/>
            <w:tcBorders>
              <w:top w:val="nil"/>
              <w:left w:val="nil"/>
              <w:bottom w:val="nil"/>
              <w:right w:val="nil"/>
            </w:tcBorders>
            <w:shd w:val="clear" w:color="auto" w:fill="auto"/>
            <w:noWrap/>
            <w:vAlign w:val="bottom"/>
            <w:hideMark/>
          </w:tcPr>
          <w:p w14:paraId="1E5E23A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62</w:t>
            </w:r>
          </w:p>
        </w:tc>
      </w:tr>
      <w:tr w:rsidR="005839FD" w:rsidRPr="005839FD" w14:paraId="712C91F6" w14:textId="77777777" w:rsidTr="005839FD">
        <w:trPr>
          <w:trHeight w:val="300"/>
        </w:trPr>
        <w:tc>
          <w:tcPr>
            <w:tcW w:w="3820" w:type="dxa"/>
            <w:tcBorders>
              <w:top w:val="nil"/>
              <w:left w:val="nil"/>
              <w:bottom w:val="nil"/>
              <w:right w:val="nil"/>
            </w:tcBorders>
            <w:shd w:val="clear" w:color="auto" w:fill="auto"/>
            <w:noWrap/>
            <w:vAlign w:val="bottom"/>
            <w:hideMark/>
          </w:tcPr>
          <w:p w14:paraId="7C6FD9D9"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6A055264"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15</w:t>
            </w:r>
          </w:p>
        </w:tc>
        <w:tc>
          <w:tcPr>
            <w:tcW w:w="1760" w:type="dxa"/>
            <w:tcBorders>
              <w:top w:val="nil"/>
              <w:left w:val="nil"/>
              <w:bottom w:val="nil"/>
              <w:right w:val="nil"/>
            </w:tcBorders>
            <w:shd w:val="clear" w:color="auto" w:fill="auto"/>
            <w:noWrap/>
            <w:vAlign w:val="bottom"/>
            <w:hideMark/>
          </w:tcPr>
          <w:p w14:paraId="6936AA3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38</w:t>
            </w:r>
          </w:p>
        </w:tc>
      </w:tr>
      <w:tr w:rsidR="005839FD" w:rsidRPr="005839FD" w14:paraId="7E95402A"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55E87AF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52C2EFAF"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1B71FA1F"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521ED988" w14:textId="77777777" w:rsidTr="005839FD">
        <w:trPr>
          <w:trHeight w:val="300"/>
        </w:trPr>
        <w:tc>
          <w:tcPr>
            <w:tcW w:w="3820" w:type="dxa"/>
            <w:tcBorders>
              <w:top w:val="nil"/>
              <w:left w:val="nil"/>
              <w:bottom w:val="nil"/>
              <w:right w:val="nil"/>
            </w:tcBorders>
            <w:shd w:val="clear" w:color="auto" w:fill="auto"/>
            <w:noWrap/>
            <w:vAlign w:val="bottom"/>
            <w:hideMark/>
          </w:tcPr>
          <w:p w14:paraId="3ECB8158"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202DF100"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1D835349"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35AF01A6" w14:textId="77777777" w:rsidR="00752FF8" w:rsidRDefault="00752FF8" w:rsidP="00752FF8">
      <w:pPr>
        <w:spacing w:after="0" w:line="360" w:lineRule="auto"/>
        <w:jc w:val="both"/>
        <w:rPr>
          <w:rFonts w:ascii="Times New Roman" w:hAnsi="Times New Roman" w:cs="Times New Roman"/>
          <w:sz w:val="24"/>
          <w:szCs w:val="24"/>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04913074"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67D57FB5"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16</w:t>
            </w:r>
          </w:p>
        </w:tc>
      </w:tr>
      <w:tr w:rsidR="005839FD" w:rsidRPr="005839FD" w14:paraId="022BD53F"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0FC829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Resultados de Imagenología de los niños en estudio</w:t>
            </w:r>
          </w:p>
        </w:tc>
      </w:tr>
      <w:tr w:rsidR="005839FD" w:rsidRPr="005839FD" w14:paraId="38CCBF94"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66A0904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6C1FB451" w14:textId="77777777" w:rsidTr="005839FD">
        <w:trPr>
          <w:trHeight w:val="300"/>
        </w:trPr>
        <w:tc>
          <w:tcPr>
            <w:tcW w:w="7300" w:type="dxa"/>
            <w:gridSpan w:val="3"/>
            <w:tcBorders>
              <w:top w:val="nil"/>
              <w:left w:val="nil"/>
              <w:bottom w:val="nil"/>
              <w:right w:val="nil"/>
            </w:tcBorders>
            <w:shd w:val="clear" w:color="auto" w:fill="auto"/>
            <w:vAlign w:val="bottom"/>
            <w:hideMark/>
          </w:tcPr>
          <w:p w14:paraId="21DE66E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42F40EB1"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17556AE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0694A7E4"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27E47B2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Ultrasonidos</w:t>
            </w:r>
          </w:p>
        </w:tc>
        <w:tc>
          <w:tcPr>
            <w:tcW w:w="1720" w:type="dxa"/>
            <w:tcBorders>
              <w:top w:val="nil"/>
              <w:left w:val="nil"/>
              <w:bottom w:val="double" w:sz="6" w:space="0" w:color="auto"/>
              <w:right w:val="nil"/>
            </w:tcBorders>
            <w:shd w:val="clear" w:color="auto" w:fill="auto"/>
            <w:noWrap/>
            <w:vAlign w:val="bottom"/>
            <w:hideMark/>
          </w:tcPr>
          <w:p w14:paraId="0355AC1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08B799D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1B3D3C36" w14:textId="77777777" w:rsidTr="005839FD">
        <w:trPr>
          <w:trHeight w:val="300"/>
        </w:trPr>
        <w:tc>
          <w:tcPr>
            <w:tcW w:w="3820" w:type="dxa"/>
            <w:tcBorders>
              <w:top w:val="nil"/>
              <w:left w:val="nil"/>
              <w:bottom w:val="nil"/>
              <w:right w:val="nil"/>
            </w:tcBorders>
            <w:shd w:val="clear" w:color="auto" w:fill="auto"/>
            <w:noWrap/>
            <w:vAlign w:val="bottom"/>
            <w:hideMark/>
          </w:tcPr>
          <w:p w14:paraId="0FF99BD0"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Normal</w:t>
            </w:r>
          </w:p>
        </w:tc>
        <w:tc>
          <w:tcPr>
            <w:tcW w:w="1720" w:type="dxa"/>
            <w:tcBorders>
              <w:top w:val="nil"/>
              <w:left w:val="nil"/>
              <w:bottom w:val="nil"/>
              <w:right w:val="nil"/>
            </w:tcBorders>
            <w:shd w:val="clear" w:color="auto" w:fill="auto"/>
            <w:noWrap/>
            <w:vAlign w:val="bottom"/>
            <w:hideMark/>
          </w:tcPr>
          <w:p w14:paraId="75DB471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18</w:t>
            </w:r>
          </w:p>
        </w:tc>
        <w:tc>
          <w:tcPr>
            <w:tcW w:w="1760" w:type="dxa"/>
            <w:tcBorders>
              <w:top w:val="nil"/>
              <w:left w:val="nil"/>
              <w:bottom w:val="nil"/>
              <w:right w:val="nil"/>
            </w:tcBorders>
            <w:shd w:val="clear" w:color="auto" w:fill="auto"/>
            <w:noWrap/>
            <w:vAlign w:val="bottom"/>
            <w:hideMark/>
          </w:tcPr>
          <w:p w14:paraId="78421C1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75</w:t>
            </w:r>
          </w:p>
        </w:tc>
      </w:tr>
      <w:tr w:rsidR="005839FD" w:rsidRPr="005839FD" w14:paraId="3F33AB04" w14:textId="77777777" w:rsidTr="005839FD">
        <w:trPr>
          <w:trHeight w:val="300"/>
        </w:trPr>
        <w:tc>
          <w:tcPr>
            <w:tcW w:w="3820" w:type="dxa"/>
            <w:tcBorders>
              <w:top w:val="nil"/>
              <w:left w:val="nil"/>
              <w:bottom w:val="nil"/>
              <w:right w:val="nil"/>
            </w:tcBorders>
            <w:shd w:val="clear" w:color="auto" w:fill="auto"/>
            <w:noWrap/>
            <w:vAlign w:val="bottom"/>
            <w:hideMark/>
          </w:tcPr>
          <w:p w14:paraId="173B9599"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Alterados</w:t>
            </w:r>
          </w:p>
        </w:tc>
        <w:tc>
          <w:tcPr>
            <w:tcW w:w="1720" w:type="dxa"/>
            <w:tcBorders>
              <w:top w:val="nil"/>
              <w:left w:val="nil"/>
              <w:bottom w:val="nil"/>
              <w:right w:val="nil"/>
            </w:tcBorders>
            <w:shd w:val="clear" w:color="auto" w:fill="auto"/>
            <w:noWrap/>
            <w:vAlign w:val="bottom"/>
            <w:hideMark/>
          </w:tcPr>
          <w:p w14:paraId="63E6C7F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w:t>
            </w:r>
          </w:p>
        </w:tc>
        <w:tc>
          <w:tcPr>
            <w:tcW w:w="1760" w:type="dxa"/>
            <w:tcBorders>
              <w:top w:val="nil"/>
              <w:left w:val="nil"/>
              <w:bottom w:val="nil"/>
              <w:right w:val="nil"/>
            </w:tcBorders>
            <w:shd w:val="clear" w:color="auto" w:fill="auto"/>
            <w:noWrap/>
            <w:vAlign w:val="bottom"/>
            <w:hideMark/>
          </w:tcPr>
          <w:p w14:paraId="2792A0E8"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25</w:t>
            </w:r>
          </w:p>
        </w:tc>
      </w:tr>
      <w:tr w:rsidR="005839FD" w:rsidRPr="005839FD" w14:paraId="2C3A77EA"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3C347DE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44CF3C1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24</w:t>
            </w:r>
          </w:p>
        </w:tc>
        <w:tc>
          <w:tcPr>
            <w:tcW w:w="1760" w:type="dxa"/>
            <w:tcBorders>
              <w:top w:val="single" w:sz="4" w:space="0" w:color="auto"/>
              <w:left w:val="nil"/>
              <w:bottom w:val="double" w:sz="6" w:space="0" w:color="auto"/>
              <w:right w:val="nil"/>
            </w:tcBorders>
            <w:shd w:val="clear" w:color="auto" w:fill="auto"/>
            <w:vAlign w:val="center"/>
            <w:hideMark/>
          </w:tcPr>
          <w:p w14:paraId="5D414680"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6B3D9779" w14:textId="77777777" w:rsidTr="005839FD">
        <w:trPr>
          <w:trHeight w:val="300"/>
        </w:trPr>
        <w:tc>
          <w:tcPr>
            <w:tcW w:w="3820" w:type="dxa"/>
            <w:tcBorders>
              <w:top w:val="nil"/>
              <w:left w:val="nil"/>
              <w:bottom w:val="nil"/>
              <w:right w:val="nil"/>
            </w:tcBorders>
            <w:shd w:val="clear" w:color="auto" w:fill="auto"/>
            <w:noWrap/>
            <w:vAlign w:val="bottom"/>
            <w:hideMark/>
          </w:tcPr>
          <w:p w14:paraId="5A17168F"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42C961E3"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42BD178F"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5436AAA4" w14:textId="77777777" w:rsidR="005839FD" w:rsidRDefault="005839FD" w:rsidP="00752FF8">
      <w:pPr>
        <w:spacing w:after="0" w:line="360" w:lineRule="auto"/>
        <w:jc w:val="both"/>
        <w:rPr>
          <w:rFonts w:ascii="Times New Roman" w:hAnsi="Times New Roman" w:cs="Times New Roman"/>
          <w:sz w:val="24"/>
          <w:szCs w:val="24"/>
        </w:rPr>
      </w:pPr>
    </w:p>
    <w:p w14:paraId="15DF1D24" w14:textId="16ED7E7A" w:rsidR="00752FF8" w:rsidRDefault="00752FF8" w:rsidP="00752FF8">
      <w:pPr>
        <w:spacing w:after="0" w:line="360" w:lineRule="auto"/>
        <w:jc w:val="both"/>
      </w:pPr>
      <w:r>
        <w:rPr>
          <w:rFonts w:ascii="Times New Roman" w:hAnsi="Times New Roman" w:cs="Times New Roman"/>
          <w:sz w:val="24"/>
          <w:szCs w:val="24"/>
          <w:lang w:val="es-MX"/>
        </w:rPr>
        <w:t xml:space="preserve">El </w:t>
      </w:r>
      <w:r>
        <w:rPr>
          <w:rFonts w:ascii="Times New Roman" w:hAnsi="Times New Roman" w:cs="Times New Roman"/>
          <w:b/>
          <w:bCs/>
          <w:sz w:val="24"/>
          <w:szCs w:val="24"/>
          <w:lang w:val="es-MX"/>
        </w:rPr>
        <w:t xml:space="preserve">62% (24/39) </w:t>
      </w:r>
      <w:r>
        <w:rPr>
          <w:rFonts w:ascii="Times New Roman" w:hAnsi="Times New Roman" w:cs="Times New Roman"/>
          <w:sz w:val="24"/>
          <w:szCs w:val="24"/>
          <w:lang w:val="es-MX"/>
        </w:rPr>
        <w:t xml:space="preserve">de los pacientes cursaron con una estancia hospitalaria entre 3 a 4 días, seguido del grupo con estancia de 1 a 2 días con el </w:t>
      </w:r>
      <w:r>
        <w:rPr>
          <w:rFonts w:ascii="Times New Roman" w:hAnsi="Times New Roman" w:cs="Times New Roman"/>
          <w:b/>
          <w:bCs/>
          <w:sz w:val="24"/>
          <w:szCs w:val="24"/>
          <w:lang w:val="es-MX"/>
        </w:rPr>
        <w:t xml:space="preserve">18% (n=7/39) </w:t>
      </w:r>
      <w:r>
        <w:rPr>
          <w:rFonts w:ascii="Times New Roman" w:hAnsi="Times New Roman" w:cs="Times New Roman"/>
          <w:sz w:val="24"/>
          <w:szCs w:val="24"/>
          <w:lang w:val="es-MX"/>
        </w:rPr>
        <w:t xml:space="preserve">y el </w:t>
      </w:r>
      <w:r>
        <w:rPr>
          <w:rFonts w:ascii="Times New Roman" w:hAnsi="Times New Roman" w:cs="Times New Roman"/>
          <w:b/>
          <w:bCs/>
          <w:sz w:val="24"/>
          <w:szCs w:val="24"/>
          <w:lang w:val="es-MX"/>
        </w:rPr>
        <w:t xml:space="preserve">15% (n=6/39) </w:t>
      </w:r>
      <w:r>
        <w:rPr>
          <w:rFonts w:ascii="Times New Roman" w:hAnsi="Times New Roman" w:cs="Times New Roman"/>
          <w:sz w:val="24"/>
          <w:szCs w:val="24"/>
          <w:lang w:val="es-MX"/>
        </w:rPr>
        <w:t xml:space="preserve">con 8 días a más. </w:t>
      </w:r>
      <w:r>
        <w:rPr>
          <w:rFonts w:ascii="Times New Roman" w:hAnsi="Times New Roman" w:cs="Times New Roman"/>
          <w:b/>
          <w:bCs/>
          <w:sz w:val="24"/>
          <w:szCs w:val="24"/>
          <w:lang w:val="es-MX"/>
        </w:rPr>
        <w:t>Ver Tabla No 17</w:t>
      </w:r>
      <w:r w:rsidR="007A1B83">
        <w:rPr>
          <w:rFonts w:ascii="Times New Roman" w:hAnsi="Times New Roman" w:cs="Times New Roman"/>
          <w:b/>
          <w:bCs/>
          <w:sz w:val="24"/>
          <w:szCs w:val="24"/>
          <w:lang w:val="es-MX"/>
        </w:rPr>
        <w:t xml:space="preserve"> y Gráfico 9.</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1ADF4067"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7058D48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17</w:t>
            </w:r>
          </w:p>
        </w:tc>
      </w:tr>
      <w:tr w:rsidR="005839FD" w:rsidRPr="005839FD" w14:paraId="4E0530F7"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01B669C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Estancia Hospitalaria de los niños en estudio</w:t>
            </w:r>
          </w:p>
        </w:tc>
      </w:tr>
      <w:tr w:rsidR="005839FD" w:rsidRPr="005839FD" w14:paraId="4A2BFBB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3834519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03ACB6D7" w14:textId="77777777" w:rsidTr="005839FD">
        <w:trPr>
          <w:trHeight w:val="300"/>
        </w:trPr>
        <w:tc>
          <w:tcPr>
            <w:tcW w:w="7300" w:type="dxa"/>
            <w:gridSpan w:val="3"/>
            <w:tcBorders>
              <w:top w:val="nil"/>
              <w:left w:val="nil"/>
              <w:bottom w:val="nil"/>
              <w:right w:val="nil"/>
            </w:tcBorders>
            <w:shd w:val="clear" w:color="auto" w:fill="auto"/>
            <w:vAlign w:val="bottom"/>
            <w:hideMark/>
          </w:tcPr>
          <w:p w14:paraId="14650CE7"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526F6066"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13EEFD12"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7A419A91"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15D20020"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EIH</w:t>
            </w:r>
          </w:p>
        </w:tc>
        <w:tc>
          <w:tcPr>
            <w:tcW w:w="1720" w:type="dxa"/>
            <w:tcBorders>
              <w:top w:val="nil"/>
              <w:left w:val="nil"/>
              <w:bottom w:val="double" w:sz="6" w:space="0" w:color="auto"/>
              <w:right w:val="nil"/>
            </w:tcBorders>
            <w:shd w:val="clear" w:color="auto" w:fill="auto"/>
            <w:noWrap/>
            <w:vAlign w:val="bottom"/>
            <w:hideMark/>
          </w:tcPr>
          <w:p w14:paraId="345B81A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358995B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15D7EAF8" w14:textId="77777777" w:rsidTr="005839FD">
        <w:trPr>
          <w:trHeight w:val="300"/>
        </w:trPr>
        <w:tc>
          <w:tcPr>
            <w:tcW w:w="3820" w:type="dxa"/>
            <w:tcBorders>
              <w:top w:val="nil"/>
              <w:left w:val="nil"/>
              <w:bottom w:val="nil"/>
              <w:right w:val="nil"/>
            </w:tcBorders>
            <w:shd w:val="clear" w:color="auto" w:fill="auto"/>
            <w:noWrap/>
            <w:vAlign w:val="bottom"/>
            <w:hideMark/>
          </w:tcPr>
          <w:p w14:paraId="41D3AE01"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 a 2 días</w:t>
            </w:r>
          </w:p>
        </w:tc>
        <w:tc>
          <w:tcPr>
            <w:tcW w:w="1720" w:type="dxa"/>
            <w:tcBorders>
              <w:top w:val="nil"/>
              <w:left w:val="nil"/>
              <w:bottom w:val="nil"/>
              <w:right w:val="nil"/>
            </w:tcBorders>
            <w:shd w:val="clear" w:color="auto" w:fill="auto"/>
            <w:noWrap/>
            <w:vAlign w:val="bottom"/>
            <w:hideMark/>
          </w:tcPr>
          <w:p w14:paraId="70C7239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7</w:t>
            </w:r>
          </w:p>
        </w:tc>
        <w:tc>
          <w:tcPr>
            <w:tcW w:w="1760" w:type="dxa"/>
            <w:tcBorders>
              <w:top w:val="nil"/>
              <w:left w:val="nil"/>
              <w:bottom w:val="nil"/>
              <w:right w:val="nil"/>
            </w:tcBorders>
            <w:shd w:val="clear" w:color="auto" w:fill="auto"/>
            <w:noWrap/>
            <w:vAlign w:val="bottom"/>
            <w:hideMark/>
          </w:tcPr>
          <w:p w14:paraId="22AE5AA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18</w:t>
            </w:r>
          </w:p>
        </w:tc>
      </w:tr>
      <w:tr w:rsidR="005839FD" w:rsidRPr="005839FD" w14:paraId="757D1BC1" w14:textId="77777777" w:rsidTr="005839FD">
        <w:trPr>
          <w:trHeight w:val="300"/>
        </w:trPr>
        <w:tc>
          <w:tcPr>
            <w:tcW w:w="3820" w:type="dxa"/>
            <w:tcBorders>
              <w:top w:val="nil"/>
              <w:left w:val="nil"/>
              <w:bottom w:val="nil"/>
              <w:right w:val="nil"/>
            </w:tcBorders>
            <w:shd w:val="clear" w:color="auto" w:fill="auto"/>
            <w:noWrap/>
            <w:vAlign w:val="bottom"/>
            <w:hideMark/>
          </w:tcPr>
          <w:p w14:paraId="175DF813"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 a 4 días</w:t>
            </w:r>
          </w:p>
        </w:tc>
        <w:tc>
          <w:tcPr>
            <w:tcW w:w="1720" w:type="dxa"/>
            <w:tcBorders>
              <w:top w:val="nil"/>
              <w:left w:val="nil"/>
              <w:bottom w:val="nil"/>
              <w:right w:val="nil"/>
            </w:tcBorders>
            <w:shd w:val="clear" w:color="auto" w:fill="auto"/>
            <w:noWrap/>
            <w:vAlign w:val="bottom"/>
            <w:hideMark/>
          </w:tcPr>
          <w:p w14:paraId="0B02AB6D"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24</w:t>
            </w:r>
          </w:p>
        </w:tc>
        <w:tc>
          <w:tcPr>
            <w:tcW w:w="1760" w:type="dxa"/>
            <w:tcBorders>
              <w:top w:val="nil"/>
              <w:left w:val="nil"/>
              <w:bottom w:val="nil"/>
              <w:right w:val="nil"/>
            </w:tcBorders>
            <w:shd w:val="clear" w:color="auto" w:fill="auto"/>
            <w:noWrap/>
            <w:vAlign w:val="bottom"/>
            <w:hideMark/>
          </w:tcPr>
          <w:p w14:paraId="007722C2"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62</w:t>
            </w:r>
          </w:p>
        </w:tc>
      </w:tr>
      <w:tr w:rsidR="005839FD" w:rsidRPr="005839FD" w14:paraId="1F03278D" w14:textId="77777777" w:rsidTr="005839FD">
        <w:trPr>
          <w:trHeight w:val="300"/>
        </w:trPr>
        <w:tc>
          <w:tcPr>
            <w:tcW w:w="3820" w:type="dxa"/>
            <w:tcBorders>
              <w:top w:val="nil"/>
              <w:left w:val="nil"/>
              <w:bottom w:val="nil"/>
              <w:right w:val="nil"/>
            </w:tcBorders>
            <w:shd w:val="clear" w:color="auto" w:fill="auto"/>
            <w:noWrap/>
            <w:vAlign w:val="bottom"/>
            <w:hideMark/>
          </w:tcPr>
          <w:p w14:paraId="5B9EAC8E"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lastRenderedPageBreak/>
              <w:t>5 a 7 días</w:t>
            </w:r>
          </w:p>
        </w:tc>
        <w:tc>
          <w:tcPr>
            <w:tcW w:w="1720" w:type="dxa"/>
            <w:tcBorders>
              <w:top w:val="nil"/>
              <w:left w:val="nil"/>
              <w:bottom w:val="nil"/>
              <w:right w:val="nil"/>
            </w:tcBorders>
            <w:shd w:val="clear" w:color="auto" w:fill="auto"/>
            <w:noWrap/>
            <w:vAlign w:val="bottom"/>
            <w:hideMark/>
          </w:tcPr>
          <w:p w14:paraId="714EA91C"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71BA9C18"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r>
      <w:tr w:rsidR="005839FD" w:rsidRPr="005839FD" w14:paraId="533D0EED" w14:textId="77777777" w:rsidTr="005839FD">
        <w:trPr>
          <w:trHeight w:val="300"/>
        </w:trPr>
        <w:tc>
          <w:tcPr>
            <w:tcW w:w="3820" w:type="dxa"/>
            <w:tcBorders>
              <w:top w:val="nil"/>
              <w:left w:val="nil"/>
              <w:bottom w:val="nil"/>
              <w:right w:val="nil"/>
            </w:tcBorders>
            <w:shd w:val="clear" w:color="auto" w:fill="auto"/>
            <w:noWrap/>
            <w:vAlign w:val="bottom"/>
            <w:hideMark/>
          </w:tcPr>
          <w:p w14:paraId="5711162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 días a más</w:t>
            </w:r>
          </w:p>
        </w:tc>
        <w:tc>
          <w:tcPr>
            <w:tcW w:w="1720" w:type="dxa"/>
            <w:tcBorders>
              <w:top w:val="nil"/>
              <w:left w:val="nil"/>
              <w:bottom w:val="nil"/>
              <w:right w:val="nil"/>
            </w:tcBorders>
            <w:shd w:val="clear" w:color="auto" w:fill="auto"/>
            <w:noWrap/>
            <w:vAlign w:val="bottom"/>
            <w:hideMark/>
          </w:tcPr>
          <w:p w14:paraId="458CA0E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w:t>
            </w:r>
          </w:p>
        </w:tc>
        <w:tc>
          <w:tcPr>
            <w:tcW w:w="1760" w:type="dxa"/>
            <w:tcBorders>
              <w:top w:val="nil"/>
              <w:left w:val="nil"/>
              <w:bottom w:val="nil"/>
              <w:right w:val="nil"/>
            </w:tcBorders>
            <w:shd w:val="clear" w:color="auto" w:fill="auto"/>
            <w:noWrap/>
            <w:vAlign w:val="bottom"/>
            <w:hideMark/>
          </w:tcPr>
          <w:p w14:paraId="3F058E9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15</w:t>
            </w:r>
          </w:p>
        </w:tc>
      </w:tr>
      <w:tr w:rsidR="005839FD" w:rsidRPr="005839FD" w14:paraId="381C0905"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6872778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0A6089A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348D9F10"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380B2C7A" w14:textId="77777777" w:rsidTr="005839FD">
        <w:trPr>
          <w:trHeight w:val="300"/>
        </w:trPr>
        <w:tc>
          <w:tcPr>
            <w:tcW w:w="3820" w:type="dxa"/>
            <w:tcBorders>
              <w:top w:val="nil"/>
              <w:left w:val="nil"/>
              <w:bottom w:val="nil"/>
              <w:right w:val="nil"/>
            </w:tcBorders>
            <w:shd w:val="clear" w:color="auto" w:fill="auto"/>
            <w:noWrap/>
            <w:vAlign w:val="bottom"/>
            <w:hideMark/>
          </w:tcPr>
          <w:p w14:paraId="2692E759"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6CC215B3"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6CC76218"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2B6DADC5" w14:textId="77777777" w:rsidR="00752FF8" w:rsidRDefault="00752FF8" w:rsidP="00752FF8">
      <w:pPr>
        <w:spacing w:after="0" w:line="360" w:lineRule="auto"/>
        <w:jc w:val="both"/>
        <w:rPr>
          <w:rFonts w:ascii="Times New Roman" w:hAnsi="Times New Roman" w:cs="Times New Roman"/>
          <w:sz w:val="24"/>
          <w:szCs w:val="24"/>
        </w:rPr>
      </w:pPr>
    </w:p>
    <w:p w14:paraId="29B0212E" w14:textId="4BCE1B51" w:rsidR="00752FF8" w:rsidRDefault="00752FF8" w:rsidP="00752FF8">
      <w:pPr>
        <w:spacing w:after="0" w:line="360" w:lineRule="auto"/>
        <w:jc w:val="both"/>
      </w:pPr>
      <w:r>
        <w:rPr>
          <w:rFonts w:ascii="Times New Roman" w:hAnsi="Times New Roman" w:cs="Times New Roman"/>
          <w:sz w:val="24"/>
          <w:szCs w:val="24"/>
          <w:lang w:val="es-MX"/>
        </w:rPr>
        <w:t xml:space="preserve">Se le realizo urocultivo al </w:t>
      </w:r>
      <w:r>
        <w:rPr>
          <w:rFonts w:ascii="Times New Roman" w:hAnsi="Times New Roman" w:cs="Times New Roman"/>
          <w:b/>
          <w:bCs/>
          <w:sz w:val="24"/>
          <w:szCs w:val="24"/>
          <w:lang w:val="es-MX"/>
        </w:rPr>
        <w:t xml:space="preserve">85% (33/39) </w:t>
      </w:r>
      <w:r>
        <w:rPr>
          <w:rFonts w:ascii="Times New Roman" w:hAnsi="Times New Roman" w:cs="Times New Roman"/>
          <w:sz w:val="24"/>
          <w:szCs w:val="24"/>
          <w:lang w:val="es-MX"/>
        </w:rPr>
        <w:t xml:space="preserve">de los pacientes, encontrando resultados positivos en el </w:t>
      </w:r>
      <w:r>
        <w:rPr>
          <w:rFonts w:ascii="Times New Roman" w:hAnsi="Times New Roman" w:cs="Times New Roman"/>
          <w:b/>
          <w:bCs/>
          <w:sz w:val="24"/>
          <w:szCs w:val="24"/>
          <w:lang w:val="es-MX"/>
        </w:rPr>
        <w:t xml:space="preserve">55% (n=18/33) </w:t>
      </w:r>
      <w:r>
        <w:rPr>
          <w:rFonts w:ascii="Times New Roman" w:hAnsi="Times New Roman" w:cs="Times New Roman"/>
          <w:sz w:val="24"/>
          <w:szCs w:val="24"/>
          <w:lang w:val="es-MX"/>
        </w:rPr>
        <w:t xml:space="preserve">de los casos, predominando la bacteria </w:t>
      </w:r>
      <w:proofErr w:type="spellStart"/>
      <w:r>
        <w:rPr>
          <w:rFonts w:ascii="Times New Roman" w:hAnsi="Times New Roman" w:cs="Times New Roman"/>
          <w:sz w:val="24"/>
          <w:szCs w:val="24"/>
        </w:rPr>
        <w:t>Escherichia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coli</w:t>
      </w:r>
      <w:proofErr w:type="spellEnd"/>
      <w:r>
        <w:rPr>
          <w:rFonts w:ascii="Times New Roman" w:hAnsi="Times New Roman" w:cs="Times New Roman"/>
          <w:sz w:val="24"/>
          <w:szCs w:val="24"/>
        </w:rPr>
        <w:t xml:space="preserve"> con el </w:t>
      </w:r>
      <w:r>
        <w:rPr>
          <w:rFonts w:ascii="Times New Roman" w:hAnsi="Times New Roman" w:cs="Times New Roman"/>
          <w:b/>
          <w:bCs/>
          <w:sz w:val="24"/>
          <w:szCs w:val="24"/>
        </w:rPr>
        <w:t xml:space="preserve">78% (n=14/18), </w:t>
      </w:r>
      <w:r>
        <w:rPr>
          <w:rFonts w:ascii="Times New Roman" w:hAnsi="Times New Roman" w:cs="Times New Roman"/>
          <w:sz w:val="24"/>
          <w:szCs w:val="24"/>
        </w:rPr>
        <w:t xml:space="preserve">seguido de </w:t>
      </w:r>
      <w:proofErr w:type="spellStart"/>
      <w:r>
        <w:rPr>
          <w:rFonts w:ascii="Times New Roman" w:hAnsi="Times New Roman" w:cs="Times New Roman"/>
          <w:sz w:val="24"/>
          <w:szCs w:val="24"/>
        </w:rPr>
        <w:t>klebsiella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pneumoniae</w:t>
      </w:r>
      <w:proofErr w:type="spellEnd"/>
      <w:r>
        <w:rPr>
          <w:rFonts w:ascii="Times New Roman" w:hAnsi="Times New Roman" w:cs="Times New Roman"/>
          <w:sz w:val="24"/>
          <w:szCs w:val="24"/>
        </w:rPr>
        <w:t xml:space="preserve"> con el </w:t>
      </w:r>
      <w:r>
        <w:rPr>
          <w:rFonts w:ascii="Times New Roman" w:hAnsi="Times New Roman" w:cs="Times New Roman"/>
          <w:b/>
          <w:bCs/>
          <w:sz w:val="24"/>
          <w:szCs w:val="24"/>
        </w:rPr>
        <w:t>17% (3/18)</w:t>
      </w:r>
      <w:r>
        <w:rPr>
          <w:rFonts w:ascii="Times New Roman" w:hAnsi="Times New Roman" w:cs="Times New Roman"/>
          <w:sz w:val="24"/>
          <w:szCs w:val="24"/>
        </w:rPr>
        <w:t xml:space="preserve"> y Pseudomona con 1 caso </w:t>
      </w:r>
      <w:r>
        <w:rPr>
          <w:rFonts w:ascii="Times New Roman" w:hAnsi="Times New Roman" w:cs="Times New Roman"/>
          <w:b/>
          <w:bCs/>
          <w:sz w:val="24"/>
          <w:szCs w:val="24"/>
        </w:rPr>
        <w:t>(6% n=1/18)</w:t>
      </w:r>
      <w:r>
        <w:rPr>
          <w:rFonts w:ascii="Times New Roman" w:hAnsi="Times New Roman" w:cs="Times New Roman"/>
          <w:sz w:val="24"/>
          <w:szCs w:val="24"/>
        </w:rPr>
        <w:t xml:space="preserve">. </w:t>
      </w:r>
      <w:r>
        <w:rPr>
          <w:rFonts w:ascii="Times New Roman" w:hAnsi="Times New Roman" w:cs="Times New Roman"/>
          <w:b/>
          <w:bCs/>
          <w:sz w:val="24"/>
          <w:szCs w:val="24"/>
          <w:lang w:val="es-MX"/>
        </w:rPr>
        <w:t>Ver Tablas No 18, 19 y 20</w:t>
      </w:r>
      <w:r w:rsidR="007A1B83">
        <w:rPr>
          <w:rFonts w:ascii="Times New Roman" w:hAnsi="Times New Roman" w:cs="Times New Roman"/>
          <w:b/>
          <w:bCs/>
          <w:sz w:val="24"/>
          <w:szCs w:val="24"/>
          <w:lang w:val="es-MX"/>
        </w:rPr>
        <w:t xml:space="preserve"> y Gráficos 10 y 11.</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519A1D7E"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99C05D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18</w:t>
            </w:r>
          </w:p>
        </w:tc>
      </w:tr>
      <w:tr w:rsidR="005839FD" w:rsidRPr="005839FD" w14:paraId="29A5D7E3"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06A50A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Realización de Urocultivo en los niños en estudio</w:t>
            </w:r>
          </w:p>
        </w:tc>
      </w:tr>
      <w:tr w:rsidR="005839FD" w:rsidRPr="005839FD" w14:paraId="7A40AB4F"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A57ED8A"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7226DA49" w14:textId="77777777" w:rsidTr="005839FD">
        <w:trPr>
          <w:trHeight w:val="300"/>
        </w:trPr>
        <w:tc>
          <w:tcPr>
            <w:tcW w:w="7300" w:type="dxa"/>
            <w:gridSpan w:val="3"/>
            <w:tcBorders>
              <w:top w:val="nil"/>
              <w:left w:val="nil"/>
              <w:bottom w:val="nil"/>
              <w:right w:val="nil"/>
            </w:tcBorders>
            <w:shd w:val="clear" w:color="auto" w:fill="auto"/>
            <w:vAlign w:val="bottom"/>
            <w:hideMark/>
          </w:tcPr>
          <w:p w14:paraId="1DF8F04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7630020D"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57912472"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01F57BA5"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2ACBA85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Urocultivo</w:t>
            </w:r>
          </w:p>
        </w:tc>
        <w:tc>
          <w:tcPr>
            <w:tcW w:w="1720" w:type="dxa"/>
            <w:tcBorders>
              <w:top w:val="nil"/>
              <w:left w:val="nil"/>
              <w:bottom w:val="double" w:sz="6" w:space="0" w:color="auto"/>
              <w:right w:val="nil"/>
            </w:tcBorders>
            <w:shd w:val="clear" w:color="auto" w:fill="auto"/>
            <w:noWrap/>
            <w:vAlign w:val="bottom"/>
            <w:hideMark/>
          </w:tcPr>
          <w:p w14:paraId="620679C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2D7BD05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39624425" w14:textId="77777777" w:rsidTr="005839FD">
        <w:trPr>
          <w:trHeight w:val="300"/>
        </w:trPr>
        <w:tc>
          <w:tcPr>
            <w:tcW w:w="3820" w:type="dxa"/>
            <w:tcBorders>
              <w:top w:val="nil"/>
              <w:left w:val="nil"/>
              <w:bottom w:val="nil"/>
              <w:right w:val="nil"/>
            </w:tcBorders>
            <w:shd w:val="clear" w:color="auto" w:fill="auto"/>
            <w:noWrap/>
            <w:vAlign w:val="bottom"/>
            <w:hideMark/>
          </w:tcPr>
          <w:p w14:paraId="41952615"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11E2D5D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33</w:t>
            </w:r>
          </w:p>
        </w:tc>
        <w:tc>
          <w:tcPr>
            <w:tcW w:w="1760" w:type="dxa"/>
            <w:tcBorders>
              <w:top w:val="nil"/>
              <w:left w:val="nil"/>
              <w:bottom w:val="nil"/>
              <w:right w:val="nil"/>
            </w:tcBorders>
            <w:shd w:val="clear" w:color="auto" w:fill="auto"/>
            <w:noWrap/>
            <w:vAlign w:val="bottom"/>
            <w:hideMark/>
          </w:tcPr>
          <w:p w14:paraId="46334EC9"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85</w:t>
            </w:r>
          </w:p>
        </w:tc>
      </w:tr>
      <w:tr w:rsidR="005839FD" w:rsidRPr="005839FD" w14:paraId="3CF8E68B" w14:textId="77777777" w:rsidTr="005839FD">
        <w:trPr>
          <w:trHeight w:val="300"/>
        </w:trPr>
        <w:tc>
          <w:tcPr>
            <w:tcW w:w="3820" w:type="dxa"/>
            <w:tcBorders>
              <w:top w:val="nil"/>
              <w:left w:val="nil"/>
              <w:bottom w:val="nil"/>
              <w:right w:val="nil"/>
            </w:tcBorders>
            <w:shd w:val="clear" w:color="auto" w:fill="auto"/>
            <w:noWrap/>
            <w:vAlign w:val="bottom"/>
            <w:hideMark/>
          </w:tcPr>
          <w:p w14:paraId="09DD1217"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010BBD3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w:t>
            </w:r>
          </w:p>
        </w:tc>
        <w:tc>
          <w:tcPr>
            <w:tcW w:w="1760" w:type="dxa"/>
            <w:tcBorders>
              <w:top w:val="nil"/>
              <w:left w:val="nil"/>
              <w:bottom w:val="nil"/>
              <w:right w:val="nil"/>
            </w:tcBorders>
            <w:shd w:val="clear" w:color="auto" w:fill="auto"/>
            <w:noWrap/>
            <w:vAlign w:val="bottom"/>
            <w:hideMark/>
          </w:tcPr>
          <w:p w14:paraId="3A67D8E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15</w:t>
            </w:r>
          </w:p>
        </w:tc>
      </w:tr>
      <w:tr w:rsidR="005839FD" w:rsidRPr="005839FD" w14:paraId="629B8EB7"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33B1328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2FEBF1D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09AA3AB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51132D89" w14:textId="77777777" w:rsidTr="005839FD">
        <w:trPr>
          <w:trHeight w:val="300"/>
        </w:trPr>
        <w:tc>
          <w:tcPr>
            <w:tcW w:w="3820" w:type="dxa"/>
            <w:tcBorders>
              <w:top w:val="nil"/>
              <w:left w:val="nil"/>
              <w:bottom w:val="nil"/>
              <w:right w:val="nil"/>
            </w:tcBorders>
            <w:shd w:val="clear" w:color="auto" w:fill="auto"/>
            <w:noWrap/>
            <w:vAlign w:val="bottom"/>
            <w:hideMark/>
          </w:tcPr>
          <w:p w14:paraId="04BEF593"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2CDFBBE1"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1E37786A"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64F5A78B" w14:textId="77777777" w:rsidR="00752FF8" w:rsidRDefault="00752FF8" w:rsidP="00752FF8">
      <w:pPr>
        <w:spacing w:after="0" w:line="360" w:lineRule="auto"/>
        <w:jc w:val="both"/>
        <w:rPr>
          <w:rFonts w:ascii="Times New Roman" w:hAnsi="Times New Roman" w:cs="Times New Roman"/>
          <w:b/>
          <w:bCs/>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3FFB11FA"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DD7EF10"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19</w:t>
            </w:r>
          </w:p>
        </w:tc>
      </w:tr>
      <w:tr w:rsidR="005839FD" w:rsidRPr="005839FD" w14:paraId="3BDAC3F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DED8382"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Realización de Urocultivo en los niños en estudio</w:t>
            </w:r>
          </w:p>
        </w:tc>
      </w:tr>
      <w:tr w:rsidR="005839FD" w:rsidRPr="005839FD" w14:paraId="758827B7"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29D3F0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5B87C93D" w14:textId="77777777" w:rsidTr="005839FD">
        <w:trPr>
          <w:trHeight w:val="300"/>
        </w:trPr>
        <w:tc>
          <w:tcPr>
            <w:tcW w:w="7300" w:type="dxa"/>
            <w:gridSpan w:val="3"/>
            <w:tcBorders>
              <w:top w:val="nil"/>
              <w:left w:val="nil"/>
              <w:bottom w:val="nil"/>
              <w:right w:val="nil"/>
            </w:tcBorders>
            <w:shd w:val="clear" w:color="auto" w:fill="auto"/>
            <w:vAlign w:val="bottom"/>
            <w:hideMark/>
          </w:tcPr>
          <w:p w14:paraId="03688375"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4ABFBD29"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034009AC"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55D0FB1C"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38C8B82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Resultados de Urocultivo</w:t>
            </w:r>
          </w:p>
        </w:tc>
        <w:tc>
          <w:tcPr>
            <w:tcW w:w="1720" w:type="dxa"/>
            <w:tcBorders>
              <w:top w:val="nil"/>
              <w:left w:val="nil"/>
              <w:bottom w:val="double" w:sz="6" w:space="0" w:color="auto"/>
              <w:right w:val="nil"/>
            </w:tcBorders>
            <w:shd w:val="clear" w:color="auto" w:fill="auto"/>
            <w:noWrap/>
            <w:vAlign w:val="bottom"/>
            <w:hideMark/>
          </w:tcPr>
          <w:p w14:paraId="074D43A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3A2919D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38745168" w14:textId="77777777" w:rsidTr="005839FD">
        <w:trPr>
          <w:trHeight w:val="300"/>
        </w:trPr>
        <w:tc>
          <w:tcPr>
            <w:tcW w:w="3820" w:type="dxa"/>
            <w:tcBorders>
              <w:top w:val="nil"/>
              <w:left w:val="nil"/>
              <w:bottom w:val="nil"/>
              <w:right w:val="nil"/>
            </w:tcBorders>
            <w:shd w:val="clear" w:color="auto" w:fill="auto"/>
            <w:noWrap/>
            <w:vAlign w:val="bottom"/>
            <w:hideMark/>
          </w:tcPr>
          <w:p w14:paraId="4D3E4F3E"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Positivo</w:t>
            </w:r>
          </w:p>
        </w:tc>
        <w:tc>
          <w:tcPr>
            <w:tcW w:w="1720" w:type="dxa"/>
            <w:tcBorders>
              <w:top w:val="nil"/>
              <w:left w:val="nil"/>
              <w:bottom w:val="nil"/>
              <w:right w:val="nil"/>
            </w:tcBorders>
            <w:shd w:val="clear" w:color="auto" w:fill="auto"/>
            <w:noWrap/>
            <w:vAlign w:val="bottom"/>
            <w:hideMark/>
          </w:tcPr>
          <w:p w14:paraId="6A72D0D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18</w:t>
            </w:r>
          </w:p>
        </w:tc>
        <w:tc>
          <w:tcPr>
            <w:tcW w:w="1760" w:type="dxa"/>
            <w:tcBorders>
              <w:top w:val="nil"/>
              <w:left w:val="nil"/>
              <w:bottom w:val="nil"/>
              <w:right w:val="nil"/>
            </w:tcBorders>
            <w:shd w:val="clear" w:color="auto" w:fill="auto"/>
            <w:noWrap/>
            <w:vAlign w:val="bottom"/>
            <w:hideMark/>
          </w:tcPr>
          <w:p w14:paraId="51C2C7B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55</w:t>
            </w:r>
          </w:p>
        </w:tc>
      </w:tr>
      <w:tr w:rsidR="005839FD" w:rsidRPr="005839FD" w14:paraId="0B4952E5" w14:textId="77777777" w:rsidTr="005839FD">
        <w:trPr>
          <w:trHeight w:val="300"/>
        </w:trPr>
        <w:tc>
          <w:tcPr>
            <w:tcW w:w="3820" w:type="dxa"/>
            <w:tcBorders>
              <w:top w:val="nil"/>
              <w:left w:val="nil"/>
              <w:bottom w:val="nil"/>
              <w:right w:val="nil"/>
            </w:tcBorders>
            <w:shd w:val="clear" w:color="auto" w:fill="auto"/>
            <w:noWrap/>
            <w:vAlign w:val="bottom"/>
            <w:hideMark/>
          </w:tcPr>
          <w:p w14:paraId="6163D6C6"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Negativo</w:t>
            </w:r>
          </w:p>
        </w:tc>
        <w:tc>
          <w:tcPr>
            <w:tcW w:w="1720" w:type="dxa"/>
            <w:tcBorders>
              <w:top w:val="nil"/>
              <w:left w:val="nil"/>
              <w:bottom w:val="nil"/>
              <w:right w:val="nil"/>
            </w:tcBorders>
            <w:shd w:val="clear" w:color="auto" w:fill="auto"/>
            <w:noWrap/>
            <w:vAlign w:val="bottom"/>
            <w:hideMark/>
          </w:tcPr>
          <w:p w14:paraId="4E335B8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15</w:t>
            </w:r>
          </w:p>
        </w:tc>
        <w:tc>
          <w:tcPr>
            <w:tcW w:w="1760" w:type="dxa"/>
            <w:tcBorders>
              <w:top w:val="nil"/>
              <w:left w:val="nil"/>
              <w:bottom w:val="nil"/>
              <w:right w:val="nil"/>
            </w:tcBorders>
            <w:shd w:val="clear" w:color="auto" w:fill="auto"/>
            <w:noWrap/>
            <w:vAlign w:val="bottom"/>
            <w:hideMark/>
          </w:tcPr>
          <w:p w14:paraId="234AE53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45</w:t>
            </w:r>
          </w:p>
        </w:tc>
      </w:tr>
      <w:tr w:rsidR="005839FD" w:rsidRPr="005839FD" w14:paraId="0FEFA773"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16FDC6B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20BD958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33</w:t>
            </w:r>
          </w:p>
        </w:tc>
        <w:tc>
          <w:tcPr>
            <w:tcW w:w="1760" w:type="dxa"/>
            <w:tcBorders>
              <w:top w:val="single" w:sz="4" w:space="0" w:color="auto"/>
              <w:left w:val="nil"/>
              <w:bottom w:val="double" w:sz="6" w:space="0" w:color="auto"/>
              <w:right w:val="nil"/>
            </w:tcBorders>
            <w:shd w:val="clear" w:color="auto" w:fill="auto"/>
            <w:vAlign w:val="center"/>
            <w:hideMark/>
          </w:tcPr>
          <w:p w14:paraId="241D37B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338B4CA9" w14:textId="77777777" w:rsidTr="005839FD">
        <w:trPr>
          <w:trHeight w:val="300"/>
        </w:trPr>
        <w:tc>
          <w:tcPr>
            <w:tcW w:w="3820" w:type="dxa"/>
            <w:tcBorders>
              <w:top w:val="nil"/>
              <w:left w:val="nil"/>
              <w:bottom w:val="nil"/>
              <w:right w:val="nil"/>
            </w:tcBorders>
            <w:shd w:val="clear" w:color="auto" w:fill="auto"/>
            <w:noWrap/>
            <w:vAlign w:val="bottom"/>
            <w:hideMark/>
          </w:tcPr>
          <w:p w14:paraId="77F7A830"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72FC293A"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4EC69692"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029D5932" w14:textId="77777777" w:rsidR="005839FD" w:rsidRDefault="005839FD" w:rsidP="00752FF8">
      <w:pPr>
        <w:spacing w:after="0" w:line="360" w:lineRule="auto"/>
        <w:jc w:val="both"/>
        <w:rPr>
          <w:rFonts w:ascii="Times New Roman" w:hAnsi="Times New Roman" w:cs="Times New Roman"/>
          <w:b/>
          <w:bCs/>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20447B95"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7142871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20</w:t>
            </w:r>
          </w:p>
        </w:tc>
      </w:tr>
      <w:tr w:rsidR="005839FD" w:rsidRPr="005839FD" w14:paraId="55C58F99"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7E45C5E3"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Realización de Urocultivo en los niños en estudio</w:t>
            </w:r>
          </w:p>
        </w:tc>
      </w:tr>
      <w:tr w:rsidR="005839FD" w:rsidRPr="005839FD" w14:paraId="2AC98DBC"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722BD6C"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266FC7D2" w14:textId="77777777" w:rsidTr="005839FD">
        <w:trPr>
          <w:trHeight w:val="300"/>
        </w:trPr>
        <w:tc>
          <w:tcPr>
            <w:tcW w:w="7300" w:type="dxa"/>
            <w:gridSpan w:val="3"/>
            <w:tcBorders>
              <w:top w:val="nil"/>
              <w:left w:val="nil"/>
              <w:bottom w:val="nil"/>
              <w:right w:val="nil"/>
            </w:tcBorders>
            <w:shd w:val="clear" w:color="auto" w:fill="auto"/>
            <w:vAlign w:val="bottom"/>
            <w:hideMark/>
          </w:tcPr>
          <w:p w14:paraId="114F334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3ACC4F3F"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29519BA2"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12BF6E6E"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4B0902F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Resultados de Urocultivo</w:t>
            </w:r>
          </w:p>
        </w:tc>
        <w:tc>
          <w:tcPr>
            <w:tcW w:w="1720" w:type="dxa"/>
            <w:tcBorders>
              <w:top w:val="nil"/>
              <w:left w:val="nil"/>
              <w:bottom w:val="double" w:sz="6" w:space="0" w:color="auto"/>
              <w:right w:val="nil"/>
            </w:tcBorders>
            <w:shd w:val="clear" w:color="auto" w:fill="auto"/>
            <w:noWrap/>
            <w:vAlign w:val="bottom"/>
            <w:hideMark/>
          </w:tcPr>
          <w:p w14:paraId="33C3D13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7A3D0A42"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7BDB4CAF" w14:textId="77777777" w:rsidTr="005839FD">
        <w:trPr>
          <w:trHeight w:val="300"/>
        </w:trPr>
        <w:tc>
          <w:tcPr>
            <w:tcW w:w="3820" w:type="dxa"/>
            <w:tcBorders>
              <w:top w:val="nil"/>
              <w:left w:val="nil"/>
              <w:bottom w:val="nil"/>
              <w:right w:val="nil"/>
            </w:tcBorders>
            <w:shd w:val="clear" w:color="auto" w:fill="auto"/>
            <w:noWrap/>
            <w:vAlign w:val="bottom"/>
            <w:hideMark/>
          </w:tcPr>
          <w:p w14:paraId="54FC2D87"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Escherichia</w:t>
            </w:r>
            <w:proofErr w:type="spellEnd"/>
            <w:r w:rsidRPr="005839FD">
              <w:rPr>
                <w:rFonts w:ascii="Times New Roman" w:eastAsia="Times New Roman" w:hAnsi="Times New Roman" w:cs="Times New Roman"/>
                <w:kern w:val="0"/>
                <w:lang w:val="es-ES" w:eastAsia="es-ES"/>
              </w:rPr>
              <w:t xml:space="preserve"> </w:t>
            </w:r>
            <w:proofErr w:type="spellStart"/>
            <w:r w:rsidRPr="005839FD">
              <w:rPr>
                <w:rFonts w:ascii="Times New Roman" w:eastAsia="Times New Roman" w:hAnsi="Times New Roman" w:cs="Times New Roman"/>
                <w:kern w:val="0"/>
                <w:lang w:val="es-ES" w:eastAsia="es-ES"/>
              </w:rPr>
              <w:t>coli</w:t>
            </w:r>
            <w:proofErr w:type="spellEnd"/>
          </w:p>
        </w:tc>
        <w:tc>
          <w:tcPr>
            <w:tcW w:w="1720" w:type="dxa"/>
            <w:tcBorders>
              <w:top w:val="nil"/>
              <w:left w:val="nil"/>
              <w:bottom w:val="nil"/>
              <w:right w:val="nil"/>
            </w:tcBorders>
            <w:shd w:val="clear" w:color="auto" w:fill="auto"/>
            <w:noWrap/>
            <w:vAlign w:val="bottom"/>
            <w:hideMark/>
          </w:tcPr>
          <w:p w14:paraId="696B7D64"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14</w:t>
            </w:r>
          </w:p>
        </w:tc>
        <w:tc>
          <w:tcPr>
            <w:tcW w:w="1760" w:type="dxa"/>
            <w:tcBorders>
              <w:top w:val="nil"/>
              <w:left w:val="nil"/>
              <w:bottom w:val="nil"/>
              <w:right w:val="nil"/>
            </w:tcBorders>
            <w:shd w:val="clear" w:color="auto" w:fill="auto"/>
            <w:noWrap/>
            <w:vAlign w:val="bottom"/>
            <w:hideMark/>
          </w:tcPr>
          <w:p w14:paraId="5BB64E0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78</w:t>
            </w:r>
          </w:p>
        </w:tc>
      </w:tr>
      <w:tr w:rsidR="005839FD" w:rsidRPr="005839FD" w14:paraId="63102D2D" w14:textId="77777777" w:rsidTr="005839FD">
        <w:trPr>
          <w:trHeight w:val="300"/>
        </w:trPr>
        <w:tc>
          <w:tcPr>
            <w:tcW w:w="3820" w:type="dxa"/>
            <w:tcBorders>
              <w:top w:val="nil"/>
              <w:left w:val="nil"/>
              <w:bottom w:val="nil"/>
              <w:right w:val="nil"/>
            </w:tcBorders>
            <w:shd w:val="clear" w:color="auto" w:fill="auto"/>
            <w:noWrap/>
            <w:vAlign w:val="bottom"/>
            <w:hideMark/>
          </w:tcPr>
          <w:p w14:paraId="2719CAF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klebsiella</w:t>
            </w:r>
            <w:proofErr w:type="spellEnd"/>
            <w:r w:rsidRPr="005839FD">
              <w:rPr>
                <w:rFonts w:ascii="Times New Roman" w:eastAsia="Times New Roman" w:hAnsi="Times New Roman" w:cs="Times New Roman"/>
                <w:kern w:val="0"/>
                <w:lang w:val="es-ES" w:eastAsia="es-ES"/>
              </w:rPr>
              <w:t xml:space="preserve"> </w:t>
            </w:r>
            <w:proofErr w:type="spellStart"/>
            <w:r w:rsidRPr="005839FD">
              <w:rPr>
                <w:rFonts w:ascii="Times New Roman" w:eastAsia="Times New Roman" w:hAnsi="Times New Roman" w:cs="Times New Roman"/>
                <w:kern w:val="0"/>
                <w:lang w:val="es-ES" w:eastAsia="es-ES"/>
              </w:rPr>
              <w:t>pneumoniae</w:t>
            </w:r>
            <w:proofErr w:type="spellEnd"/>
          </w:p>
        </w:tc>
        <w:tc>
          <w:tcPr>
            <w:tcW w:w="1720" w:type="dxa"/>
            <w:tcBorders>
              <w:top w:val="nil"/>
              <w:left w:val="nil"/>
              <w:bottom w:val="nil"/>
              <w:right w:val="nil"/>
            </w:tcBorders>
            <w:shd w:val="clear" w:color="auto" w:fill="auto"/>
            <w:noWrap/>
            <w:vAlign w:val="bottom"/>
            <w:hideMark/>
          </w:tcPr>
          <w:p w14:paraId="238D17A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76D1A0B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17</w:t>
            </w:r>
          </w:p>
        </w:tc>
      </w:tr>
      <w:tr w:rsidR="005839FD" w:rsidRPr="005839FD" w14:paraId="1016EB2A" w14:textId="77777777" w:rsidTr="005839FD">
        <w:trPr>
          <w:trHeight w:val="300"/>
        </w:trPr>
        <w:tc>
          <w:tcPr>
            <w:tcW w:w="3820" w:type="dxa"/>
            <w:tcBorders>
              <w:top w:val="nil"/>
              <w:left w:val="nil"/>
              <w:bottom w:val="nil"/>
              <w:right w:val="nil"/>
            </w:tcBorders>
            <w:shd w:val="clear" w:color="auto" w:fill="auto"/>
            <w:noWrap/>
            <w:vAlign w:val="bottom"/>
            <w:hideMark/>
          </w:tcPr>
          <w:p w14:paraId="7EA2124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lastRenderedPageBreak/>
              <w:t>Pseudomona</w:t>
            </w:r>
          </w:p>
        </w:tc>
        <w:tc>
          <w:tcPr>
            <w:tcW w:w="1720" w:type="dxa"/>
            <w:tcBorders>
              <w:top w:val="nil"/>
              <w:left w:val="nil"/>
              <w:bottom w:val="nil"/>
              <w:right w:val="nil"/>
            </w:tcBorders>
            <w:shd w:val="clear" w:color="auto" w:fill="auto"/>
            <w:noWrap/>
            <w:vAlign w:val="bottom"/>
            <w:hideMark/>
          </w:tcPr>
          <w:p w14:paraId="2AA516F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1A6E2F3D"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w:t>
            </w:r>
          </w:p>
        </w:tc>
      </w:tr>
      <w:tr w:rsidR="005839FD" w:rsidRPr="005839FD" w14:paraId="17B7565C"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5A485FF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2597031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18</w:t>
            </w:r>
          </w:p>
        </w:tc>
        <w:tc>
          <w:tcPr>
            <w:tcW w:w="1760" w:type="dxa"/>
            <w:tcBorders>
              <w:top w:val="single" w:sz="4" w:space="0" w:color="auto"/>
              <w:left w:val="nil"/>
              <w:bottom w:val="double" w:sz="6" w:space="0" w:color="auto"/>
              <w:right w:val="nil"/>
            </w:tcBorders>
            <w:shd w:val="clear" w:color="auto" w:fill="auto"/>
            <w:vAlign w:val="center"/>
            <w:hideMark/>
          </w:tcPr>
          <w:p w14:paraId="2D5E5A34"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5CA32585" w14:textId="77777777" w:rsidTr="005839FD">
        <w:trPr>
          <w:trHeight w:val="300"/>
        </w:trPr>
        <w:tc>
          <w:tcPr>
            <w:tcW w:w="3820" w:type="dxa"/>
            <w:tcBorders>
              <w:top w:val="nil"/>
              <w:left w:val="nil"/>
              <w:bottom w:val="nil"/>
              <w:right w:val="nil"/>
            </w:tcBorders>
            <w:shd w:val="clear" w:color="auto" w:fill="auto"/>
            <w:noWrap/>
            <w:vAlign w:val="bottom"/>
            <w:hideMark/>
          </w:tcPr>
          <w:p w14:paraId="6F78B640"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04F4A340"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3827743D"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1287E808" w14:textId="77777777" w:rsidR="005839FD" w:rsidRDefault="005839FD" w:rsidP="00752FF8">
      <w:pPr>
        <w:spacing w:after="0" w:line="360" w:lineRule="auto"/>
        <w:jc w:val="both"/>
        <w:rPr>
          <w:rFonts w:ascii="Times New Roman" w:hAnsi="Times New Roman" w:cs="Times New Roman"/>
          <w:b/>
          <w:bCs/>
          <w:sz w:val="24"/>
          <w:szCs w:val="24"/>
          <w:lang w:val="es-MX"/>
        </w:rPr>
      </w:pPr>
    </w:p>
    <w:p w14:paraId="3F29646D" w14:textId="77777777" w:rsidR="00752FF8" w:rsidRDefault="00752FF8" w:rsidP="00752FF8">
      <w:pPr>
        <w:spacing w:after="0" w:line="360" w:lineRule="auto"/>
        <w:jc w:val="both"/>
      </w:pPr>
      <w:r>
        <w:rPr>
          <w:rFonts w:ascii="Times New Roman" w:hAnsi="Times New Roman" w:cs="Times New Roman"/>
          <w:sz w:val="24"/>
          <w:szCs w:val="24"/>
          <w:lang w:val="es-MX"/>
        </w:rPr>
        <w:t xml:space="preserve">Como resultado del urocultivo, se encontró en el antibiograma que las bacterias predominantes resultaron sensibles al tratamiento con </w:t>
      </w:r>
      <w:r>
        <w:rPr>
          <w:rFonts w:ascii="Times New Roman" w:hAnsi="Times New Roman" w:cs="Times New Roman"/>
          <w:b/>
          <w:bCs/>
          <w:sz w:val="24"/>
          <w:szCs w:val="24"/>
          <w:lang w:val="es-MX"/>
        </w:rPr>
        <w:t>Amikacina (100% - n=18/18)</w:t>
      </w:r>
      <w:r>
        <w:rPr>
          <w:rFonts w:ascii="Times New Roman" w:hAnsi="Times New Roman" w:cs="Times New Roman"/>
          <w:sz w:val="24"/>
          <w:szCs w:val="24"/>
          <w:lang w:val="es-MX"/>
        </w:rPr>
        <w:t xml:space="preserve">, seguido del </w:t>
      </w:r>
      <w:r>
        <w:rPr>
          <w:rFonts w:ascii="Times New Roman" w:hAnsi="Times New Roman" w:cs="Times New Roman"/>
          <w:b/>
          <w:bCs/>
          <w:sz w:val="24"/>
          <w:szCs w:val="24"/>
          <w:lang w:val="es-MX"/>
        </w:rPr>
        <w:t>Meropenem con el 67% (n=12/18)</w:t>
      </w:r>
      <w:r>
        <w:rPr>
          <w:rFonts w:ascii="Times New Roman" w:hAnsi="Times New Roman" w:cs="Times New Roman"/>
          <w:sz w:val="24"/>
          <w:szCs w:val="24"/>
          <w:lang w:val="es-MX"/>
        </w:rPr>
        <w:t>, Ceftriaxona</w:t>
      </w:r>
      <w:r>
        <w:rPr>
          <w:rFonts w:ascii="Times New Roman" w:hAnsi="Times New Roman" w:cs="Times New Roman"/>
          <w:b/>
          <w:bCs/>
          <w:sz w:val="24"/>
          <w:szCs w:val="24"/>
          <w:lang w:val="es-MX"/>
        </w:rPr>
        <w:t xml:space="preserve"> con 50% (n=9/18), </w:t>
      </w:r>
      <w:proofErr w:type="spellStart"/>
      <w:r>
        <w:rPr>
          <w:rFonts w:ascii="Times New Roman" w:hAnsi="Times New Roman" w:cs="Times New Roman"/>
          <w:sz w:val="24"/>
          <w:szCs w:val="24"/>
          <w:lang w:val="es-MX"/>
        </w:rPr>
        <w:t>asi</w:t>
      </w:r>
      <w:proofErr w:type="spellEnd"/>
      <w:r>
        <w:rPr>
          <w:rFonts w:ascii="Times New Roman" w:hAnsi="Times New Roman" w:cs="Times New Roman"/>
          <w:sz w:val="24"/>
          <w:szCs w:val="24"/>
          <w:lang w:val="es-MX"/>
        </w:rPr>
        <w:t xml:space="preserve"> como la </w:t>
      </w:r>
      <w:r>
        <w:rPr>
          <w:rFonts w:ascii="Times New Roman" w:hAnsi="Times New Roman" w:cs="Times New Roman"/>
          <w:b/>
          <w:bCs/>
          <w:sz w:val="24"/>
          <w:szCs w:val="24"/>
          <w:lang w:val="es-MX"/>
        </w:rPr>
        <w:t xml:space="preserve">Gentamicina (39% n=7/18) </w:t>
      </w:r>
      <w:r>
        <w:rPr>
          <w:rFonts w:ascii="Times New Roman" w:hAnsi="Times New Roman" w:cs="Times New Roman"/>
          <w:sz w:val="24"/>
          <w:szCs w:val="24"/>
          <w:lang w:val="es-MX"/>
        </w:rPr>
        <w:t xml:space="preserve">y la </w:t>
      </w:r>
      <w:r>
        <w:rPr>
          <w:rFonts w:ascii="Times New Roman" w:hAnsi="Times New Roman" w:cs="Times New Roman"/>
          <w:b/>
          <w:bCs/>
          <w:sz w:val="24"/>
          <w:szCs w:val="24"/>
          <w:lang w:val="es-MX"/>
        </w:rPr>
        <w:t xml:space="preserve">Ciprofloxacina y </w:t>
      </w:r>
      <w:proofErr w:type="spellStart"/>
      <w:r>
        <w:rPr>
          <w:rFonts w:ascii="Times New Roman" w:hAnsi="Times New Roman" w:cs="Times New Roman"/>
          <w:b/>
          <w:bCs/>
          <w:sz w:val="24"/>
          <w:szCs w:val="24"/>
          <w:lang w:val="es-MX"/>
        </w:rPr>
        <w:t>Cefepime</w:t>
      </w:r>
      <w:proofErr w:type="spellEnd"/>
      <w:r>
        <w:rPr>
          <w:rFonts w:ascii="Times New Roman" w:hAnsi="Times New Roman" w:cs="Times New Roman"/>
          <w:b/>
          <w:bCs/>
          <w:sz w:val="24"/>
          <w:szCs w:val="24"/>
          <w:lang w:val="es-MX"/>
        </w:rPr>
        <w:t xml:space="preserve"> con el 28% (n=5/18). Ver Tabla No 21.</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33A7C839"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88CFBE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21</w:t>
            </w:r>
          </w:p>
        </w:tc>
      </w:tr>
      <w:tr w:rsidR="005839FD" w:rsidRPr="005839FD" w14:paraId="403235ED"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46B8F23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Sensibilidad en Urocultivo en los niños en estudio</w:t>
            </w:r>
          </w:p>
        </w:tc>
      </w:tr>
      <w:tr w:rsidR="005839FD" w:rsidRPr="005839FD" w14:paraId="2B59E32A"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614B932C"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0AD5A675" w14:textId="77777777" w:rsidTr="005839FD">
        <w:trPr>
          <w:trHeight w:val="300"/>
        </w:trPr>
        <w:tc>
          <w:tcPr>
            <w:tcW w:w="7300" w:type="dxa"/>
            <w:gridSpan w:val="3"/>
            <w:tcBorders>
              <w:top w:val="nil"/>
              <w:left w:val="nil"/>
              <w:bottom w:val="nil"/>
              <w:right w:val="nil"/>
            </w:tcBorders>
            <w:shd w:val="clear" w:color="auto" w:fill="auto"/>
            <w:vAlign w:val="bottom"/>
            <w:hideMark/>
          </w:tcPr>
          <w:p w14:paraId="326C967A"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097F50E2"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415F8BB4"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10EFE919"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744EB56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Antibióticos</w:t>
            </w:r>
          </w:p>
        </w:tc>
        <w:tc>
          <w:tcPr>
            <w:tcW w:w="1720" w:type="dxa"/>
            <w:tcBorders>
              <w:top w:val="nil"/>
              <w:left w:val="nil"/>
              <w:bottom w:val="double" w:sz="6" w:space="0" w:color="auto"/>
              <w:right w:val="nil"/>
            </w:tcBorders>
            <w:shd w:val="clear" w:color="auto" w:fill="auto"/>
            <w:noWrap/>
            <w:vAlign w:val="bottom"/>
            <w:hideMark/>
          </w:tcPr>
          <w:p w14:paraId="0A933A2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4D2B4B2D"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21E05E14" w14:textId="77777777" w:rsidTr="005839FD">
        <w:trPr>
          <w:trHeight w:val="300"/>
        </w:trPr>
        <w:tc>
          <w:tcPr>
            <w:tcW w:w="3820" w:type="dxa"/>
            <w:tcBorders>
              <w:top w:val="nil"/>
              <w:left w:val="nil"/>
              <w:bottom w:val="nil"/>
              <w:right w:val="nil"/>
            </w:tcBorders>
            <w:shd w:val="clear" w:color="auto" w:fill="auto"/>
            <w:noWrap/>
            <w:vAlign w:val="bottom"/>
            <w:hideMark/>
          </w:tcPr>
          <w:p w14:paraId="5ECE1F33"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Amikacina</w:t>
            </w:r>
          </w:p>
        </w:tc>
        <w:tc>
          <w:tcPr>
            <w:tcW w:w="1720" w:type="dxa"/>
            <w:tcBorders>
              <w:top w:val="nil"/>
              <w:left w:val="nil"/>
              <w:bottom w:val="nil"/>
              <w:right w:val="nil"/>
            </w:tcBorders>
            <w:shd w:val="clear" w:color="auto" w:fill="auto"/>
            <w:noWrap/>
            <w:vAlign w:val="bottom"/>
            <w:hideMark/>
          </w:tcPr>
          <w:p w14:paraId="248FCD6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18</w:t>
            </w:r>
          </w:p>
        </w:tc>
        <w:tc>
          <w:tcPr>
            <w:tcW w:w="1760" w:type="dxa"/>
            <w:tcBorders>
              <w:top w:val="nil"/>
              <w:left w:val="nil"/>
              <w:bottom w:val="nil"/>
              <w:right w:val="nil"/>
            </w:tcBorders>
            <w:shd w:val="clear" w:color="auto" w:fill="auto"/>
            <w:noWrap/>
            <w:vAlign w:val="bottom"/>
            <w:hideMark/>
          </w:tcPr>
          <w:p w14:paraId="3BC8D00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100</w:t>
            </w:r>
          </w:p>
        </w:tc>
      </w:tr>
      <w:tr w:rsidR="005839FD" w:rsidRPr="005839FD" w14:paraId="50DC234B" w14:textId="77777777" w:rsidTr="005839FD">
        <w:trPr>
          <w:trHeight w:val="300"/>
        </w:trPr>
        <w:tc>
          <w:tcPr>
            <w:tcW w:w="3820" w:type="dxa"/>
            <w:tcBorders>
              <w:top w:val="nil"/>
              <w:left w:val="nil"/>
              <w:bottom w:val="nil"/>
              <w:right w:val="nil"/>
            </w:tcBorders>
            <w:shd w:val="clear" w:color="auto" w:fill="auto"/>
            <w:noWrap/>
            <w:vAlign w:val="bottom"/>
            <w:hideMark/>
          </w:tcPr>
          <w:p w14:paraId="3785E315"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Meropenem</w:t>
            </w:r>
          </w:p>
        </w:tc>
        <w:tc>
          <w:tcPr>
            <w:tcW w:w="1720" w:type="dxa"/>
            <w:tcBorders>
              <w:top w:val="nil"/>
              <w:left w:val="nil"/>
              <w:bottom w:val="nil"/>
              <w:right w:val="nil"/>
            </w:tcBorders>
            <w:shd w:val="clear" w:color="auto" w:fill="auto"/>
            <w:noWrap/>
            <w:vAlign w:val="bottom"/>
            <w:hideMark/>
          </w:tcPr>
          <w:p w14:paraId="266570D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12</w:t>
            </w:r>
          </w:p>
        </w:tc>
        <w:tc>
          <w:tcPr>
            <w:tcW w:w="1760" w:type="dxa"/>
            <w:tcBorders>
              <w:top w:val="nil"/>
              <w:left w:val="nil"/>
              <w:bottom w:val="nil"/>
              <w:right w:val="nil"/>
            </w:tcBorders>
            <w:shd w:val="clear" w:color="auto" w:fill="auto"/>
            <w:noWrap/>
            <w:vAlign w:val="bottom"/>
            <w:hideMark/>
          </w:tcPr>
          <w:p w14:paraId="1CA714F8"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67</w:t>
            </w:r>
          </w:p>
        </w:tc>
      </w:tr>
      <w:tr w:rsidR="005839FD" w:rsidRPr="005839FD" w14:paraId="7940CE60" w14:textId="77777777" w:rsidTr="005839FD">
        <w:trPr>
          <w:trHeight w:val="300"/>
        </w:trPr>
        <w:tc>
          <w:tcPr>
            <w:tcW w:w="3820" w:type="dxa"/>
            <w:tcBorders>
              <w:top w:val="nil"/>
              <w:left w:val="nil"/>
              <w:bottom w:val="nil"/>
              <w:right w:val="nil"/>
            </w:tcBorders>
            <w:shd w:val="clear" w:color="auto" w:fill="auto"/>
            <w:noWrap/>
            <w:vAlign w:val="bottom"/>
            <w:hideMark/>
          </w:tcPr>
          <w:p w14:paraId="2842CCB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Ceftriaxone</w:t>
            </w:r>
            <w:proofErr w:type="spellEnd"/>
          </w:p>
        </w:tc>
        <w:tc>
          <w:tcPr>
            <w:tcW w:w="1720" w:type="dxa"/>
            <w:tcBorders>
              <w:top w:val="nil"/>
              <w:left w:val="nil"/>
              <w:bottom w:val="nil"/>
              <w:right w:val="nil"/>
            </w:tcBorders>
            <w:shd w:val="clear" w:color="auto" w:fill="auto"/>
            <w:noWrap/>
            <w:vAlign w:val="bottom"/>
            <w:hideMark/>
          </w:tcPr>
          <w:p w14:paraId="25B535F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9</w:t>
            </w:r>
          </w:p>
        </w:tc>
        <w:tc>
          <w:tcPr>
            <w:tcW w:w="1760" w:type="dxa"/>
            <w:tcBorders>
              <w:top w:val="nil"/>
              <w:left w:val="nil"/>
              <w:bottom w:val="nil"/>
              <w:right w:val="nil"/>
            </w:tcBorders>
            <w:shd w:val="clear" w:color="auto" w:fill="auto"/>
            <w:noWrap/>
            <w:vAlign w:val="bottom"/>
            <w:hideMark/>
          </w:tcPr>
          <w:p w14:paraId="33E5281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50</w:t>
            </w:r>
          </w:p>
        </w:tc>
      </w:tr>
      <w:tr w:rsidR="005839FD" w:rsidRPr="005839FD" w14:paraId="7D30207B" w14:textId="77777777" w:rsidTr="005839FD">
        <w:trPr>
          <w:trHeight w:val="300"/>
        </w:trPr>
        <w:tc>
          <w:tcPr>
            <w:tcW w:w="3820" w:type="dxa"/>
            <w:tcBorders>
              <w:top w:val="nil"/>
              <w:left w:val="nil"/>
              <w:bottom w:val="nil"/>
              <w:right w:val="nil"/>
            </w:tcBorders>
            <w:shd w:val="clear" w:color="auto" w:fill="auto"/>
            <w:noWrap/>
            <w:vAlign w:val="bottom"/>
            <w:hideMark/>
          </w:tcPr>
          <w:p w14:paraId="463A4404"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Gentamicina</w:t>
            </w:r>
          </w:p>
        </w:tc>
        <w:tc>
          <w:tcPr>
            <w:tcW w:w="1720" w:type="dxa"/>
            <w:tcBorders>
              <w:top w:val="nil"/>
              <w:left w:val="nil"/>
              <w:bottom w:val="nil"/>
              <w:right w:val="nil"/>
            </w:tcBorders>
            <w:shd w:val="clear" w:color="auto" w:fill="auto"/>
            <w:noWrap/>
            <w:vAlign w:val="bottom"/>
            <w:hideMark/>
          </w:tcPr>
          <w:p w14:paraId="44503322"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7</w:t>
            </w:r>
          </w:p>
        </w:tc>
        <w:tc>
          <w:tcPr>
            <w:tcW w:w="1760" w:type="dxa"/>
            <w:tcBorders>
              <w:top w:val="nil"/>
              <w:left w:val="nil"/>
              <w:bottom w:val="nil"/>
              <w:right w:val="nil"/>
            </w:tcBorders>
            <w:shd w:val="clear" w:color="auto" w:fill="auto"/>
            <w:noWrap/>
            <w:vAlign w:val="bottom"/>
            <w:hideMark/>
          </w:tcPr>
          <w:p w14:paraId="53C6657C"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39</w:t>
            </w:r>
          </w:p>
        </w:tc>
      </w:tr>
      <w:tr w:rsidR="005839FD" w:rsidRPr="005839FD" w14:paraId="78E63AC1" w14:textId="77777777" w:rsidTr="005839FD">
        <w:trPr>
          <w:trHeight w:val="300"/>
        </w:trPr>
        <w:tc>
          <w:tcPr>
            <w:tcW w:w="3820" w:type="dxa"/>
            <w:tcBorders>
              <w:top w:val="nil"/>
              <w:left w:val="nil"/>
              <w:bottom w:val="nil"/>
              <w:right w:val="nil"/>
            </w:tcBorders>
            <w:shd w:val="clear" w:color="auto" w:fill="auto"/>
            <w:noWrap/>
            <w:vAlign w:val="bottom"/>
            <w:hideMark/>
          </w:tcPr>
          <w:p w14:paraId="3A5B181A"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Ciprofloxacina</w:t>
            </w:r>
          </w:p>
        </w:tc>
        <w:tc>
          <w:tcPr>
            <w:tcW w:w="1720" w:type="dxa"/>
            <w:tcBorders>
              <w:top w:val="nil"/>
              <w:left w:val="nil"/>
              <w:bottom w:val="nil"/>
              <w:right w:val="nil"/>
            </w:tcBorders>
            <w:shd w:val="clear" w:color="auto" w:fill="auto"/>
            <w:noWrap/>
            <w:vAlign w:val="bottom"/>
            <w:hideMark/>
          </w:tcPr>
          <w:p w14:paraId="53B87C6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6788746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28</w:t>
            </w:r>
          </w:p>
        </w:tc>
      </w:tr>
      <w:tr w:rsidR="005839FD" w:rsidRPr="005839FD" w14:paraId="103208E1" w14:textId="77777777" w:rsidTr="005839FD">
        <w:trPr>
          <w:trHeight w:val="300"/>
        </w:trPr>
        <w:tc>
          <w:tcPr>
            <w:tcW w:w="3820" w:type="dxa"/>
            <w:tcBorders>
              <w:top w:val="nil"/>
              <w:left w:val="nil"/>
              <w:bottom w:val="nil"/>
              <w:right w:val="nil"/>
            </w:tcBorders>
            <w:shd w:val="clear" w:color="auto" w:fill="auto"/>
            <w:noWrap/>
            <w:vAlign w:val="bottom"/>
            <w:hideMark/>
          </w:tcPr>
          <w:p w14:paraId="3368E5D1"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Cefepime</w:t>
            </w:r>
            <w:proofErr w:type="spellEnd"/>
          </w:p>
        </w:tc>
        <w:tc>
          <w:tcPr>
            <w:tcW w:w="1720" w:type="dxa"/>
            <w:tcBorders>
              <w:top w:val="nil"/>
              <w:left w:val="nil"/>
              <w:bottom w:val="nil"/>
              <w:right w:val="nil"/>
            </w:tcBorders>
            <w:shd w:val="clear" w:color="auto" w:fill="auto"/>
            <w:noWrap/>
            <w:vAlign w:val="bottom"/>
            <w:hideMark/>
          </w:tcPr>
          <w:p w14:paraId="5A45456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2E83C53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28</w:t>
            </w:r>
          </w:p>
        </w:tc>
      </w:tr>
      <w:tr w:rsidR="005839FD" w:rsidRPr="005839FD" w14:paraId="38822733" w14:textId="77777777" w:rsidTr="005839FD">
        <w:trPr>
          <w:trHeight w:val="300"/>
        </w:trPr>
        <w:tc>
          <w:tcPr>
            <w:tcW w:w="3820" w:type="dxa"/>
            <w:tcBorders>
              <w:top w:val="nil"/>
              <w:left w:val="nil"/>
              <w:bottom w:val="nil"/>
              <w:right w:val="nil"/>
            </w:tcBorders>
            <w:shd w:val="clear" w:color="auto" w:fill="auto"/>
            <w:noWrap/>
            <w:vAlign w:val="bottom"/>
            <w:hideMark/>
          </w:tcPr>
          <w:p w14:paraId="6A8B6C2A"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Cefazolina</w:t>
            </w:r>
          </w:p>
        </w:tc>
        <w:tc>
          <w:tcPr>
            <w:tcW w:w="1720" w:type="dxa"/>
            <w:tcBorders>
              <w:top w:val="nil"/>
              <w:left w:val="nil"/>
              <w:bottom w:val="nil"/>
              <w:right w:val="nil"/>
            </w:tcBorders>
            <w:shd w:val="clear" w:color="auto" w:fill="auto"/>
            <w:noWrap/>
            <w:vAlign w:val="bottom"/>
            <w:hideMark/>
          </w:tcPr>
          <w:p w14:paraId="01C16B9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4</w:t>
            </w:r>
          </w:p>
        </w:tc>
        <w:tc>
          <w:tcPr>
            <w:tcW w:w="1760" w:type="dxa"/>
            <w:tcBorders>
              <w:top w:val="nil"/>
              <w:left w:val="nil"/>
              <w:bottom w:val="nil"/>
              <w:right w:val="nil"/>
            </w:tcBorders>
            <w:shd w:val="clear" w:color="auto" w:fill="auto"/>
            <w:noWrap/>
            <w:vAlign w:val="bottom"/>
            <w:hideMark/>
          </w:tcPr>
          <w:p w14:paraId="74493BA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22</w:t>
            </w:r>
          </w:p>
        </w:tc>
      </w:tr>
      <w:tr w:rsidR="005839FD" w:rsidRPr="005839FD" w14:paraId="1879D74E" w14:textId="77777777" w:rsidTr="005839FD">
        <w:trPr>
          <w:trHeight w:val="300"/>
        </w:trPr>
        <w:tc>
          <w:tcPr>
            <w:tcW w:w="3820" w:type="dxa"/>
            <w:tcBorders>
              <w:top w:val="nil"/>
              <w:left w:val="nil"/>
              <w:bottom w:val="nil"/>
              <w:right w:val="nil"/>
            </w:tcBorders>
            <w:shd w:val="clear" w:color="auto" w:fill="auto"/>
            <w:noWrap/>
            <w:vAlign w:val="bottom"/>
            <w:hideMark/>
          </w:tcPr>
          <w:p w14:paraId="74269C7A"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Ertapenem</w:t>
            </w:r>
            <w:proofErr w:type="spellEnd"/>
          </w:p>
        </w:tc>
        <w:tc>
          <w:tcPr>
            <w:tcW w:w="1720" w:type="dxa"/>
            <w:tcBorders>
              <w:top w:val="nil"/>
              <w:left w:val="nil"/>
              <w:bottom w:val="nil"/>
              <w:right w:val="nil"/>
            </w:tcBorders>
            <w:shd w:val="clear" w:color="auto" w:fill="auto"/>
            <w:noWrap/>
            <w:vAlign w:val="bottom"/>
            <w:hideMark/>
          </w:tcPr>
          <w:p w14:paraId="084DE31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2F0CC8A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17</w:t>
            </w:r>
          </w:p>
        </w:tc>
      </w:tr>
      <w:tr w:rsidR="005839FD" w:rsidRPr="005839FD" w14:paraId="2EA46B28"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154586C2"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274F758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18</w:t>
            </w:r>
          </w:p>
        </w:tc>
        <w:tc>
          <w:tcPr>
            <w:tcW w:w="1760" w:type="dxa"/>
            <w:tcBorders>
              <w:top w:val="single" w:sz="4" w:space="0" w:color="auto"/>
              <w:left w:val="nil"/>
              <w:bottom w:val="double" w:sz="6" w:space="0" w:color="auto"/>
              <w:right w:val="nil"/>
            </w:tcBorders>
            <w:shd w:val="clear" w:color="auto" w:fill="auto"/>
            <w:vAlign w:val="center"/>
            <w:hideMark/>
          </w:tcPr>
          <w:p w14:paraId="2E5C869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 </w:t>
            </w:r>
          </w:p>
        </w:tc>
      </w:tr>
      <w:tr w:rsidR="005839FD" w:rsidRPr="005839FD" w14:paraId="57435E51" w14:textId="77777777" w:rsidTr="005839FD">
        <w:trPr>
          <w:trHeight w:val="300"/>
        </w:trPr>
        <w:tc>
          <w:tcPr>
            <w:tcW w:w="3820" w:type="dxa"/>
            <w:tcBorders>
              <w:top w:val="nil"/>
              <w:left w:val="nil"/>
              <w:bottom w:val="nil"/>
              <w:right w:val="nil"/>
            </w:tcBorders>
            <w:shd w:val="clear" w:color="auto" w:fill="auto"/>
            <w:noWrap/>
            <w:vAlign w:val="bottom"/>
            <w:hideMark/>
          </w:tcPr>
          <w:p w14:paraId="74AFB39F"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138ACFA7"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4F4CFAEE"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31FE76C6" w14:textId="77777777" w:rsidR="00752FF8" w:rsidRPr="005839FD" w:rsidRDefault="00752FF8" w:rsidP="00752FF8">
      <w:pPr>
        <w:spacing w:after="0" w:line="360" w:lineRule="auto"/>
        <w:jc w:val="both"/>
        <w:rPr>
          <w:rFonts w:ascii="Times New Roman" w:hAnsi="Times New Roman" w:cs="Times New Roman"/>
          <w:b/>
          <w:bCs/>
          <w:sz w:val="24"/>
          <w:szCs w:val="24"/>
        </w:rPr>
      </w:pPr>
    </w:p>
    <w:p w14:paraId="71C78849" w14:textId="77777777" w:rsidR="00752FF8" w:rsidRDefault="00752FF8" w:rsidP="00752FF8">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caso de la resistencia antimicrobiana a los antibióticos, esta fue mayor para la </w:t>
      </w:r>
      <w:r>
        <w:rPr>
          <w:rFonts w:ascii="Times New Roman" w:hAnsi="Times New Roman" w:cs="Times New Roman"/>
          <w:b/>
          <w:bCs/>
          <w:sz w:val="24"/>
          <w:szCs w:val="24"/>
          <w:lang w:val="es-MX"/>
        </w:rPr>
        <w:t>Cefazolina (44% n=8/18)</w:t>
      </w:r>
      <w:r>
        <w:rPr>
          <w:rFonts w:ascii="Times New Roman" w:hAnsi="Times New Roman" w:cs="Times New Roman"/>
          <w:sz w:val="24"/>
          <w:szCs w:val="24"/>
          <w:lang w:val="es-MX"/>
        </w:rPr>
        <w:t xml:space="preserve">, seguido de la </w:t>
      </w:r>
      <w:r>
        <w:rPr>
          <w:rFonts w:ascii="Times New Roman" w:hAnsi="Times New Roman" w:cs="Times New Roman"/>
          <w:b/>
          <w:bCs/>
          <w:sz w:val="24"/>
          <w:szCs w:val="24"/>
          <w:lang w:val="es-MX"/>
        </w:rPr>
        <w:t>Ampicilina con el 33% (n=6/18)</w:t>
      </w:r>
      <w:r>
        <w:rPr>
          <w:rFonts w:ascii="Times New Roman" w:hAnsi="Times New Roman" w:cs="Times New Roman"/>
          <w:sz w:val="24"/>
          <w:szCs w:val="24"/>
          <w:lang w:val="es-MX"/>
        </w:rPr>
        <w:t xml:space="preserve">, la </w:t>
      </w:r>
      <w:r>
        <w:rPr>
          <w:rFonts w:ascii="Times New Roman" w:hAnsi="Times New Roman" w:cs="Times New Roman"/>
          <w:b/>
          <w:bCs/>
          <w:sz w:val="24"/>
          <w:szCs w:val="24"/>
          <w:lang w:val="es-MX"/>
        </w:rPr>
        <w:t xml:space="preserve">Ceftriaxona, Gentamicina y Ciprofloxacina con el 28% (n=5/18), </w:t>
      </w:r>
      <w:r>
        <w:rPr>
          <w:rFonts w:ascii="Times New Roman" w:hAnsi="Times New Roman" w:cs="Times New Roman"/>
          <w:sz w:val="24"/>
          <w:szCs w:val="24"/>
          <w:lang w:val="es-MX"/>
        </w:rPr>
        <w:t xml:space="preserve">en el caso de la </w:t>
      </w:r>
      <w:proofErr w:type="spellStart"/>
      <w:r>
        <w:rPr>
          <w:rFonts w:ascii="Times New Roman" w:hAnsi="Times New Roman" w:cs="Times New Roman"/>
          <w:b/>
          <w:bCs/>
          <w:sz w:val="24"/>
          <w:szCs w:val="24"/>
          <w:lang w:val="es-MX"/>
        </w:rPr>
        <w:t>Timetropin</w:t>
      </w:r>
      <w:proofErr w:type="spellEnd"/>
      <w:r>
        <w:rPr>
          <w:rFonts w:ascii="Times New Roman" w:hAnsi="Times New Roman" w:cs="Times New Roman"/>
          <w:b/>
          <w:bCs/>
          <w:sz w:val="24"/>
          <w:szCs w:val="24"/>
          <w:lang w:val="es-MX"/>
        </w:rPr>
        <w:t xml:space="preserve"> y la </w:t>
      </w:r>
      <w:proofErr w:type="spellStart"/>
      <w:r>
        <w:rPr>
          <w:rFonts w:ascii="Times New Roman" w:hAnsi="Times New Roman" w:cs="Times New Roman"/>
          <w:b/>
          <w:bCs/>
          <w:sz w:val="24"/>
          <w:szCs w:val="24"/>
          <w:lang w:val="es-MX"/>
        </w:rPr>
        <w:t>Cefepime</w:t>
      </w:r>
      <w:proofErr w:type="spellEnd"/>
      <w:r>
        <w:rPr>
          <w:rFonts w:ascii="Times New Roman" w:hAnsi="Times New Roman" w:cs="Times New Roman"/>
          <w:sz w:val="24"/>
          <w:szCs w:val="24"/>
          <w:lang w:val="es-MX"/>
        </w:rPr>
        <w:t xml:space="preserve"> fue del </w:t>
      </w:r>
      <w:r>
        <w:rPr>
          <w:rFonts w:ascii="Times New Roman" w:hAnsi="Times New Roman" w:cs="Times New Roman"/>
          <w:b/>
          <w:bCs/>
          <w:sz w:val="24"/>
          <w:szCs w:val="24"/>
          <w:lang w:val="es-MX"/>
        </w:rPr>
        <w:t>22% (n=4/18) y 11% (n=2/18)</w:t>
      </w:r>
      <w:r>
        <w:rPr>
          <w:rFonts w:ascii="Times New Roman" w:hAnsi="Times New Roman" w:cs="Times New Roman"/>
          <w:sz w:val="24"/>
          <w:szCs w:val="24"/>
          <w:lang w:val="es-MX"/>
        </w:rPr>
        <w:t xml:space="preserve"> respectivamente. </w:t>
      </w:r>
      <w:r>
        <w:rPr>
          <w:rFonts w:ascii="Times New Roman" w:hAnsi="Times New Roman" w:cs="Times New Roman"/>
          <w:b/>
          <w:bCs/>
          <w:sz w:val="24"/>
          <w:szCs w:val="24"/>
          <w:lang w:val="es-MX"/>
        </w:rPr>
        <w:t>Ver Tabla No 22.</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1D84A1D5"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3799ACB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22</w:t>
            </w:r>
          </w:p>
        </w:tc>
      </w:tr>
      <w:tr w:rsidR="005839FD" w:rsidRPr="005839FD" w14:paraId="5468891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044133B0"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Resistencia en Urocultivo en los niños en estudio</w:t>
            </w:r>
          </w:p>
        </w:tc>
      </w:tr>
      <w:tr w:rsidR="005839FD" w:rsidRPr="005839FD" w14:paraId="1B827F5C"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4960A40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16F8AF00" w14:textId="77777777" w:rsidTr="005839FD">
        <w:trPr>
          <w:trHeight w:val="300"/>
        </w:trPr>
        <w:tc>
          <w:tcPr>
            <w:tcW w:w="7300" w:type="dxa"/>
            <w:gridSpan w:val="3"/>
            <w:tcBorders>
              <w:top w:val="nil"/>
              <w:left w:val="nil"/>
              <w:bottom w:val="nil"/>
              <w:right w:val="nil"/>
            </w:tcBorders>
            <w:shd w:val="clear" w:color="auto" w:fill="auto"/>
            <w:vAlign w:val="bottom"/>
            <w:hideMark/>
          </w:tcPr>
          <w:p w14:paraId="785CB0D4"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08D8D8EC"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5D5E61C0"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5BB804E5"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020684D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Antibióticos</w:t>
            </w:r>
          </w:p>
        </w:tc>
        <w:tc>
          <w:tcPr>
            <w:tcW w:w="1720" w:type="dxa"/>
            <w:tcBorders>
              <w:top w:val="nil"/>
              <w:left w:val="nil"/>
              <w:bottom w:val="double" w:sz="6" w:space="0" w:color="auto"/>
              <w:right w:val="nil"/>
            </w:tcBorders>
            <w:shd w:val="clear" w:color="auto" w:fill="auto"/>
            <w:noWrap/>
            <w:vAlign w:val="bottom"/>
            <w:hideMark/>
          </w:tcPr>
          <w:p w14:paraId="4F23F5C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3199289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3B263194" w14:textId="77777777" w:rsidTr="005839FD">
        <w:trPr>
          <w:trHeight w:val="300"/>
        </w:trPr>
        <w:tc>
          <w:tcPr>
            <w:tcW w:w="3820" w:type="dxa"/>
            <w:tcBorders>
              <w:top w:val="nil"/>
              <w:left w:val="nil"/>
              <w:bottom w:val="nil"/>
              <w:right w:val="nil"/>
            </w:tcBorders>
            <w:shd w:val="clear" w:color="auto" w:fill="auto"/>
            <w:noWrap/>
            <w:vAlign w:val="bottom"/>
            <w:hideMark/>
          </w:tcPr>
          <w:p w14:paraId="3DA0BAAE"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Cefazolina</w:t>
            </w:r>
          </w:p>
        </w:tc>
        <w:tc>
          <w:tcPr>
            <w:tcW w:w="1720" w:type="dxa"/>
            <w:tcBorders>
              <w:top w:val="nil"/>
              <w:left w:val="nil"/>
              <w:bottom w:val="nil"/>
              <w:right w:val="nil"/>
            </w:tcBorders>
            <w:shd w:val="clear" w:color="auto" w:fill="auto"/>
            <w:noWrap/>
            <w:vAlign w:val="bottom"/>
            <w:hideMark/>
          </w:tcPr>
          <w:p w14:paraId="5A2677D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w:t>
            </w:r>
          </w:p>
        </w:tc>
        <w:tc>
          <w:tcPr>
            <w:tcW w:w="1760" w:type="dxa"/>
            <w:tcBorders>
              <w:top w:val="nil"/>
              <w:left w:val="nil"/>
              <w:bottom w:val="nil"/>
              <w:right w:val="nil"/>
            </w:tcBorders>
            <w:shd w:val="clear" w:color="auto" w:fill="auto"/>
            <w:noWrap/>
            <w:vAlign w:val="bottom"/>
            <w:hideMark/>
          </w:tcPr>
          <w:p w14:paraId="10D0F3D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44</w:t>
            </w:r>
          </w:p>
        </w:tc>
      </w:tr>
      <w:tr w:rsidR="005839FD" w:rsidRPr="005839FD" w14:paraId="76C8F1AF" w14:textId="77777777" w:rsidTr="005839FD">
        <w:trPr>
          <w:trHeight w:val="300"/>
        </w:trPr>
        <w:tc>
          <w:tcPr>
            <w:tcW w:w="3820" w:type="dxa"/>
            <w:tcBorders>
              <w:top w:val="nil"/>
              <w:left w:val="nil"/>
              <w:bottom w:val="nil"/>
              <w:right w:val="nil"/>
            </w:tcBorders>
            <w:shd w:val="clear" w:color="auto" w:fill="auto"/>
            <w:noWrap/>
            <w:vAlign w:val="bottom"/>
            <w:hideMark/>
          </w:tcPr>
          <w:p w14:paraId="4348CB63"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Ampicilina</w:t>
            </w:r>
          </w:p>
        </w:tc>
        <w:tc>
          <w:tcPr>
            <w:tcW w:w="1720" w:type="dxa"/>
            <w:tcBorders>
              <w:top w:val="nil"/>
              <w:left w:val="nil"/>
              <w:bottom w:val="nil"/>
              <w:right w:val="nil"/>
            </w:tcBorders>
            <w:shd w:val="clear" w:color="auto" w:fill="auto"/>
            <w:noWrap/>
            <w:vAlign w:val="bottom"/>
            <w:hideMark/>
          </w:tcPr>
          <w:p w14:paraId="5AAF7FE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w:t>
            </w:r>
          </w:p>
        </w:tc>
        <w:tc>
          <w:tcPr>
            <w:tcW w:w="1760" w:type="dxa"/>
            <w:tcBorders>
              <w:top w:val="nil"/>
              <w:left w:val="nil"/>
              <w:bottom w:val="nil"/>
              <w:right w:val="nil"/>
            </w:tcBorders>
            <w:shd w:val="clear" w:color="auto" w:fill="auto"/>
            <w:noWrap/>
            <w:vAlign w:val="bottom"/>
            <w:hideMark/>
          </w:tcPr>
          <w:p w14:paraId="19CA0906"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33</w:t>
            </w:r>
          </w:p>
        </w:tc>
      </w:tr>
      <w:tr w:rsidR="005839FD" w:rsidRPr="005839FD" w14:paraId="687D5D94" w14:textId="77777777" w:rsidTr="005839FD">
        <w:trPr>
          <w:trHeight w:val="300"/>
        </w:trPr>
        <w:tc>
          <w:tcPr>
            <w:tcW w:w="3820" w:type="dxa"/>
            <w:tcBorders>
              <w:top w:val="nil"/>
              <w:left w:val="nil"/>
              <w:bottom w:val="nil"/>
              <w:right w:val="nil"/>
            </w:tcBorders>
            <w:shd w:val="clear" w:color="auto" w:fill="auto"/>
            <w:noWrap/>
            <w:vAlign w:val="bottom"/>
            <w:hideMark/>
          </w:tcPr>
          <w:p w14:paraId="15ECC3DB"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Ciprofloxacina</w:t>
            </w:r>
          </w:p>
        </w:tc>
        <w:tc>
          <w:tcPr>
            <w:tcW w:w="1720" w:type="dxa"/>
            <w:tcBorders>
              <w:top w:val="nil"/>
              <w:left w:val="nil"/>
              <w:bottom w:val="nil"/>
              <w:right w:val="nil"/>
            </w:tcBorders>
            <w:shd w:val="clear" w:color="auto" w:fill="auto"/>
            <w:noWrap/>
            <w:vAlign w:val="bottom"/>
            <w:hideMark/>
          </w:tcPr>
          <w:p w14:paraId="37227702"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403C6862"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28</w:t>
            </w:r>
          </w:p>
        </w:tc>
      </w:tr>
      <w:tr w:rsidR="005839FD" w:rsidRPr="005839FD" w14:paraId="0AD08CBC" w14:textId="77777777" w:rsidTr="005839FD">
        <w:trPr>
          <w:trHeight w:val="300"/>
        </w:trPr>
        <w:tc>
          <w:tcPr>
            <w:tcW w:w="3820" w:type="dxa"/>
            <w:tcBorders>
              <w:top w:val="nil"/>
              <w:left w:val="nil"/>
              <w:bottom w:val="nil"/>
              <w:right w:val="nil"/>
            </w:tcBorders>
            <w:shd w:val="clear" w:color="auto" w:fill="auto"/>
            <w:noWrap/>
            <w:vAlign w:val="bottom"/>
            <w:hideMark/>
          </w:tcPr>
          <w:p w14:paraId="2C7BD8C6"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lastRenderedPageBreak/>
              <w:t>Gentamicina</w:t>
            </w:r>
          </w:p>
        </w:tc>
        <w:tc>
          <w:tcPr>
            <w:tcW w:w="1720" w:type="dxa"/>
            <w:tcBorders>
              <w:top w:val="nil"/>
              <w:left w:val="nil"/>
              <w:bottom w:val="nil"/>
              <w:right w:val="nil"/>
            </w:tcBorders>
            <w:shd w:val="clear" w:color="auto" w:fill="auto"/>
            <w:noWrap/>
            <w:vAlign w:val="bottom"/>
            <w:hideMark/>
          </w:tcPr>
          <w:p w14:paraId="2637EDE3"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4AADDBA8"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28</w:t>
            </w:r>
          </w:p>
        </w:tc>
      </w:tr>
      <w:tr w:rsidR="005839FD" w:rsidRPr="005839FD" w14:paraId="4BA79FAF" w14:textId="77777777" w:rsidTr="005839FD">
        <w:trPr>
          <w:trHeight w:val="300"/>
        </w:trPr>
        <w:tc>
          <w:tcPr>
            <w:tcW w:w="3820" w:type="dxa"/>
            <w:tcBorders>
              <w:top w:val="nil"/>
              <w:left w:val="nil"/>
              <w:bottom w:val="nil"/>
              <w:right w:val="nil"/>
            </w:tcBorders>
            <w:shd w:val="clear" w:color="auto" w:fill="auto"/>
            <w:noWrap/>
            <w:vAlign w:val="bottom"/>
            <w:hideMark/>
          </w:tcPr>
          <w:p w14:paraId="7DB3AD75"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Ceftriaxone</w:t>
            </w:r>
            <w:proofErr w:type="spellEnd"/>
          </w:p>
        </w:tc>
        <w:tc>
          <w:tcPr>
            <w:tcW w:w="1720" w:type="dxa"/>
            <w:tcBorders>
              <w:top w:val="nil"/>
              <w:left w:val="nil"/>
              <w:bottom w:val="nil"/>
              <w:right w:val="nil"/>
            </w:tcBorders>
            <w:shd w:val="clear" w:color="auto" w:fill="auto"/>
            <w:noWrap/>
            <w:vAlign w:val="bottom"/>
            <w:hideMark/>
          </w:tcPr>
          <w:p w14:paraId="7112654D"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c>
          <w:tcPr>
            <w:tcW w:w="1760" w:type="dxa"/>
            <w:tcBorders>
              <w:top w:val="nil"/>
              <w:left w:val="nil"/>
              <w:bottom w:val="nil"/>
              <w:right w:val="nil"/>
            </w:tcBorders>
            <w:shd w:val="clear" w:color="auto" w:fill="auto"/>
            <w:noWrap/>
            <w:vAlign w:val="bottom"/>
            <w:hideMark/>
          </w:tcPr>
          <w:p w14:paraId="69C5284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28</w:t>
            </w:r>
          </w:p>
        </w:tc>
      </w:tr>
      <w:tr w:rsidR="005839FD" w:rsidRPr="005839FD" w14:paraId="07F8A47C" w14:textId="77777777" w:rsidTr="005839FD">
        <w:trPr>
          <w:trHeight w:val="300"/>
        </w:trPr>
        <w:tc>
          <w:tcPr>
            <w:tcW w:w="3820" w:type="dxa"/>
            <w:tcBorders>
              <w:top w:val="nil"/>
              <w:left w:val="nil"/>
              <w:bottom w:val="nil"/>
              <w:right w:val="nil"/>
            </w:tcBorders>
            <w:shd w:val="clear" w:color="auto" w:fill="auto"/>
            <w:noWrap/>
            <w:vAlign w:val="bottom"/>
            <w:hideMark/>
          </w:tcPr>
          <w:p w14:paraId="78A5DFA0"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Trimetropina</w:t>
            </w:r>
            <w:proofErr w:type="spellEnd"/>
          </w:p>
        </w:tc>
        <w:tc>
          <w:tcPr>
            <w:tcW w:w="1720" w:type="dxa"/>
            <w:tcBorders>
              <w:top w:val="nil"/>
              <w:left w:val="nil"/>
              <w:bottom w:val="nil"/>
              <w:right w:val="nil"/>
            </w:tcBorders>
            <w:shd w:val="clear" w:color="auto" w:fill="auto"/>
            <w:noWrap/>
            <w:vAlign w:val="bottom"/>
            <w:hideMark/>
          </w:tcPr>
          <w:p w14:paraId="0E81024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4</w:t>
            </w:r>
          </w:p>
        </w:tc>
        <w:tc>
          <w:tcPr>
            <w:tcW w:w="1760" w:type="dxa"/>
            <w:tcBorders>
              <w:top w:val="nil"/>
              <w:left w:val="nil"/>
              <w:bottom w:val="nil"/>
              <w:right w:val="nil"/>
            </w:tcBorders>
            <w:shd w:val="clear" w:color="auto" w:fill="auto"/>
            <w:noWrap/>
            <w:vAlign w:val="bottom"/>
            <w:hideMark/>
          </w:tcPr>
          <w:p w14:paraId="064108B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22</w:t>
            </w:r>
          </w:p>
        </w:tc>
      </w:tr>
      <w:tr w:rsidR="005839FD" w:rsidRPr="005839FD" w14:paraId="74A3D28C" w14:textId="77777777" w:rsidTr="005839FD">
        <w:trPr>
          <w:trHeight w:val="300"/>
        </w:trPr>
        <w:tc>
          <w:tcPr>
            <w:tcW w:w="3820" w:type="dxa"/>
            <w:tcBorders>
              <w:top w:val="nil"/>
              <w:left w:val="nil"/>
              <w:bottom w:val="nil"/>
              <w:right w:val="nil"/>
            </w:tcBorders>
            <w:shd w:val="clear" w:color="auto" w:fill="auto"/>
            <w:noWrap/>
            <w:vAlign w:val="bottom"/>
            <w:hideMark/>
          </w:tcPr>
          <w:p w14:paraId="68CAE583"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Cefepime</w:t>
            </w:r>
            <w:proofErr w:type="spellEnd"/>
          </w:p>
        </w:tc>
        <w:tc>
          <w:tcPr>
            <w:tcW w:w="1720" w:type="dxa"/>
            <w:tcBorders>
              <w:top w:val="nil"/>
              <w:left w:val="nil"/>
              <w:bottom w:val="nil"/>
              <w:right w:val="nil"/>
            </w:tcBorders>
            <w:shd w:val="clear" w:color="auto" w:fill="auto"/>
            <w:noWrap/>
            <w:vAlign w:val="bottom"/>
            <w:hideMark/>
          </w:tcPr>
          <w:p w14:paraId="4AD3C2D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38E642F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11</w:t>
            </w:r>
          </w:p>
        </w:tc>
      </w:tr>
      <w:tr w:rsidR="005839FD" w:rsidRPr="005839FD" w14:paraId="6341170F"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BD13660"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341FE1E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18</w:t>
            </w:r>
          </w:p>
        </w:tc>
        <w:tc>
          <w:tcPr>
            <w:tcW w:w="1760" w:type="dxa"/>
            <w:tcBorders>
              <w:top w:val="single" w:sz="4" w:space="0" w:color="auto"/>
              <w:left w:val="nil"/>
              <w:bottom w:val="double" w:sz="6" w:space="0" w:color="auto"/>
              <w:right w:val="nil"/>
            </w:tcBorders>
            <w:shd w:val="clear" w:color="auto" w:fill="auto"/>
            <w:vAlign w:val="center"/>
            <w:hideMark/>
          </w:tcPr>
          <w:p w14:paraId="462A63BD"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 </w:t>
            </w:r>
          </w:p>
        </w:tc>
      </w:tr>
      <w:tr w:rsidR="005839FD" w:rsidRPr="005839FD" w14:paraId="417F22F2" w14:textId="77777777" w:rsidTr="005839FD">
        <w:trPr>
          <w:trHeight w:val="300"/>
        </w:trPr>
        <w:tc>
          <w:tcPr>
            <w:tcW w:w="3820" w:type="dxa"/>
            <w:tcBorders>
              <w:top w:val="nil"/>
              <w:left w:val="nil"/>
              <w:bottom w:val="nil"/>
              <w:right w:val="nil"/>
            </w:tcBorders>
            <w:shd w:val="clear" w:color="auto" w:fill="auto"/>
            <w:noWrap/>
            <w:vAlign w:val="bottom"/>
            <w:hideMark/>
          </w:tcPr>
          <w:p w14:paraId="531E8CA4"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56064286"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4932EB71"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0EC45A86" w14:textId="77777777" w:rsidR="00752FF8" w:rsidRDefault="00752FF8" w:rsidP="00752FF8">
      <w:pPr>
        <w:spacing w:after="0" w:line="360" w:lineRule="auto"/>
        <w:jc w:val="both"/>
        <w:rPr>
          <w:rFonts w:ascii="Times New Roman" w:hAnsi="Times New Roman" w:cs="Times New Roman"/>
          <w:sz w:val="24"/>
          <w:szCs w:val="24"/>
        </w:rPr>
      </w:pPr>
    </w:p>
    <w:p w14:paraId="1DD17FDA" w14:textId="35C004C1" w:rsidR="00752FF8" w:rsidRDefault="00752FF8" w:rsidP="00752FF8">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antibióticos </w:t>
      </w:r>
      <w:r w:rsidR="005839FD">
        <w:rPr>
          <w:rFonts w:ascii="Times New Roman" w:hAnsi="Times New Roman" w:cs="Times New Roman"/>
          <w:sz w:val="24"/>
          <w:szCs w:val="24"/>
          <w:lang w:val="es-MX"/>
        </w:rPr>
        <w:t>más</w:t>
      </w:r>
      <w:r>
        <w:rPr>
          <w:rFonts w:ascii="Times New Roman" w:hAnsi="Times New Roman" w:cs="Times New Roman"/>
          <w:sz w:val="24"/>
          <w:szCs w:val="24"/>
          <w:lang w:val="es-MX"/>
        </w:rPr>
        <w:t xml:space="preserve"> utilizados fueron: la Ceftriaxona con el </w:t>
      </w:r>
      <w:r>
        <w:rPr>
          <w:rFonts w:ascii="Times New Roman" w:hAnsi="Times New Roman" w:cs="Times New Roman"/>
          <w:b/>
          <w:bCs/>
          <w:sz w:val="24"/>
          <w:szCs w:val="24"/>
          <w:lang w:val="es-MX"/>
        </w:rPr>
        <w:t xml:space="preserve">51% (n=20/39), </w:t>
      </w:r>
      <w:r>
        <w:rPr>
          <w:rFonts w:ascii="Times New Roman" w:hAnsi="Times New Roman" w:cs="Times New Roman"/>
          <w:sz w:val="24"/>
          <w:szCs w:val="24"/>
          <w:lang w:val="es-MX"/>
        </w:rPr>
        <w:t>seguido de la combinación de Ceftriaxona y Amikacina</w:t>
      </w:r>
      <w:r>
        <w:rPr>
          <w:rFonts w:ascii="Times New Roman" w:hAnsi="Times New Roman" w:cs="Times New Roman"/>
          <w:b/>
          <w:bCs/>
          <w:sz w:val="24"/>
          <w:szCs w:val="24"/>
          <w:lang w:val="es-MX"/>
        </w:rPr>
        <w:t xml:space="preserve"> </w:t>
      </w:r>
      <w:r>
        <w:rPr>
          <w:rFonts w:ascii="Times New Roman" w:hAnsi="Times New Roman" w:cs="Times New Roman"/>
          <w:sz w:val="24"/>
          <w:szCs w:val="24"/>
          <w:lang w:val="es-MX"/>
        </w:rPr>
        <w:t xml:space="preserve">con el </w:t>
      </w:r>
      <w:r>
        <w:rPr>
          <w:rFonts w:ascii="Times New Roman" w:hAnsi="Times New Roman" w:cs="Times New Roman"/>
          <w:b/>
          <w:bCs/>
          <w:sz w:val="24"/>
          <w:szCs w:val="24"/>
          <w:lang w:val="es-MX"/>
        </w:rPr>
        <w:t>21% (n=8/39)</w:t>
      </w:r>
      <w:r>
        <w:rPr>
          <w:rFonts w:ascii="Times New Roman" w:hAnsi="Times New Roman" w:cs="Times New Roman"/>
          <w:sz w:val="24"/>
          <w:szCs w:val="24"/>
          <w:lang w:val="es-MX"/>
        </w:rPr>
        <w:t xml:space="preserve"> y el Meropenem con el </w:t>
      </w:r>
      <w:r>
        <w:rPr>
          <w:rFonts w:ascii="Times New Roman" w:hAnsi="Times New Roman" w:cs="Times New Roman"/>
          <w:b/>
          <w:bCs/>
          <w:sz w:val="24"/>
          <w:szCs w:val="24"/>
          <w:lang w:val="es-MX"/>
        </w:rPr>
        <w:t>8% (n=3/39)</w:t>
      </w:r>
      <w:r>
        <w:rPr>
          <w:rFonts w:ascii="Times New Roman" w:hAnsi="Times New Roman" w:cs="Times New Roman"/>
          <w:sz w:val="24"/>
          <w:szCs w:val="24"/>
          <w:lang w:val="es-MX"/>
        </w:rPr>
        <w:t xml:space="preserve">. </w:t>
      </w:r>
      <w:r>
        <w:rPr>
          <w:rFonts w:ascii="Times New Roman" w:hAnsi="Times New Roman" w:cs="Times New Roman"/>
          <w:b/>
          <w:bCs/>
          <w:sz w:val="24"/>
          <w:szCs w:val="24"/>
          <w:lang w:val="es-MX"/>
        </w:rPr>
        <w:t>Ver Tabla No 23.</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6376717F"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7A1563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23</w:t>
            </w:r>
          </w:p>
        </w:tc>
      </w:tr>
      <w:tr w:rsidR="005839FD" w:rsidRPr="005839FD" w14:paraId="0C58FED0"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1ED0155"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Tipo de Antibióticos utilizados en los niños en estudio</w:t>
            </w:r>
          </w:p>
        </w:tc>
      </w:tr>
      <w:tr w:rsidR="005839FD" w:rsidRPr="005839FD" w14:paraId="6297F829"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4D341860"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66FED287" w14:textId="77777777" w:rsidTr="005839FD">
        <w:trPr>
          <w:trHeight w:val="300"/>
        </w:trPr>
        <w:tc>
          <w:tcPr>
            <w:tcW w:w="7300" w:type="dxa"/>
            <w:gridSpan w:val="3"/>
            <w:tcBorders>
              <w:top w:val="nil"/>
              <w:left w:val="nil"/>
              <w:bottom w:val="nil"/>
              <w:right w:val="nil"/>
            </w:tcBorders>
            <w:shd w:val="clear" w:color="auto" w:fill="auto"/>
            <w:vAlign w:val="bottom"/>
            <w:hideMark/>
          </w:tcPr>
          <w:p w14:paraId="7B181C33"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0D224BF3"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58DF6493"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0BCCA120"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77C85602"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Antibióticos</w:t>
            </w:r>
          </w:p>
        </w:tc>
        <w:tc>
          <w:tcPr>
            <w:tcW w:w="1720" w:type="dxa"/>
            <w:tcBorders>
              <w:top w:val="nil"/>
              <w:left w:val="nil"/>
              <w:bottom w:val="double" w:sz="6" w:space="0" w:color="auto"/>
              <w:right w:val="nil"/>
            </w:tcBorders>
            <w:shd w:val="clear" w:color="auto" w:fill="auto"/>
            <w:noWrap/>
            <w:vAlign w:val="bottom"/>
            <w:hideMark/>
          </w:tcPr>
          <w:p w14:paraId="5B98756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02DDA34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18A3A88F" w14:textId="77777777" w:rsidTr="005839FD">
        <w:trPr>
          <w:trHeight w:val="300"/>
        </w:trPr>
        <w:tc>
          <w:tcPr>
            <w:tcW w:w="3820" w:type="dxa"/>
            <w:tcBorders>
              <w:top w:val="nil"/>
              <w:left w:val="nil"/>
              <w:bottom w:val="nil"/>
              <w:right w:val="nil"/>
            </w:tcBorders>
            <w:shd w:val="clear" w:color="auto" w:fill="auto"/>
            <w:noWrap/>
            <w:vAlign w:val="bottom"/>
            <w:hideMark/>
          </w:tcPr>
          <w:p w14:paraId="444DF80F"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Ceftriaxone</w:t>
            </w:r>
            <w:proofErr w:type="spellEnd"/>
          </w:p>
        </w:tc>
        <w:tc>
          <w:tcPr>
            <w:tcW w:w="1720" w:type="dxa"/>
            <w:tcBorders>
              <w:top w:val="nil"/>
              <w:left w:val="nil"/>
              <w:bottom w:val="nil"/>
              <w:right w:val="nil"/>
            </w:tcBorders>
            <w:shd w:val="clear" w:color="auto" w:fill="auto"/>
            <w:noWrap/>
            <w:vAlign w:val="bottom"/>
            <w:hideMark/>
          </w:tcPr>
          <w:p w14:paraId="7E32211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20</w:t>
            </w:r>
          </w:p>
        </w:tc>
        <w:tc>
          <w:tcPr>
            <w:tcW w:w="1760" w:type="dxa"/>
            <w:tcBorders>
              <w:top w:val="nil"/>
              <w:left w:val="nil"/>
              <w:bottom w:val="nil"/>
              <w:right w:val="nil"/>
            </w:tcBorders>
            <w:shd w:val="clear" w:color="auto" w:fill="auto"/>
            <w:noWrap/>
            <w:vAlign w:val="bottom"/>
            <w:hideMark/>
          </w:tcPr>
          <w:p w14:paraId="642C757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51</w:t>
            </w:r>
          </w:p>
        </w:tc>
      </w:tr>
      <w:tr w:rsidR="005839FD" w:rsidRPr="005839FD" w14:paraId="436E94BD" w14:textId="77777777" w:rsidTr="005839FD">
        <w:trPr>
          <w:trHeight w:val="300"/>
        </w:trPr>
        <w:tc>
          <w:tcPr>
            <w:tcW w:w="3820" w:type="dxa"/>
            <w:tcBorders>
              <w:top w:val="nil"/>
              <w:left w:val="nil"/>
              <w:bottom w:val="nil"/>
              <w:right w:val="nil"/>
            </w:tcBorders>
            <w:shd w:val="clear" w:color="auto" w:fill="auto"/>
            <w:noWrap/>
            <w:vAlign w:val="bottom"/>
            <w:hideMark/>
          </w:tcPr>
          <w:p w14:paraId="59862441"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Ceftriaxone</w:t>
            </w:r>
            <w:proofErr w:type="spellEnd"/>
            <w:r w:rsidRPr="005839FD">
              <w:rPr>
                <w:rFonts w:ascii="Times New Roman" w:eastAsia="Times New Roman" w:hAnsi="Times New Roman" w:cs="Times New Roman"/>
                <w:kern w:val="0"/>
                <w:lang w:val="es-ES" w:eastAsia="es-ES"/>
              </w:rPr>
              <w:t xml:space="preserve"> + Amikacina</w:t>
            </w:r>
          </w:p>
        </w:tc>
        <w:tc>
          <w:tcPr>
            <w:tcW w:w="1720" w:type="dxa"/>
            <w:tcBorders>
              <w:top w:val="nil"/>
              <w:left w:val="nil"/>
              <w:bottom w:val="nil"/>
              <w:right w:val="nil"/>
            </w:tcBorders>
            <w:shd w:val="clear" w:color="auto" w:fill="auto"/>
            <w:noWrap/>
            <w:vAlign w:val="bottom"/>
            <w:hideMark/>
          </w:tcPr>
          <w:p w14:paraId="0A29B532"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w:t>
            </w:r>
          </w:p>
        </w:tc>
        <w:tc>
          <w:tcPr>
            <w:tcW w:w="1760" w:type="dxa"/>
            <w:tcBorders>
              <w:top w:val="nil"/>
              <w:left w:val="nil"/>
              <w:bottom w:val="nil"/>
              <w:right w:val="nil"/>
            </w:tcBorders>
            <w:shd w:val="clear" w:color="auto" w:fill="auto"/>
            <w:noWrap/>
            <w:vAlign w:val="bottom"/>
            <w:hideMark/>
          </w:tcPr>
          <w:p w14:paraId="7D1901F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21</w:t>
            </w:r>
          </w:p>
        </w:tc>
      </w:tr>
      <w:tr w:rsidR="005839FD" w:rsidRPr="005839FD" w14:paraId="0C4CEADC" w14:textId="77777777" w:rsidTr="005839FD">
        <w:trPr>
          <w:trHeight w:val="300"/>
        </w:trPr>
        <w:tc>
          <w:tcPr>
            <w:tcW w:w="3820" w:type="dxa"/>
            <w:tcBorders>
              <w:top w:val="nil"/>
              <w:left w:val="nil"/>
              <w:bottom w:val="nil"/>
              <w:right w:val="nil"/>
            </w:tcBorders>
            <w:shd w:val="clear" w:color="auto" w:fill="auto"/>
            <w:noWrap/>
            <w:vAlign w:val="bottom"/>
            <w:hideMark/>
          </w:tcPr>
          <w:p w14:paraId="044CEF4E"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Meropenem</w:t>
            </w:r>
          </w:p>
        </w:tc>
        <w:tc>
          <w:tcPr>
            <w:tcW w:w="1720" w:type="dxa"/>
            <w:tcBorders>
              <w:top w:val="nil"/>
              <w:left w:val="nil"/>
              <w:bottom w:val="nil"/>
              <w:right w:val="nil"/>
            </w:tcBorders>
            <w:shd w:val="clear" w:color="auto" w:fill="auto"/>
            <w:noWrap/>
            <w:vAlign w:val="bottom"/>
            <w:hideMark/>
          </w:tcPr>
          <w:p w14:paraId="1685323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c>
          <w:tcPr>
            <w:tcW w:w="1760" w:type="dxa"/>
            <w:tcBorders>
              <w:top w:val="nil"/>
              <w:left w:val="nil"/>
              <w:bottom w:val="nil"/>
              <w:right w:val="nil"/>
            </w:tcBorders>
            <w:shd w:val="clear" w:color="auto" w:fill="auto"/>
            <w:noWrap/>
            <w:vAlign w:val="bottom"/>
            <w:hideMark/>
          </w:tcPr>
          <w:p w14:paraId="0EE5432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w:t>
            </w:r>
          </w:p>
        </w:tc>
      </w:tr>
      <w:tr w:rsidR="005839FD" w:rsidRPr="005839FD" w14:paraId="018258E2" w14:textId="77777777" w:rsidTr="005839FD">
        <w:trPr>
          <w:trHeight w:val="300"/>
        </w:trPr>
        <w:tc>
          <w:tcPr>
            <w:tcW w:w="3820" w:type="dxa"/>
            <w:tcBorders>
              <w:top w:val="nil"/>
              <w:left w:val="nil"/>
              <w:bottom w:val="nil"/>
              <w:right w:val="nil"/>
            </w:tcBorders>
            <w:shd w:val="clear" w:color="auto" w:fill="auto"/>
            <w:noWrap/>
            <w:vAlign w:val="bottom"/>
            <w:hideMark/>
          </w:tcPr>
          <w:p w14:paraId="7DDAB14A"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Amikacina</w:t>
            </w:r>
          </w:p>
        </w:tc>
        <w:tc>
          <w:tcPr>
            <w:tcW w:w="1720" w:type="dxa"/>
            <w:tcBorders>
              <w:top w:val="nil"/>
              <w:left w:val="nil"/>
              <w:bottom w:val="nil"/>
              <w:right w:val="nil"/>
            </w:tcBorders>
            <w:shd w:val="clear" w:color="auto" w:fill="auto"/>
            <w:noWrap/>
            <w:vAlign w:val="bottom"/>
            <w:hideMark/>
          </w:tcPr>
          <w:p w14:paraId="49D06D0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5BF2826C"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r>
      <w:tr w:rsidR="005839FD" w:rsidRPr="005839FD" w14:paraId="0317ABC6" w14:textId="77777777" w:rsidTr="005839FD">
        <w:trPr>
          <w:trHeight w:val="300"/>
        </w:trPr>
        <w:tc>
          <w:tcPr>
            <w:tcW w:w="3820" w:type="dxa"/>
            <w:tcBorders>
              <w:top w:val="nil"/>
              <w:left w:val="nil"/>
              <w:bottom w:val="nil"/>
              <w:right w:val="nil"/>
            </w:tcBorders>
            <w:shd w:val="clear" w:color="auto" w:fill="auto"/>
            <w:noWrap/>
            <w:vAlign w:val="bottom"/>
            <w:hideMark/>
          </w:tcPr>
          <w:p w14:paraId="00987BF2"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proofErr w:type="spellStart"/>
            <w:r w:rsidRPr="005839FD">
              <w:rPr>
                <w:rFonts w:ascii="Times New Roman" w:eastAsia="Times New Roman" w:hAnsi="Times New Roman" w:cs="Times New Roman"/>
                <w:kern w:val="0"/>
                <w:lang w:val="es-ES" w:eastAsia="es-ES"/>
              </w:rPr>
              <w:t>Cefepime</w:t>
            </w:r>
            <w:proofErr w:type="spellEnd"/>
          </w:p>
        </w:tc>
        <w:tc>
          <w:tcPr>
            <w:tcW w:w="1720" w:type="dxa"/>
            <w:tcBorders>
              <w:top w:val="nil"/>
              <w:left w:val="nil"/>
              <w:bottom w:val="nil"/>
              <w:right w:val="nil"/>
            </w:tcBorders>
            <w:shd w:val="clear" w:color="auto" w:fill="auto"/>
            <w:noWrap/>
            <w:vAlign w:val="bottom"/>
            <w:hideMark/>
          </w:tcPr>
          <w:p w14:paraId="74D79BF9"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0E87997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r>
      <w:tr w:rsidR="005839FD" w:rsidRPr="005839FD" w14:paraId="16F4EE62" w14:textId="77777777" w:rsidTr="005839FD">
        <w:trPr>
          <w:trHeight w:val="300"/>
        </w:trPr>
        <w:tc>
          <w:tcPr>
            <w:tcW w:w="3820" w:type="dxa"/>
            <w:tcBorders>
              <w:top w:val="nil"/>
              <w:left w:val="nil"/>
              <w:bottom w:val="nil"/>
              <w:right w:val="nil"/>
            </w:tcBorders>
            <w:shd w:val="clear" w:color="auto" w:fill="auto"/>
            <w:noWrap/>
            <w:vAlign w:val="bottom"/>
            <w:hideMark/>
          </w:tcPr>
          <w:p w14:paraId="3E258539"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Otros</w:t>
            </w:r>
          </w:p>
        </w:tc>
        <w:tc>
          <w:tcPr>
            <w:tcW w:w="1720" w:type="dxa"/>
            <w:tcBorders>
              <w:top w:val="nil"/>
              <w:left w:val="nil"/>
              <w:bottom w:val="nil"/>
              <w:right w:val="nil"/>
            </w:tcBorders>
            <w:shd w:val="clear" w:color="auto" w:fill="auto"/>
            <w:noWrap/>
            <w:vAlign w:val="bottom"/>
            <w:hideMark/>
          </w:tcPr>
          <w:p w14:paraId="4074C1B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4</w:t>
            </w:r>
          </w:p>
        </w:tc>
        <w:tc>
          <w:tcPr>
            <w:tcW w:w="1760" w:type="dxa"/>
            <w:tcBorders>
              <w:top w:val="nil"/>
              <w:left w:val="nil"/>
              <w:bottom w:val="nil"/>
              <w:right w:val="nil"/>
            </w:tcBorders>
            <w:shd w:val="clear" w:color="auto" w:fill="auto"/>
            <w:noWrap/>
            <w:vAlign w:val="bottom"/>
            <w:hideMark/>
          </w:tcPr>
          <w:p w14:paraId="5A374F9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10</w:t>
            </w:r>
          </w:p>
        </w:tc>
      </w:tr>
      <w:tr w:rsidR="005839FD" w:rsidRPr="005839FD" w14:paraId="623A584A"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D69E49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7274520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737B74B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4CFD1584" w14:textId="77777777" w:rsidTr="005839FD">
        <w:trPr>
          <w:trHeight w:val="300"/>
        </w:trPr>
        <w:tc>
          <w:tcPr>
            <w:tcW w:w="3820" w:type="dxa"/>
            <w:tcBorders>
              <w:top w:val="nil"/>
              <w:left w:val="nil"/>
              <w:bottom w:val="nil"/>
              <w:right w:val="nil"/>
            </w:tcBorders>
            <w:shd w:val="clear" w:color="auto" w:fill="auto"/>
            <w:noWrap/>
            <w:vAlign w:val="bottom"/>
            <w:hideMark/>
          </w:tcPr>
          <w:p w14:paraId="735A02CB"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5F2A25DF"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6EFBCD3A"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09229861" w14:textId="77777777" w:rsidR="00752FF8" w:rsidRDefault="00752FF8" w:rsidP="00752FF8">
      <w:pPr>
        <w:spacing w:after="0" w:line="360" w:lineRule="auto"/>
        <w:jc w:val="both"/>
        <w:rPr>
          <w:rFonts w:ascii="Times New Roman" w:hAnsi="Times New Roman" w:cs="Times New Roman"/>
          <w:sz w:val="24"/>
          <w:szCs w:val="24"/>
        </w:rPr>
      </w:pPr>
    </w:p>
    <w:p w14:paraId="0F3C6DF9" w14:textId="77777777" w:rsidR="00752FF8" w:rsidRDefault="00752FF8" w:rsidP="00752FF8">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la alimentación recibida por los pacientes, predomino la dieta general con el </w:t>
      </w:r>
      <w:r>
        <w:rPr>
          <w:rFonts w:ascii="Times New Roman" w:hAnsi="Times New Roman" w:cs="Times New Roman"/>
          <w:b/>
          <w:bCs/>
          <w:sz w:val="24"/>
          <w:szCs w:val="24"/>
          <w:lang w:val="es-MX"/>
        </w:rPr>
        <w:t xml:space="preserve">77% (n=30/39) </w:t>
      </w:r>
      <w:r>
        <w:rPr>
          <w:rFonts w:ascii="Times New Roman" w:hAnsi="Times New Roman" w:cs="Times New Roman"/>
          <w:sz w:val="24"/>
          <w:szCs w:val="24"/>
          <w:lang w:val="es-MX"/>
        </w:rPr>
        <w:t xml:space="preserve">y con dieta especial el </w:t>
      </w:r>
      <w:r>
        <w:rPr>
          <w:rFonts w:ascii="Times New Roman" w:hAnsi="Times New Roman" w:cs="Times New Roman"/>
          <w:b/>
          <w:bCs/>
          <w:sz w:val="24"/>
          <w:szCs w:val="24"/>
          <w:lang w:val="es-MX"/>
        </w:rPr>
        <w:t xml:space="preserve">23% (n=9/39), </w:t>
      </w:r>
      <w:r>
        <w:rPr>
          <w:rFonts w:ascii="Times New Roman" w:hAnsi="Times New Roman" w:cs="Times New Roman"/>
          <w:sz w:val="24"/>
          <w:szCs w:val="24"/>
          <w:lang w:val="es-MX"/>
        </w:rPr>
        <w:t xml:space="preserve">en el caso del aporte de líquidos fue mayor los pacientes que utilizaron la vía oral con el </w:t>
      </w:r>
      <w:r>
        <w:rPr>
          <w:rFonts w:ascii="Times New Roman" w:hAnsi="Times New Roman" w:cs="Times New Roman"/>
          <w:b/>
          <w:bCs/>
          <w:sz w:val="24"/>
          <w:szCs w:val="24"/>
          <w:lang w:val="es-MX"/>
        </w:rPr>
        <w:t>85% (n=33/39)</w:t>
      </w:r>
      <w:r>
        <w:rPr>
          <w:rFonts w:ascii="Times New Roman" w:hAnsi="Times New Roman" w:cs="Times New Roman"/>
          <w:sz w:val="24"/>
          <w:szCs w:val="24"/>
          <w:lang w:val="es-MX"/>
        </w:rPr>
        <w:t xml:space="preserve"> y solamente el </w:t>
      </w:r>
      <w:r>
        <w:rPr>
          <w:rFonts w:ascii="Times New Roman" w:hAnsi="Times New Roman" w:cs="Times New Roman"/>
          <w:b/>
          <w:bCs/>
          <w:sz w:val="24"/>
          <w:szCs w:val="24"/>
          <w:lang w:val="es-MX"/>
        </w:rPr>
        <w:t xml:space="preserve">15% (n=6/39) </w:t>
      </w:r>
      <w:r>
        <w:rPr>
          <w:rFonts w:ascii="Times New Roman" w:hAnsi="Times New Roman" w:cs="Times New Roman"/>
          <w:sz w:val="24"/>
          <w:szCs w:val="24"/>
          <w:lang w:val="es-MX"/>
        </w:rPr>
        <w:t xml:space="preserve">recibieron líquidos por vía intravenosa. </w:t>
      </w:r>
      <w:r>
        <w:rPr>
          <w:rFonts w:ascii="Times New Roman" w:hAnsi="Times New Roman" w:cs="Times New Roman"/>
          <w:b/>
          <w:bCs/>
          <w:sz w:val="24"/>
          <w:szCs w:val="24"/>
          <w:lang w:val="es-MX"/>
        </w:rPr>
        <w:t xml:space="preserve"> Ver Tablas No 24 y 25.</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21ED3C9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7BAFCA35"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24</w:t>
            </w:r>
          </w:p>
        </w:tc>
      </w:tr>
      <w:tr w:rsidR="005839FD" w:rsidRPr="005839FD" w14:paraId="5B350BD3"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53AC8C6"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Tipo de Alimentación utilizada en los niños en estudio</w:t>
            </w:r>
          </w:p>
        </w:tc>
      </w:tr>
      <w:tr w:rsidR="005839FD" w:rsidRPr="005839FD" w14:paraId="11C18D15"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D138AD3"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54ABD560" w14:textId="77777777" w:rsidTr="005839FD">
        <w:trPr>
          <w:trHeight w:val="300"/>
        </w:trPr>
        <w:tc>
          <w:tcPr>
            <w:tcW w:w="7300" w:type="dxa"/>
            <w:gridSpan w:val="3"/>
            <w:tcBorders>
              <w:top w:val="nil"/>
              <w:left w:val="nil"/>
              <w:bottom w:val="nil"/>
              <w:right w:val="nil"/>
            </w:tcBorders>
            <w:shd w:val="clear" w:color="auto" w:fill="auto"/>
            <w:vAlign w:val="bottom"/>
            <w:hideMark/>
          </w:tcPr>
          <w:p w14:paraId="494E1C98"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40D58A84"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5F259BC4"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62008FDA"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5B2FBB6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Alimentación</w:t>
            </w:r>
          </w:p>
        </w:tc>
        <w:tc>
          <w:tcPr>
            <w:tcW w:w="1720" w:type="dxa"/>
            <w:tcBorders>
              <w:top w:val="nil"/>
              <w:left w:val="nil"/>
              <w:bottom w:val="double" w:sz="6" w:space="0" w:color="auto"/>
              <w:right w:val="nil"/>
            </w:tcBorders>
            <w:shd w:val="clear" w:color="auto" w:fill="auto"/>
            <w:noWrap/>
            <w:vAlign w:val="bottom"/>
            <w:hideMark/>
          </w:tcPr>
          <w:p w14:paraId="513522E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7E88D28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23EB3AAC" w14:textId="77777777" w:rsidTr="005839FD">
        <w:trPr>
          <w:trHeight w:val="300"/>
        </w:trPr>
        <w:tc>
          <w:tcPr>
            <w:tcW w:w="3820" w:type="dxa"/>
            <w:tcBorders>
              <w:top w:val="nil"/>
              <w:left w:val="nil"/>
              <w:bottom w:val="nil"/>
              <w:right w:val="nil"/>
            </w:tcBorders>
            <w:shd w:val="clear" w:color="auto" w:fill="auto"/>
            <w:noWrap/>
            <w:vAlign w:val="bottom"/>
            <w:hideMark/>
          </w:tcPr>
          <w:p w14:paraId="4A9B9B1A"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General</w:t>
            </w:r>
          </w:p>
        </w:tc>
        <w:tc>
          <w:tcPr>
            <w:tcW w:w="1720" w:type="dxa"/>
            <w:tcBorders>
              <w:top w:val="nil"/>
              <w:left w:val="nil"/>
              <w:bottom w:val="nil"/>
              <w:right w:val="nil"/>
            </w:tcBorders>
            <w:shd w:val="clear" w:color="auto" w:fill="auto"/>
            <w:noWrap/>
            <w:vAlign w:val="bottom"/>
            <w:hideMark/>
          </w:tcPr>
          <w:p w14:paraId="4E9A066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30</w:t>
            </w:r>
          </w:p>
        </w:tc>
        <w:tc>
          <w:tcPr>
            <w:tcW w:w="1760" w:type="dxa"/>
            <w:tcBorders>
              <w:top w:val="nil"/>
              <w:left w:val="nil"/>
              <w:bottom w:val="nil"/>
              <w:right w:val="nil"/>
            </w:tcBorders>
            <w:shd w:val="clear" w:color="auto" w:fill="auto"/>
            <w:noWrap/>
            <w:vAlign w:val="bottom"/>
            <w:hideMark/>
          </w:tcPr>
          <w:p w14:paraId="05F505C6"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77</w:t>
            </w:r>
          </w:p>
        </w:tc>
      </w:tr>
      <w:tr w:rsidR="005839FD" w:rsidRPr="005839FD" w14:paraId="20E3ED29" w14:textId="77777777" w:rsidTr="005839FD">
        <w:trPr>
          <w:trHeight w:val="300"/>
        </w:trPr>
        <w:tc>
          <w:tcPr>
            <w:tcW w:w="3820" w:type="dxa"/>
            <w:tcBorders>
              <w:top w:val="nil"/>
              <w:left w:val="nil"/>
              <w:bottom w:val="nil"/>
              <w:right w:val="nil"/>
            </w:tcBorders>
            <w:shd w:val="clear" w:color="auto" w:fill="auto"/>
            <w:noWrap/>
            <w:vAlign w:val="bottom"/>
            <w:hideMark/>
          </w:tcPr>
          <w:p w14:paraId="1236A5BD"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Especial</w:t>
            </w:r>
          </w:p>
        </w:tc>
        <w:tc>
          <w:tcPr>
            <w:tcW w:w="1720" w:type="dxa"/>
            <w:tcBorders>
              <w:top w:val="nil"/>
              <w:left w:val="nil"/>
              <w:bottom w:val="nil"/>
              <w:right w:val="nil"/>
            </w:tcBorders>
            <w:shd w:val="clear" w:color="auto" w:fill="auto"/>
            <w:noWrap/>
            <w:vAlign w:val="bottom"/>
            <w:hideMark/>
          </w:tcPr>
          <w:p w14:paraId="5581018D"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9</w:t>
            </w:r>
          </w:p>
        </w:tc>
        <w:tc>
          <w:tcPr>
            <w:tcW w:w="1760" w:type="dxa"/>
            <w:tcBorders>
              <w:top w:val="nil"/>
              <w:left w:val="nil"/>
              <w:bottom w:val="nil"/>
              <w:right w:val="nil"/>
            </w:tcBorders>
            <w:shd w:val="clear" w:color="auto" w:fill="auto"/>
            <w:noWrap/>
            <w:vAlign w:val="bottom"/>
            <w:hideMark/>
          </w:tcPr>
          <w:p w14:paraId="51255969"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23</w:t>
            </w:r>
          </w:p>
        </w:tc>
      </w:tr>
      <w:tr w:rsidR="005839FD" w:rsidRPr="005839FD" w14:paraId="6BAAF021"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630DF37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29421790"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678EC86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520E9EF0" w14:textId="77777777" w:rsidTr="005839FD">
        <w:trPr>
          <w:trHeight w:val="300"/>
        </w:trPr>
        <w:tc>
          <w:tcPr>
            <w:tcW w:w="3820" w:type="dxa"/>
            <w:tcBorders>
              <w:top w:val="nil"/>
              <w:left w:val="nil"/>
              <w:bottom w:val="nil"/>
              <w:right w:val="nil"/>
            </w:tcBorders>
            <w:shd w:val="clear" w:color="auto" w:fill="auto"/>
            <w:noWrap/>
            <w:vAlign w:val="bottom"/>
            <w:hideMark/>
          </w:tcPr>
          <w:p w14:paraId="17CB2497"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lastRenderedPageBreak/>
              <w:t>Fuente: Fleming</w:t>
            </w:r>
          </w:p>
        </w:tc>
        <w:tc>
          <w:tcPr>
            <w:tcW w:w="1720" w:type="dxa"/>
            <w:tcBorders>
              <w:top w:val="nil"/>
              <w:left w:val="nil"/>
              <w:bottom w:val="nil"/>
              <w:right w:val="nil"/>
            </w:tcBorders>
            <w:shd w:val="clear" w:color="auto" w:fill="auto"/>
            <w:noWrap/>
            <w:vAlign w:val="bottom"/>
            <w:hideMark/>
          </w:tcPr>
          <w:p w14:paraId="67477F68"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3CEFAEB8"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1C53ADCB" w14:textId="77777777" w:rsidR="00752FF8" w:rsidRDefault="00752FF8" w:rsidP="00752FF8">
      <w:pPr>
        <w:spacing w:after="0" w:line="360" w:lineRule="auto"/>
        <w:jc w:val="both"/>
        <w:rPr>
          <w:rFonts w:ascii="Times New Roman" w:hAnsi="Times New Roman" w:cs="Times New Roman"/>
          <w:sz w:val="24"/>
          <w:szCs w:val="24"/>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42B8C460"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714D6F6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25</w:t>
            </w:r>
          </w:p>
        </w:tc>
      </w:tr>
      <w:tr w:rsidR="005839FD" w:rsidRPr="005839FD" w14:paraId="049E8678"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455262A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Tipo de Líquidos utilizados en los niños en estudio</w:t>
            </w:r>
          </w:p>
        </w:tc>
      </w:tr>
      <w:tr w:rsidR="005839FD" w:rsidRPr="005839FD" w14:paraId="27A2810E"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099641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7DBD9002" w14:textId="77777777" w:rsidTr="005839FD">
        <w:trPr>
          <w:trHeight w:val="300"/>
        </w:trPr>
        <w:tc>
          <w:tcPr>
            <w:tcW w:w="7300" w:type="dxa"/>
            <w:gridSpan w:val="3"/>
            <w:tcBorders>
              <w:top w:val="nil"/>
              <w:left w:val="nil"/>
              <w:bottom w:val="nil"/>
              <w:right w:val="nil"/>
            </w:tcBorders>
            <w:shd w:val="clear" w:color="auto" w:fill="auto"/>
            <w:vAlign w:val="bottom"/>
            <w:hideMark/>
          </w:tcPr>
          <w:p w14:paraId="203DCBB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0578E7F4"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6C4A9D14"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1C2BB2BA"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0A672D7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Líquidos</w:t>
            </w:r>
          </w:p>
        </w:tc>
        <w:tc>
          <w:tcPr>
            <w:tcW w:w="1720" w:type="dxa"/>
            <w:tcBorders>
              <w:top w:val="nil"/>
              <w:left w:val="nil"/>
              <w:bottom w:val="double" w:sz="6" w:space="0" w:color="auto"/>
              <w:right w:val="nil"/>
            </w:tcBorders>
            <w:shd w:val="clear" w:color="auto" w:fill="auto"/>
            <w:noWrap/>
            <w:vAlign w:val="bottom"/>
            <w:hideMark/>
          </w:tcPr>
          <w:p w14:paraId="3348266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71F697D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7C3110F6" w14:textId="77777777" w:rsidTr="005839FD">
        <w:trPr>
          <w:trHeight w:val="300"/>
        </w:trPr>
        <w:tc>
          <w:tcPr>
            <w:tcW w:w="3820" w:type="dxa"/>
            <w:tcBorders>
              <w:top w:val="nil"/>
              <w:left w:val="nil"/>
              <w:bottom w:val="nil"/>
              <w:right w:val="nil"/>
            </w:tcBorders>
            <w:shd w:val="clear" w:color="auto" w:fill="auto"/>
            <w:noWrap/>
            <w:vAlign w:val="bottom"/>
            <w:hideMark/>
          </w:tcPr>
          <w:p w14:paraId="53745639"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Oral</w:t>
            </w:r>
          </w:p>
        </w:tc>
        <w:tc>
          <w:tcPr>
            <w:tcW w:w="1720" w:type="dxa"/>
            <w:tcBorders>
              <w:top w:val="nil"/>
              <w:left w:val="nil"/>
              <w:bottom w:val="nil"/>
              <w:right w:val="nil"/>
            </w:tcBorders>
            <w:shd w:val="clear" w:color="auto" w:fill="auto"/>
            <w:noWrap/>
            <w:vAlign w:val="bottom"/>
            <w:hideMark/>
          </w:tcPr>
          <w:p w14:paraId="311C9B94"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33</w:t>
            </w:r>
          </w:p>
        </w:tc>
        <w:tc>
          <w:tcPr>
            <w:tcW w:w="1760" w:type="dxa"/>
            <w:tcBorders>
              <w:top w:val="nil"/>
              <w:left w:val="nil"/>
              <w:bottom w:val="nil"/>
              <w:right w:val="nil"/>
            </w:tcBorders>
            <w:shd w:val="clear" w:color="auto" w:fill="auto"/>
            <w:noWrap/>
            <w:vAlign w:val="bottom"/>
            <w:hideMark/>
          </w:tcPr>
          <w:p w14:paraId="3189528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85</w:t>
            </w:r>
          </w:p>
        </w:tc>
      </w:tr>
      <w:tr w:rsidR="005839FD" w:rsidRPr="005839FD" w14:paraId="76294EF1" w14:textId="77777777" w:rsidTr="005839FD">
        <w:trPr>
          <w:trHeight w:val="300"/>
        </w:trPr>
        <w:tc>
          <w:tcPr>
            <w:tcW w:w="3820" w:type="dxa"/>
            <w:tcBorders>
              <w:top w:val="nil"/>
              <w:left w:val="nil"/>
              <w:bottom w:val="nil"/>
              <w:right w:val="nil"/>
            </w:tcBorders>
            <w:shd w:val="clear" w:color="auto" w:fill="auto"/>
            <w:noWrap/>
            <w:vAlign w:val="bottom"/>
            <w:hideMark/>
          </w:tcPr>
          <w:p w14:paraId="0164A57B"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Intravenosos</w:t>
            </w:r>
          </w:p>
        </w:tc>
        <w:tc>
          <w:tcPr>
            <w:tcW w:w="1720" w:type="dxa"/>
            <w:tcBorders>
              <w:top w:val="nil"/>
              <w:left w:val="nil"/>
              <w:bottom w:val="nil"/>
              <w:right w:val="nil"/>
            </w:tcBorders>
            <w:shd w:val="clear" w:color="auto" w:fill="auto"/>
            <w:noWrap/>
            <w:vAlign w:val="bottom"/>
            <w:hideMark/>
          </w:tcPr>
          <w:p w14:paraId="0D2D19C2"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6</w:t>
            </w:r>
          </w:p>
        </w:tc>
        <w:tc>
          <w:tcPr>
            <w:tcW w:w="1760" w:type="dxa"/>
            <w:tcBorders>
              <w:top w:val="nil"/>
              <w:left w:val="nil"/>
              <w:bottom w:val="nil"/>
              <w:right w:val="nil"/>
            </w:tcBorders>
            <w:shd w:val="clear" w:color="auto" w:fill="auto"/>
            <w:noWrap/>
            <w:vAlign w:val="bottom"/>
            <w:hideMark/>
          </w:tcPr>
          <w:p w14:paraId="1641D23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15</w:t>
            </w:r>
          </w:p>
        </w:tc>
      </w:tr>
      <w:tr w:rsidR="005839FD" w:rsidRPr="005839FD" w14:paraId="34CE9CEE"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29C6716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3CF8F8E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367154C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0F8FB41C" w14:textId="77777777" w:rsidTr="005839FD">
        <w:trPr>
          <w:trHeight w:val="300"/>
        </w:trPr>
        <w:tc>
          <w:tcPr>
            <w:tcW w:w="3820" w:type="dxa"/>
            <w:tcBorders>
              <w:top w:val="nil"/>
              <w:left w:val="nil"/>
              <w:bottom w:val="nil"/>
              <w:right w:val="nil"/>
            </w:tcBorders>
            <w:shd w:val="clear" w:color="auto" w:fill="auto"/>
            <w:noWrap/>
            <w:vAlign w:val="bottom"/>
            <w:hideMark/>
          </w:tcPr>
          <w:p w14:paraId="75671E3D"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10000AD1"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6CABA2C1"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2325798A" w14:textId="77777777" w:rsidR="005839FD" w:rsidRDefault="005839FD" w:rsidP="00752FF8">
      <w:pPr>
        <w:spacing w:after="0" w:line="360" w:lineRule="auto"/>
        <w:jc w:val="both"/>
        <w:rPr>
          <w:rFonts w:ascii="Times New Roman" w:hAnsi="Times New Roman" w:cs="Times New Roman"/>
          <w:sz w:val="24"/>
          <w:szCs w:val="24"/>
        </w:rPr>
      </w:pPr>
    </w:p>
    <w:p w14:paraId="513F1166" w14:textId="0E88E214" w:rsidR="00752FF8" w:rsidRDefault="00752FF8" w:rsidP="00752FF8">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w:t>
      </w:r>
      <w:r>
        <w:rPr>
          <w:rFonts w:ascii="Times New Roman" w:hAnsi="Times New Roman" w:cs="Times New Roman"/>
          <w:b/>
          <w:bCs/>
          <w:sz w:val="24"/>
          <w:szCs w:val="24"/>
          <w:lang w:val="es-MX"/>
        </w:rPr>
        <w:t xml:space="preserve">5% (n=2/39) </w:t>
      </w:r>
      <w:r>
        <w:rPr>
          <w:rFonts w:ascii="Times New Roman" w:hAnsi="Times New Roman" w:cs="Times New Roman"/>
          <w:sz w:val="24"/>
          <w:szCs w:val="24"/>
          <w:lang w:val="es-MX"/>
        </w:rPr>
        <w:t xml:space="preserve">de los pacientes se realizó cambio de terapia y su causa fue por resistencia al antibiótico. </w:t>
      </w:r>
      <w:r>
        <w:rPr>
          <w:rFonts w:ascii="Times New Roman" w:hAnsi="Times New Roman" w:cs="Times New Roman"/>
          <w:b/>
          <w:bCs/>
          <w:sz w:val="24"/>
          <w:szCs w:val="24"/>
          <w:lang w:val="es-MX"/>
        </w:rPr>
        <w:t>Ver Tabla No 26.</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4C31505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4F7A994"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26</w:t>
            </w:r>
          </w:p>
        </w:tc>
      </w:tr>
      <w:tr w:rsidR="005839FD" w:rsidRPr="005839FD" w14:paraId="4EC450CB"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AE498B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Cambio de terapia antibiótica en los niños en estudio</w:t>
            </w:r>
          </w:p>
        </w:tc>
      </w:tr>
      <w:tr w:rsidR="005839FD" w:rsidRPr="005839FD" w14:paraId="5D632C21"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C5C562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73DC9926" w14:textId="77777777" w:rsidTr="005839FD">
        <w:trPr>
          <w:trHeight w:val="300"/>
        </w:trPr>
        <w:tc>
          <w:tcPr>
            <w:tcW w:w="7300" w:type="dxa"/>
            <w:gridSpan w:val="3"/>
            <w:tcBorders>
              <w:top w:val="nil"/>
              <w:left w:val="nil"/>
              <w:bottom w:val="nil"/>
              <w:right w:val="nil"/>
            </w:tcBorders>
            <w:shd w:val="clear" w:color="auto" w:fill="auto"/>
            <w:vAlign w:val="bottom"/>
            <w:hideMark/>
          </w:tcPr>
          <w:p w14:paraId="40A0CCC6"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32D77033"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70EC431C"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06C2BA4C"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0DF82514"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Cambio de terapia antibiótica</w:t>
            </w:r>
          </w:p>
        </w:tc>
        <w:tc>
          <w:tcPr>
            <w:tcW w:w="1720" w:type="dxa"/>
            <w:tcBorders>
              <w:top w:val="nil"/>
              <w:left w:val="nil"/>
              <w:bottom w:val="double" w:sz="6" w:space="0" w:color="auto"/>
              <w:right w:val="nil"/>
            </w:tcBorders>
            <w:shd w:val="clear" w:color="auto" w:fill="auto"/>
            <w:noWrap/>
            <w:vAlign w:val="bottom"/>
            <w:hideMark/>
          </w:tcPr>
          <w:p w14:paraId="03B32DD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0BF3103D"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7708FA64" w14:textId="77777777" w:rsidTr="005839FD">
        <w:trPr>
          <w:trHeight w:val="300"/>
        </w:trPr>
        <w:tc>
          <w:tcPr>
            <w:tcW w:w="3820" w:type="dxa"/>
            <w:tcBorders>
              <w:top w:val="nil"/>
              <w:left w:val="nil"/>
              <w:bottom w:val="nil"/>
              <w:right w:val="nil"/>
            </w:tcBorders>
            <w:shd w:val="clear" w:color="auto" w:fill="auto"/>
            <w:noWrap/>
            <w:vAlign w:val="bottom"/>
            <w:hideMark/>
          </w:tcPr>
          <w:p w14:paraId="7771A9AE"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5E8781A1"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0F84DC6D"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r>
      <w:tr w:rsidR="005839FD" w:rsidRPr="005839FD" w14:paraId="22012D4D" w14:textId="77777777" w:rsidTr="005839FD">
        <w:trPr>
          <w:trHeight w:val="300"/>
        </w:trPr>
        <w:tc>
          <w:tcPr>
            <w:tcW w:w="3820" w:type="dxa"/>
            <w:tcBorders>
              <w:top w:val="nil"/>
              <w:left w:val="nil"/>
              <w:bottom w:val="nil"/>
              <w:right w:val="nil"/>
            </w:tcBorders>
            <w:shd w:val="clear" w:color="auto" w:fill="auto"/>
            <w:noWrap/>
            <w:vAlign w:val="bottom"/>
            <w:hideMark/>
          </w:tcPr>
          <w:p w14:paraId="2E7AC265"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36805E1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37</w:t>
            </w:r>
          </w:p>
        </w:tc>
        <w:tc>
          <w:tcPr>
            <w:tcW w:w="1760" w:type="dxa"/>
            <w:tcBorders>
              <w:top w:val="nil"/>
              <w:left w:val="nil"/>
              <w:bottom w:val="nil"/>
              <w:right w:val="nil"/>
            </w:tcBorders>
            <w:shd w:val="clear" w:color="auto" w:fill="auto"/>
            <w:noWrap/>
            <w:vAlign w:val="bottom"/>
            <w:hideMark/>
          </w:tcPr>
          <w:p w14:paraId="75A6FB3C"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95</w:t>
            </w:r>
          </w:p>
        </w:tc>
      </w:tr>
      <w:tr w:rsidR="005839FD" w:rsidRPr="005839FD" w14:paraId="1A34B961"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2233AA3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3316694F"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7DD2C74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20491548" w14:textId="77777777" w:rsidTr="005839FD">
        <w:trPr>
          <w:trHeight w:val="300"/>
        </w:trPr>
        <w:tc>
          <w:tcPr>
            <w:tcW w:w="3820" w:type="dxa"/>
            <w:tcBorders>
              <w:top w:val="nil"/>
              <w:left w:val="nil"/>
              <w:bottom w:val="nil"/>
              <w:right w:val="nil"/>
            </w:tcBorders>
            <w:shd w:val="clear" w:color="auto" w:fill="auto"/>
            <w:noWrap/>
            <w:vAlign w:val="bottom"/>
            <w:hideMark/>
          </w:tcPr>
          <w:p w14:paraId="73B880FF"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0839B0C6"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283F5268"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0355DD28" w14:textId="77777777" w:rsidR="00752FF8" w:rsidRDefault="00752FF8" w:rsidP="00752FF8">
      <w:pPr>
        <w:spacing w:after="0" w:line="360" w:lineRule="auto"/>
        <w:jc w:val="both"/>
        <w:rPr>
          <w:lang w:val="es-MX"/>
        </w:rPr>
      </w:pPr>
    </w:p>
    <w:p w14:paraId="040DA342" w14:textId="77777777" w:rsidR="002E39D2" w:rsidRDefault="002E39D2" w:rsidP="002E39D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s-MX"/>
        </w:rPr>
        <w:t>3. Evolución clínica de los pacientes en estudio.</w:t>
      </w:r>
    </w:p>
    <w:p w14:paraId="1A3CDD4A" w14:textId="6155B203" w:rsidR="002E39D2" w:rsidRDefault="002E39D2" w:rsidP="002E39D2">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la evolución de los pacientes, se encontró que el </w:t>
      </w:r>
      <w:r>
        <w:rPr>
          <w:rFonts w:ascii="Times New Roman" w:hAnsi="Times New Roman" w:cs="Times New Roman"/>
          <w:b/>
          <w:bCs/>
          <w:sz w:val="24"/>
          <w:szCs w:val="24"/>
          <w:lang w:val="es-MX"/>
        </w:rPr>
        <w:t xml:space="preserve">5% (n=2/39) </w:t>
      </w:r>
      <w:r>
        <w:rPr>
          <w:rFonts w:ascii="Times New Roman" w:hAnsi="Times New Roman" w:cs="Times New Roman"/>
          <w:sz w:val="24"/>
          <w:szCs w:val="24"/>
          <w:lang w:val="es-MX"/>
        </w:rPr>
        <w:t xml:space="preserve">presentaron una complicación durante su estancia hospitalaria, siendo éstas: Neumonía y Acidosis Metabólica con </w:t>
      </w:r>
      <w:proofErr w:type="spellStart"/>
      <w:r>
        <w:rPr>
          <w:rFonts w:ascii="Times New Roman" w:hAnsi="Times New Roman" w:cs="Times New Roman"/>
          <w:sz w:val="24"/>
          <w:szCs w:val="24"/>
          <w:lang w:val="es-MX"/>
        </w:rPr>
        <w:t>Hiperkalemia</w:t>
      </w:r>
      <w:proofErr w:type="spellEnd"/>
      <w:r>
        <w:rPr>
          <w:rFonts w:ascii="Times New Roman" w:hAnsi="Times New Roman" w:cs="Times New Roman"/>
          <w:sz w:val="24"/>
          <w:szCs w:val="24"/>
          <w:lang w:val="es-MX"/>
        </w:rPr>
        <w:t xml:space="preserve">. </w:t>
      </w:r>
      <w:r>
        <w:rPr>
          <w:rFonts w:ascii="Times New Roman" w:hAnsi="Times New Roman" w:cs="Times New Roman"/>
          <w:b/>
          <w:bCs/>
          <w:sz w:val="24"/>
          <w:szCs w:val="24"/>
          <w:lang w:val="es-MX"/>
        </w:rPr>
        <w:t>Ver Tablas No 27 y 28</w:t>
      </w:r>
      <w:r w:rsidR="007A1B83">
        <w:rPr>
          <w:rFonts w:ascii="Times New Roman" w:hAnsi="Times New Roman" w:cs="Times New Roman"/>
          <w:b/>
          <w:bCs/>
          <w:sz w:val="24"/>
          <w:szCs w:val="24"/>
          <w:lang w:val="es-MX"/>
        </w:rPr>
        <w:t xml:space="preserve"> y Gráfico 12.</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0CD4CE29"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953BF0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27</w:t>
            </w:r>
          </w:p>
        </w:tc>
      </w:tr>
      <w:tr w:rsidR="005839FD" w:rsidRPr="005839FD" w14:paraId="1C327B14"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AF5A11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Complicaciones intrahospitalarias en los niños en estudio</w:t>
            </w:r>
          </w:p>
        </w:tc>
      </w:tr>
      <w:tr w:rsidR="005839FD" w:rsidRPr="005839FD" w14:paraId="71BD6790"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7A861D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13B9E4AB" w14:textId="77777777" w:rsidTr="005839FD">
        <w:trPr>
          <w:trHeight w:val="300"/>
        </w:trPr>
        <w:tc>
          <w:tcPr>
            <w:tcW w:w="7300" w:type="dxa"/>
            <w:gridSpan w:val="3"/>
            <w:tcBorders>
              <w:top w:val="nil"/>
              <w:left w:val="nil"/>
              <w:bottom w:val="nil"/>
              <w:right w:val="nil"/>
            </w:tcBorders>
            <w:shd w:val="clear" w:color="auto" w:fill="auto"/>
            <w:vAlign w:val="bottom"/>
            <w:hideMark/>
          </w:tcPr>
          <w:p w14:paraId="0A3AFAF3"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7E1D1096"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5D8623E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5F0E2B3B"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3C12545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Complicaciones</w:t>
            </w:r>
          </w:p>
        </w:tc>
        <w:tc>
          <w:tcPr>
            <w:tcW w:w="1720" w:type="dxa"/>
            <w:tcBorders>
              <w:top w:val="nil"/>
              <w:left w:val="nil"/>
              <w:bottom w:val="double" w:sz="6" w:space="0" w:color="auto"/>
              <w:right w:val="nil"/>
            </w:tcBorders>
            <w:shd w:val="clear" w:color="auto" w:fill="auto"/>
            <w:noWrap/>
            <w:vAlign w:val="bottom"/>
            <w:hideMark/>
          </w:tcPr>
          <w:p w14:paraId="263B2FA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479FF88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1A635F17" w14:textId="77777777" w:rsidTr="005839FD">
        <w:trPr>
          <w:trHeight w:val="300"/>
        </w:trPr>
        <w:tc>
          <w:tcPr>
            <w:tcW w:w="3820" w:type="dxa"/>
            <w:tcBorders>
              <w:top w:val="nil"/>
              <w:left w:val="nil"/>
              <w:bottom w:val="nil"/>
              <w:right w:val="nil"/>
            </w:tcBorders>
            <w:shd w:val="clear" w:color="auto" w:fill="auto"/>
            <w:noWrap/>
            <w:vAlign w:val="bottom"/>
            <w:hideMark/>
          </w:tcPr>
          <w:p w14:paraId="3D9D6E9E"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Si</w:t>
            </w:r>
          </w:p>
        </w:tc>
        <w:tc>
          <w:tcPr>
            <w:tcW w:w="1720" w:type="dxa"/>
            <w:tcBorders>
              <w:top w:val="nil"/>
              <w:left w:val="nil"/>
              <w:bottom w:val="nil"/>
              <w:right w:val="nil"/>
            </w:tcBorders>
            <w:shd w:val="clear" w:color="auto" w:fill="auto"/>
            <w:noWrap/>
            <w:vAlign w:val="bottom"/>
            <w:hideMark/>
          </w:tcPr>
          <w:p w14:paraId="5BA98AB9"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2</w:t>
            </w:r>
          </w:p>
        </w:tc>
        <w:tc>
          <w:tcPr>
            <w:tcW w:w="1760" w:type="dxa"/>
            <w:tcBorders>
              <w:top w:val="nil"/>
              <w:left w:val="nil"/>
              <w:bottom w:val="nil"/>
              <w:right w:val="nil"/>
            </w:tcBorders>
            <w:shd w:val="clear" w:color="auto" w:fill="auto"/>
            <w:noWrap/>
            <w:vAlign w:val="bottom"/>
            <w:hideMark/>
          </w:tcPr>
          <w:p w14:paraId="123BC78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w:t>
            </w:r>
          </w:p>
        </w:tc>
      </w:tr>
      <w:tr w:rsidR="005839FD" w:rsidRPr="005839FD" w14:paraId="0C6CCEE1" w14:textId="77777777" w:rsidTr="005839FD">
        <w:trPr>
          <w:trHeight w:val="300"/>
        </w:trPr>
        <w:tc>
          <w:tcPr>
            <w:tcW w:w="3820" w:type="dxa"/>
            <w:tcBorders>
              <w:top w:val="nil"/>
              <w:left w:val="nil"/>
              <w:bottom w:val="nil"/>
              <w:right w:val="nil"/>
            </w:tcBorders>
            <w:shd w:val="clear" w:color="auto" w:fill="auto"/>
            <w:noWrap/>
            <w:vAlign w:val="bottom"/>
            <w:hideMark/>
          </w:tcPr>
          <w:p w14:paraId="7143BA49"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No</w:t>
            </w:r>
          </w:p>
        </w:tc>
        <w:tc>
          <w:tcPr>
            <w:tcW w:w="1720" w:type="dxa"/>
            <w:tcBorders>
              <w:top w:val="nil"/>
              <w:left w:val="nil"/>
              <w:bottom w:val="nil"/>
              <w:right w:val="nil"/>
            </w:tcBorders>
            <w:shd w:val="clear" w:color="auto" w:fill="auto"/>
            <w:noWrap/>
            <w:vAlign w:val="bottom"/>
            <w:hideMark/>
          </w:tcPr>
          <w:p w14:paraId="4E4E86EB"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37</w:t>
            </w:r>
          </w:p>
        </w:tc>
        <w:tc>
          <w:tcPr>
            <w:tcW w:w="1760" w:type="dxa"/>
            <w:tcBorders>
              <w:top w:val="nil"/>
              <w:left w:val="nil"/>
              <w:bottom w:val="nil"/>
              <w:right w:val="nil"/>
            </w:tcBorders>
            <w:shd w:val="clear" w:color="auto" w:fill="auto"/>
            <w:noWrap/>
            <w:vAlign w:val="bottom"/>
            <w:hideMark/>
          </w:tcPr>
          <w:p w14:paraId="359ABDB6"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95</w:t>
            </w:r>
          </w:p>
        </w:tc>
      </w:tr>
      <w:tr w:rsidR="005839FD" w:rsidRPr="005839FD" w14:paraId="26C167DF"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45494676"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lastRenderedPageBreak/>
              <w:t>Total</w:t>
            </w:r>
          </w:p>
        </w:tc>
        <w:tc>
          <w:tcPr>
            <w:tcW w:w="1720" w:type="dxa"/>
            <w:tcBorders>
              <w:top w:val="single" w:sz="4" w:space="0" w:color="auto"/>
              <w:left w:val="nil"/>
              <w:bottom w:val="double" w:sz="6" w:space="0" w:color="auto"/>
              <w:right w:val="nil"/>
            </w:tcBorders>
            <w:shd w:val="clear" w:color="auto" w:fill="auto"/>
            <w:vAlign w:val="center"/>
            <w:hideMark/>
          </w:tcPr>
          <w:p w14:paraId="2720E39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33C8506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14DBC88A" w14:textId="77777777" w:rsidTr="005839FD">
        <w:trPr>
          <w:trHeight w:val="300"/>
        </w:trPr>
        <w:tc>
          <w:tcPr>
            <w:tcW w:w="3820" w:type="dxa"/>
            <w:tcBorders>
              <w:top w:val="nil"/>
              <w:left w:val="nil"/>
              <w:bottom w:val="nil"/>
              <w:right w:val="nil"/>
            </w:tcBorders>
            <w:shd w:val="clear" w:color="auto" w:fill="auto"/>
            <w:noWrap/>
            <w:vAlign w:val="bottom"/>
            <w:hideMark/>
          </w:tcPr>
          <w:p w14:paraId="64BA916E"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646A045F"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5236A16E"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2C023035" w14:textId="77777777" w:rsidR="002E39D2" w:rsidRDefault="002E39D2" w:rsidP="002E39D2"/>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51F6BCED"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6177F4C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28</w:t>
            </w:r>
          </w:p>
        </w:tc>
      </w:tr>
      <w:tr w:rsidR="005839FD" w:rsidRPr="005839FD" w14:paraId="74212ACF"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01BABE3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Complicaciones intrahospitalarias en los niños en estudio</w:t>
            </w:r>
          </w:p>
        </w:tc>
      </w:tr>
      <w:tr w:rsidR="005839FD" w:rsidRPr="005839FD" w14:paraId="022F0B52"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377442A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4E0FC22A" w14:textId="77777777" w:rsidTr="005839FD">
        <w:trPr>
          <w:trHeight w:val="300"/>
        </w:trPr>
        <w:tc>
          <w:tcPr>
            <w:tcW w:w="7300" w:type="dxa"/>
            <w:gridSpan w:val="3"/>
            <w:tcBorders>
              <w:top w:val="nil"/>
              <w:left w:val="nil"/>
              <w:bottom w:val="nil"/>
              <w:right w:val="nil"/>
            </w:tcBorders>
            <w:shd w:val="clear" w:color="auto" w:fill="auto"/>
            <w:vAlign w:val="bottom"/>
            <w:hideMark/>
          </w:tcPr>
          <w:p w14:paraId="61D1F0C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733ED233"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4D989FFF"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178D27EB"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4C12E33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Complicaciones</w:t>
            </w:r>
          </w:p>
        </w:tc>
        <w:tc>
          <w:tcPr>
            <w:tcW w:w="1720" w:type="dxa"/>
            <w:tcBorders>
              <w:top w:val="nil"/>
              <w:left w:val="nil"/>
              <w:bottom w:val="double" w:sz="6" w:space="0" w:color="auto"/>
              <w:right w:val="nil"/>
            </w:tcBorders>
            <w:shd w:val="clear" w:color="auto" w:fill="auto"/>
            <w:noWrap/>
            <w:vAlign w:val="bottom"/>
            <w:hideMark/>
          </w:tcPr>
          <w:p w14:paraId="0BA2A19A"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791E396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169C81F3" w14:textId="77777777" w:rsidTr="005839FD">
        <w:trPr>
          <w:trHeight w:val="300"/>
        </w:trPr>
        <w:tc>
          <w:tcPr>
            <w:tcW w:w="3820" w:type="dxa"/>
            <w:tcBorders>
              <w:top w:val="nil"/>
              <w:left w:val="nil"/>
              <w:bottom w:val="nil"/>
              <w:right w:val="nil"/>
            </w:tcBorders>
            <w:shd w:val="clear" w:color="auto" w:fill="auto"/>
            <w:noWrap/>
            <w:vAlign w:val="bottom"/>
            <w:hideMark/>
          </w:tcPr>
          <w:p w14:paraId="1D4133D2"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Neumonía</w:t>
            </w:r>
          </w:p>
        </w:tc>
        <w:tc>
          <w:tcPr>
            <w:tcW w:w="1720" w:type="dxa"/>
            <w:tcBorders>
              <w:top w:val="nil"/>
              <w:left w:val="nil"/>
              <w:bottom w:val="nil"/>
              <w:right w:val="nil"/>
            </w:tcBorders>
            <w:shd w:val="clear" w:color="auto" w:fill="auto"/>
            <w:noWrap/>
            <w:vAlign w:val="bottom"/>
            <w:hideMark/>
          </w:tcPr>
          <w:p w14:paraId="696DC3C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32FC5D8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50</w:t>
            </w:r>
          </w:p>
        </w:tc>
      </w:tr>
      <w:tr w:rsidR="005839FD" w:rsidRPr="005839FD" w14:paraId="4C032073" w14:textId="77777777" w:rsidTr="005839FD">
        <w:trPr>
          <w:trHeight w:val="300"/>
        </w:trPr>
        <w:tc>
          <w:tcPr>
            <w:tcW w:w="3820" w:type="dxa"/>
            <w:tcBorders>
              <w:top w:val="nil"/>
              <w:left w:val="nil"/>
              <w:bottom w:val="nil"/>
              <w:right w:val="nil"/>
            </w:tcBorders>
            <w:shd w:val="clear" w:color="auto" w:fill="auto"/>
            <w:noWrap/>
            <w:vAlign w:val="bottom"/>
            <w:hideMark/>
          </w:tcPr>
          <w:p w14:paraId="0D31F776"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 xml:space="preserve">Acidosis Metabólica / </w:t>
            </w:r>
            <w:proofErr w:type="spellStart"/>
            <w:r w:rsidRPr="005839FD">
              <w:rPr>
                <w:rFonts w:ascii="Times New Roman" w:eastAsia="Times New Roman" w:hAnsi="Times New Roman" w:cs="Times New Roman"/>
                <w:kern w:val="0"/>
                <w:lang w:val="es-ES" w:eastAsia="es-ES"/>
              </w:rPr>
              <w:t>Hiperkalemia</w:t>
            </w:r>
            <w:proofErr w:type="spellEnd"/>
          </w:p>
        </w:tc>
        <w:tc>
          <w:tcPr>
            <w:tcW w:w="1720" w:type="dxa"/>
            <w:tcBorders>
              <w:top w:val="nil"/>
              <w:left w:val="nil"/>
              <w:bottom w:val="nil"/>
              <w:right w:val="nil"/>
            </w:tcBorders>
            <w:shd w:val="clear" w:color="auto" w:fill="auto"/>
            <w:noWrap/>
            <w:vAlign w:val="bottom"/>
            <w:hideMark/>
          </w:tcPr>
          <w:p w14:paraId="50EF157A"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7F17B837"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50</w:t>
            </w:r>
          </w:p>
        </w:tc>
      </w:tr>
      <w:tr w:rsidR="005839FD" w:rsidRPr="005839FD" w14:paraId="3E39959F"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2F00A90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476155CC"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2</w:t>
            </w:r>
          </w:p>
        </w:tc>
        <w:tc>
          <w:tcPr>
            <w:tcW w:w="1760" w:type="dxa"/>
            <w:tcBorders>
              <w:top w:val="single" w:sz="4" w:space="0" w:color="auto"/>
              <w:left w:val="nil"/>
              <w:bottom w:val="double" w:sz="6" w:space="0" w:color="auto"/>
              <w:right w:val="nil"/>
            </w:tcBorders>
            <w:shd w:val="clear" w:color="auto" w:fill="auto"/>
            <w:vAlign w:val="center"/>
            <w:hideMark/>
          </w:tcPr>
          <w:p w14:paraId="7C254E4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47C15A5C" w14:textId="77777777" w:rsidTr="005839FD">
        <w:trPr>
          <w:trHeight w:val="300"/>
        </w:trPr>
        <w:tc>
          <w:tcPr>
            <w:tcW w:w="3820" w:type="dxa"/>
            <w:tcBorders>
              <w:top w:val="nil"/>
              <w:left w:val="nil"/>
              <w:bottom w:val="nil"/>
              <w:right w:val="nil"/>
            </w:tcBorders>
            <w:shd w:val="clear" w:color="auto" w:fill="auto"/>
            <w:noWrap/>
            <w:vAlign w:val="bottom"/>
            <w:hideMark/>
          </w:tcPr>
          <w:p w14:paraId="422DD0B3"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72AC37FE"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53ED0ABA"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66CBF106" w14:textId="77777777" w:rsidR="005839FD" w:rsidRDefault="005839FD" w:rsidP="002E39D2"/>
    <w:p w14:paraId="6B00304D" w14:textId="6D2F592F" w:rsidR="002E39D2" w:rsidRDefault="002E39D2" w:rsidP="002E39D2">
      <w:pPr>
        <w:spacing w:after="0" w:line="360" w:lineRule="auto"/>
        <w:jc w:val="both"/>
        <w:rPr>
          <w:rFonts w:ascii="Times New Roman" w:hAnsi="Times New Roman" w:cs="Times New Roman"/>
          <w:b/>
          <w:bCs/>
          <w:sz w:val="24"/>
          <w:szCs w:val="24"/>
          <w:lang w:val="es-MX"/>
        </w:rPr>
      </w:pPr>
      <w:r>
        <w:rPr>
          <w:rFonts w:ascii="Times New Roman" w:hAnsi="Times New Roman" w:cs="Times New Roman"/>
          <w:sz w:val="24"/>
          <w:szCs w:val="24"/>
          <w:lang w:val="es-MX"/>
        </w:rPr>
        <w:t xml:space="preserve">El </w:t>
      </w:r>
      <w:r>
        <w:rPr>
          <w:rFonts w:ascii="Times New Roman" w:hAnsi="Times New Roman" w:cs="Times New Roman"/>
          <w:b/>
          <w:bCs/>
          <w:sz w:val="24"/>
          <w:szCs w:val="24"/>
          <w:lang w:val="es-MX"/>
        </w:rPr>
        <w:t xml:space="preserve">95% (n=37/39) </w:t>
      </w:r>
      <w:r>
        <w:rPr>
          <w:rFonts w:ascii="Times New Roman" w:hAnsi="Times New Roman" w:cs="Times New Roman"/>
          <w:sz w:val="24"/>
          <w:szCs w:val="24"/>
          <w:lang w:val="es-MX"/>
        </w:rPr>
        <w:t xml:space="preserve">de los pacientes en estudio egresaron vivos de la unidad hospitalaria, los restantes 2 casos fueron, 1 abandono y 1 traslado por la gravedad del caso. </w:t>
      </w:r>
      <w:r>
        <w:rPr>
          <w:rFonts w:ascii="Times New Roman" w:hAnsi="Times New Roman" w:cs="Times New Roman"/>
          <w:b/>
          <w:bCs/>
          <w:sz w:val="24"/>
          <w:szCs w:val="24"/>
          <w:lang w:val="es-MX"/>
        </w:rPr>
        <w:t>Ver Tabla No 29</w:t>
      </w:r>
      <w:r w:rsidR="007A1B83">
        <w:rPr>
          <w:rFonts w:ascii="Times New Roman" w:hAnsi="Times New Roman" w:cs="Times New Roman"/>
          <w:b/>
          <w:bCs/>
          <w:sz w:val="24"/>
          <w:szCs w:val="24"/>
          <w:lang w:val="es-MX"/>
        </w:rPr>
        <w:t xml:space="preserve"> y Gráfico 13.</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51898FD1"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B18628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29</w:t>
            </w:r>
          </w:p>
        </w:tc>
      </w:tr>
      <w:tr w:rsidR="005839FD" w:rsidRPr="005839FD" w14:paraId="4D967217"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55F218A"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Condiciones de egreso de los niños en estudio</w:t>
            </w:r>
          </w:p>
        </w:tc>
      </w:tr>
      <w:tr w:rsidR="005839FD" w:rsidRPr="005839FD" w14:paraId="66A58CEE"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FA3B6B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75030BFE" w14:textId="77777777" w:rsidTr="005839FD">
        <w:trPr>
          <w:trHeight w:val="300"/>
        </w:trPr>
        <w:tc>
          <w:tcPr>
            <w:tcW w:w="7300" w:type="dxa"/>
            <w:gridSpan w:val="3"/>
            <w:tcBorders>
              <w:top w:val="nil"/>
              <w:left w:val="nil"/>
              <w:bottom w:val="nil"/>
              <w:right w:val="nil"/>
            </w:tcBorders>
            <w:shd w:val="clear" w:color="auto" w:fill="auto"/>
            <w:vAlign w:val="bottom"/>
            <w:hideMark/>
          </w:tcPr>
          <w:p w14:paraId="781C695D"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64830D95"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10F00F2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3AEBACB2" w14:textId="77777777" w:rsidTr="005839FD">
        <w:trPr>
          <w:trHeight w:val="300"/>
        </w:trPr>
        <w:tc>
          <w:tcPr>
            <w:tcW w:w="3820" w:type="dxa"/>
            <w:tcBorders>
              <w:top w:val="nil"/>
              <w:left w:val="nil"/>
              <w:bottom w:val="double" w:sz="6" w:space="0" w:color="auto"/>
              <w:right w:val="nil"/>
            </w:tcBorders>
            <w:shd w:val="clear" w:color="auto" w:fill="auto"/>
            <w:vAlign w:val="center"/>
            <w:hideMark/>
          </w:tcPr>
          <w:p w14:paraId="12ACFDF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Egreso</w:t>
            </w:r>
          </w:p>
        </w:tc>
        <w:tc>
          <w:tcPr>
            <w:tcW w:w="1720" w:type="dxa"/>
            <w:tcBorders>
              <w:top w:val="nil"/>
              <w:left w:val="nil"/>
              <w:bottom w:val="double" w:sz="6" w:space="0" w:color="auto"/>
              <w:right w:val="nil"/>
            </w:tcBorders>
            <w:shd w:val="clear" w:color="auto" w:fill="auto"/>
            <w:noWrap/>
            <w:vAlign w:val="bottom"/>
            <w:hideMark/>
          </w:tcPr>
          <w:p w14:paraId="1198021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proofErr w:type="spellStart"/>
            <w:r w:rsidRPr="005839FD">
              <w:rPr>
                <w:rFonts w:ascii="Times New Roman" w:eastAsia="Times New Roman" w:hAnsi="Times New Roman" w:cs="Times New Roman"/>
                <w:b/>
                <w:bCs/>
                <w:i/>
                <w:iCs/>
                <w:kern w:val="0"/>
                <w:lang w:val="es-ES" w:eastAsia="es-ES"/>
              </w:rPr>
              <w:t>Frec</w:t>
            </w:r>
            <w:proofErr w:type="spellEnd"/>
          </w:p>
        </w:tc>
        <w:tc>
          <w:tcPr>
            <w:tcW w:w="1760" w:type="dxa"/>
            <w:tcBorders>
              <w:top w:val="nil"/>
              <w:left w:val="nil"/>
              <w:bottom w:val="double" w:sz="6" w:space="0" w:color="auto"/>
              <w:right w:val="nil"/>
            </w:tcBorders>
            <w:shd w:val="clear" w:color="auto" w:fill="auto"/>
            <w:noWrap/>
            <w:vAlign w:val="bottom"/>
            <w:hideMark/>
          </w:tcPr>
          <w:p w14:paraId="0F93FA0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w:t>
            </w:r>
          </w:p>
        </w:tc>
      </w:tr>
      <w:tr w:rsidR="005839FD" w:rsidRPr="005839FD" w14:paraId="7534E703" w14:textId="77777777" w:rsidTr="005839FD">
        <w:trPr>
          <w:trHeight w:val="300"/>
        </w:trPr>
        <w:tc>
          <w:tcPr>
            <w:tcW w:w="3820" w:type="dxa"/>
            <w:tcBorders>
              <w:top w:val="nil"/>
              <w:left w:val="nil"/>
              <w:bottom w:val="nil"/>
              <w:right w:val="nil"/>
            </w:tcBorders>
            <w:shd w:val="clear" w:color="auto" w:fill="auto"/>
            <w:noWrap/>
            <w:vAlign w:val="bottom"/>
            <w:hideMark/>
          </w:tcPr>
          <w:p w14:paraId="7E4CED72"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Alta</w:t>
            </w:r>
          </w:p>
        </w:tc>
        <w:tc>
          <w:tcPr>
            <w:tcW w:w="1720" w:type="dxa"/>
            <w:tcBorders>
              <w:top w:val="nil"/>
              <w:left w:val="nil"/>
              <w:bottom w:val="nil"/>
              <w:right w:val="nil"/>
            </w:tcBorders>
            <w:shd w:val="clear" w:color="auto" w:fill="auto"/>
            <w:noWrap/>
            <w:vAlign w:val="bottom"/>
            <w:hideMark/>
          </w:tcPr>
          <w:p w14:paraId="683E24E0"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37</w:t>
            </w:r>
          </w:p>
        </w:tc>
        <w:tc>
          <w:tcPr>
            <w:tcW w:w="1760" w:type="dxa"/>
            <w:tcBorders>
              <w:top w:val="nil"/>
              <w:left w:val="nil"/>
              <w:bottom w:val="nil"/>
              <w:right w:val="nil"/>
            </w:tcBorders>
            <w:shd w:val="clear" w:color="auto" w:fill="auto"/>
            <w:noWrap/>
            <w:vAlign w:val="bottom"/>
            <w:hideMark/>
          </w:tcPr>
          <w:p w14:paraId="331985F5"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95</w:t>
            </w:r>
          </w:p>
        </w:tc>
      </w:tr>
      <w:tr w:rsidR="005839FD" w:rsidRPr="005839FD" w14:paraId="35FF0E65" w14:textId="77777777" w:rsidTr="005839FD">
        <w:trPr>
          <w:trHeight w:val="300"/>
        </w:trPr>
        <w:tc>
          <w:tcPr>
            <w:tcW w:w="3820" w:type="dxa"/>
            <w:tcBorders>
              <w:top w:val="nil"/>
              <w:left w:val="nil"/>
              <w:bottom w:val="nil"/>
              <w:right w:val="nil"/>
            </w:tcBorders>
            <w:shd w:val="clear" w:color="auto" w:fill="auto"/>
            <w:noWrap/>
            <w:vAlign w:val="bottom"/>
            <w:hideMark/>
          </w:tcPr>
          <w:p w14:paraId="098F4439"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Traslado</w:t>
            </w:r>
          </w:p>
        </w:tc>
        <w:tc>
          <w:tcPr>
            <w:tcW w:w="1720" w:type="dxa"/>
            <w:tcBorders>
              <w:top w:val="nil"/>
              <w:left w:val="nil"/>
              <w:bottom w:val="nil"/>
              <w:right w:val="nil"/>
            </w:tcBorders>
            <w:shd w:val="clear" w:color="auto" w:fill="auto"/>
            <w:noWrap/>
            <w:vAlign w:val="bottom"/>
            <w:hideMark/>
          </w:tcPr>
          <w:p w14:paraId="5838E1F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1942E2AF"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r>
      <w:tr w:rsidR="005839FD" w:rsidRPr="005839FD" w14:paraId="7B11BD78" w14:textId="77777777" w:rsidTr="005839FD">
        <w:trPr>
          <w:trHeight w:val="300"/>
        </w:trPr>
        <w:tc>
          <w:tcPr>
            <w:tcW w:w="3820" w:type="dxa"/>
            <w:tcBorders>
              <w:top w:val="nil"/>
              <w:left w:val="nil"/>
              <w:bottom w:val="nil"/>
              <w:right w:val="nil"/>
            </w:tcBorders>
            <w:shd w:val="clear" w:color="auto" w:fill="auto"/>
            <w:noWrap/>
            <w:vAlign w:val="bottom"/>
            <w:hideMark/>
          </w:tcPr>
          <w:p w14:paraId="14D802B9" w14:textId="77777777" w:rsidR="005839FD" w:rsidRPr="005839FD" w:rsidRDefault="005839FD" w:rsidP="005839FD">
            <w:pPr>
              <w:spacing w:after="0" w:line="240" w:lineRule="auto"/>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Abandono</w:t>
            </w:r>
          </w:p>
        </w:tc>
        <w:tc>
          <w:tcPr>
            <w:tcW w:w="1720" w:type="dxa"/>
            <w:tcBorders>
              <w:top w:val="nil"/>
              <w:left w:val="nil"/>
              <w:bottom w:val="nil"/>
              <w:right w:val="nil"/>
            </w:tcBorders>
            <w:shd w:val="clear" w:color="auto" w:fill="auto"/>
            <w:noWrap/>
            <w:vAlign w:val="bottom"/>
            <w:hideMark/>
          </w:tcPr>
          <w:p w14:paraId="3DED385E"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1</w:t>
            </w:r>
          </w:p>
        </w:tc>
        <w:tc>
          <w:tcPr>
            <w:tcW w:w="1760" w:type="dxa"/>
            <w:tcBorders>
              <w:top w:val="nil"/>
              <w:left w:val="nil"/>
              <w:bottom w:val="nil"/>
              <w:right w:val="nil"/>
            </w:tcBorders>
            <w:shd w:val="clear" w:color="auto" w:fill="auto"/>
            <w:noWrap/>
            <w:vAlign w:val="bottom"/>
            <w:hideMark/>
          </w:tcPr>
          <w:p w14:paraId="50983AB9" w14:textId="77777777" w:rsidR="005839FD" w:rsidRPr="005839FD" w:rsidRDefault="005839FD" w:rsidP="005839FD">
            <w:pPr>
              <w:spacing w:after="0" w:line="240" w:lineRule="auto"/>
              <w:jc w:val="center"/>
              <w:rPr>
                <w:rFonts w:ascii="Times New Roman" w:eastAsia="Times New Roman" w:hAnsi="Times New Roman" w:cs="Times New Roman"/>
                <w:kern w:val="0"/>
                <w:lang w:val="es-ES" w:eastAsia="es-ES"/>
              </w:rPr>
            </w:pPr>
            <w:r w:rsidRPr="005839FD">
              <w:rPr>
                <w:rFonts w:ascii="Times New Roman" w:eastAsia="Times New Roman" w:hAnsi="Times New Roman" w:cs="Times New Roman"/>
                <w:kern w:val="0"/>
                <w:lang w:val="es-ES" w:eastAsia="es-ES"/>
              </w:rPr>
              <w:t>3</w:t>
            </w:r>
          </w:p>
        </w:tc>
      </w:tr>
      <w:tr w:rsidR="005839FD" w:rsidRPr="005839FD" w14:paraId="6B7903A8" w14:textId="77777777" w:rsidTr="005839FD">
        <w:trPr>
          <w:trHeight w:val="300"/>
        </w:trPr>
        <w:tc>
          <w:tcPr>
            <w:tcW w:w="3820" w:type="dxa"/>
            <w:tcBorders>
              <w:top w:val="single" w:sz="4" w:space="0" w:color="auto"/>
              <w:left w:val="nil"/>
              <w:bottom w:val="double" w:sz="6" w:space="0" w:color="auto"/>
              <w:right w:val="nil"/>
            </w:tcBorders>
            <w:shd w:val="clear" w:color="auto" w:fill="auto"/>
            <w:vAlign w:val="center"/>
            <w:hideMark/>
          </w:tcPr>
          <w:p w14:paraId="729EA4D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Total</w:t>
            </w:r>
          </w:p>
        </w:tc>
        <w:tc>
          <w:tcPr>
            <w:tcW w:w="1720" w:type="dxa"/>
            <w:tcBorders>
              <w:top w:val="single" w:sz="4" w:space="0" w:color="auto"/>
              <w:left w:val="nil"/>
              <w:bottom w:val="double" w:sz="6" w:space="0" w:color="auto"/>
              <w:right w:val="nil"/>
            </w:tcBorders>
            <w:shd w:val="clear" w:color="auto" w:fill="auto"/>
            <w:vAlign w:val="center"/>
            <w:hideMark/>
          </w:tcPr>
          <w:p w14:paraId="4B27D7A7"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39</w:t>
            </w:r>
          </w:p>
        </w:tc>
        <w:tc>
          <w:tcPr>
            <w:tcW w:w="1760" w:type="dxa"/>
            <w:tcBorders>
              <w:top w:val="single" w:sz="4" w:space="0" w:color="auto"/>
              <w:left w:val="nil"/>
              <w:bottom w:val="double" w:sz="6" w:space="0" w:color="auto"/>
              <w:right w:val="nil"/>
            </w:tcBorders>
            <w:shd w:val="clear" w:color="auto" w:fill="auto"/>
            <w:vAlign w:val="center"/>
            <w:hideMark/>
          </w:tcPr>
          <w:p w14:paraId="5288F703"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100</w:t>
            </w:r>
          </w:p>
        </w:tc>
      </w:tr>
      <w:tr w:rsidR="005839FD" w:rsidRPr="005839FD" w14:paraId="498AFFDC" w14:textId="77777777" w:rsidTr="005839FD">
        <w:trPr>
          <w:trHeight w:val="300"/>
        </w:trPr>
        <w:tc>
          <w:tcPr>
            <w:tcW w:w="3820" w:type="dxa"/>
            <w:tcBorders>
              <w:top w:val="nil"/>
              <w:left w:val="nil"/>
              <w:bottom w:val="nil"/>
              <w:right w:val="nil"/>
            </w:tcBorders>
            <w:shd w:val="clear" w:color="auto" w:fill="auto"/>
            <w:noWrap/>
            <w:vAlign w:val="bottom"/>
            <w:hideMark/>
          </w:tcPr>
          <w:p w14:paraId="1C8E2E82"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159AE90D"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72EB578F"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0311F893" w14:textId="77777777" w:rsidR="002E39D2" w:rsidRDefault="002E39D2" w:rsidP="002E39D2">
      <w:pPr>
        <w:spacing w:after="0" w:line="360" w:lineRule="auto"/>
        <w:jc w:val="both"/>
        <w:rPr>
          <w:rFonts w:ascii="Times New Roman" w:hAnsi="Times New Roman" w:cs="Times New Roman"/>
          <w:b/>
          <w:bCs/>
          <w:sz w:val="24"/>
          <w:szCs w:val="24"/>
          <w:lang w:val="es-MX"/>
        </w:rPr>
      </w:pPr>
    </w:p>
    <w:p w14:paraId="7986ECE8" w14:textId="77777777" w:rsidR="002E39D2" w:rsidRDefault="002E39D2" w:rsidP="002E39D2">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No se encontró relación estadística significativa de la edad, sexo, APP, hospitalizaciones previas, lactancia materna, malformaciones, antecedentes de IVU, estancia hospitalaria, patologías asociadas intrahospitalaria y la posibilidad de presentar complicaciones.</w:t>
      </w:r>
    </w:p>
    <w:p w14:paraId="52DE1BF2" w14:textId="77777777" w:rsidR="002E39D2" w:rsidRDefault="002E39D2" w:rsidP="002E39D2">
      <w:pPr>
        <w:spacing w:after="0" w:line="360" w:lineRule="auto"/>
        <w:jc w:val="both"/>
        <w:rPr>
          <w:rFonts w:ascii="Times New Roman" w:hAnsi="Times New Roman" w:cs="Times New Roman"/>
          <w:sz w:val="24"/>
          <w:szCs w:val="24"/>
          <w:lang w:val="es-MX"/>
        </w:rPr>
      </w:pPr>
    </w:p>
    <w:p w14:paraId="297828E5" w14:textId="7291D8DC" w:rsidR="002E39D2" w:rsidRDefault="002E39D2" w:rsidP="002E39D2">
      <w:pPr>
        <w:spacing w:after="0" w:line="360" w:lineRule="auto"/>
        <w:jc w:val="both"/>
        <w:rPr>
          <w:rFonts w:ascii="Times New Roman" w:hAnsi="Times New Roman" w:cs="Times New Roman"/>
          <w:b/>
          <w:bCs/>
          <w:sz w:val="24"/>
          <w:szCs w:val="24"/>
          <w:lang w:val="es-MX"/>
        </w:rPr>
      </w:pPr>
      <w:r>
        <w:rPr>
          <w:rFonts w:ascii="Times New Roman" w:hAnsi="Times New Roman" w:cs="Times New Roman"/>
          <w:sz w:val="24"/>
          <w:szCs w:val="24"/>
          <w:lang w:val="es-MX"/>
        </w:rPr>
        <w:t xml:space="preserve">Se encontró relación significativa al relacionar los cambios de terapia antimicrobiana durante la estancia hospitalaria y el riesgo de complicaciones, resultando que un paciente que se le realizo </w:t>
      </w:r>
      <w:r>
        <w:rPr>
          <w:rFonts w:ascii="Times New Roman" w:hAnsi="Times New Roman" w:cs="Times New Roman"/>
          <w:sz w:val="24"/>
          <w:szCs w:val="24"/>
          <w:lang w:val="es-MX"/>
        </w:rPr>
        <w:lastRenderedPageBreak/>
        <w:t xml:space="preserve">cambio de terapia tiene 36 veces </w:t>
      </w:r>
      <w:r w:rsidR="005839FD">
        <w:rPr>
          <w:rFonts w:ascii="Times New Roman" w:hAnsi="Times New Roman" w:cs="Times New Roman"/>
          <w:sz w:val="24"/>
          <w:szCs w:val="24"/>
          <w:lang w:val="es-MX"/>
        </w:rPr>
        <w:t>más</w:t>
      </w:r>
      <w:r>
        <w:rPr>
          <w:rFonts w:ascii="Times New Roman" w:hAnsi="Times New Roman" w:cs="Times New Roman"/>
          <w:sz w:val="24"/>
          <w:szCs w:val="24"/>
          <w:lang w:val="es-MX"/>
        </w:rPr>
        <w:t xml:space="preserve"> de probabilidades de tener una complicación, </w:t>
      </w:r>
      <w:r>
        <w:rPr>
          <w:rFonts w:ascii="Times New Roman" w:hAnsi="Times New Roman" w:cs="Times New Roman"/>
          <w:b/>
          <w:bCs/>
          <w:sz w:val="24"/>
          <w:szCs w:val="24"/>
          <w:lang w:val="es-MX"/>
        </w:rPr>
        <w:t>Chi 8.72 P=36 (1.19 – 10.9). Ver Tabla 30.</w:t>
      </w:r>
    </w:p>
    <w:p w14:paraId="27CD2022" w14:textId="77777777" w:rsidR="005839FD" w:rsidRDefault="005839FD" w:rsidP="002E39D2">
      <w:pPr>
        <w:spacing w:after="0" w:line="360" w:lineRule="auto"/>
        <w:jc w:val="both"/>
        <w:rPr>
          <w:rFonts w:ascii="Times New Roman" w:hAnsi="Times New Roman" w:cs="Times New Roman"/>
          <w:b/>
          <w:bCs/>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15896CD8"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67C9C6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30</w:t>
            </w:r>
          </w:p>
        </w:tc>
      </w:tr>
      <w:tr w:rsidR="005839FD" w:rsidRPr="005839FD" w14:paraId="20A90132"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421683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Relación Cambio de Terapia y Complicaciones</w:t>
            </w:r>
          </w:p>
        </w:tc>
      </w:tr>
      <w:tr w:rsidR="005839FD" w:rsidRPr="005839FD" w14:paraId="1BD0C880"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0E9F9982"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66209234" w14:textId="77777777" w:rsidTr="005839FD">
        <w:trPr>
          <w:trHeight w:val="300"/>
        </w:trPr>
        <w:tc>
          <w:tcPr>
            <w:tcW w:w="7300" w:type="dxa"/>
            <w:gridSpan w:val="3"/>
            <w:tcBorders>
              <w:top w:val="nil"/>
              <w:left w:val="nil"/>
              <w:bottom w:val="nil"/>
              <w:right w:val="nil"/>
            </w:tcBorders>
            <w:shd w:val="clear" w:color="auto" w:fill="auto"/>
            <w:vAlign w:val="bottom"/>
            <w:hideMark/>
          </w:tcPr>
          <w:p w14:paraId="33A899C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2D375845"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0A95BB1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00600241" w14:textId="77777777" w:rsidTr="005839FD">
        <w:trPr>
          <w:trHeight w:val="330"/>
        </w:trPr>
        <w:tc>
          <w:tcPr>
            <w:tcW w:w="3820" w:type="dxa"/>
            <w:vMerge w:val="restart"/>
            <w:tcBorders>
              <w:top w:val="nil"/>
              <w:left w:val="nil"/>
              <w:bottom w:val="double" w:sz="6" w:space="0" w:color="auto"/>
              <w:right w:val="nil"/>
            </w:tcBorders>
            <w:shd w:val="clear" w:color="auto" w:fill="auto"/>
            <w:vAlign w:val="center"/>
            <w:hideMark/>
          </w:tcPr>
          <w:p w14:paraId="3F420CA8"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Cambio de Terapia</w:t>
            </w:r>
          </w:p>
        </w:tc>
        <w:tc>
          <w:tcPr>
            <w:tcW w:w="3480" w:type="dxa"/>
            <w:gridSpan w:val="2"/>
            <w:tcBorders>
              <w:top w:val="single" w:sz="4" w:space="0" w:color="auto"/>
              <w:left w:val="nil"/>
              <w:bottom w:val="double" w:sz="6" w:space="0" w:color="843C0B"/>
              <w:right w:val="nil"/>
            </w:tcBorders>
            <w:shd w:val="clear" w:color="auto" w:fill="auto"/>
            <w:vAlign w:val="center"/>
            <w:hideMark/>
          </w:tcPr>
          <w:p w14:paraId="63EC6EB5"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Complicaciones</w:t>
            </w:r>
          </w:p>
        </w:tc>
      </w:tr>
      <w:tr w:rsidR="005839FD" w:rsidRPr="005839FD" w14:paraId="7BA673EA" w14:textId="77777777" w:rsidTr="005839FD">
        <w:trPr>
          <w:trHeight w:val="330"/>
        </w:trPr>
        <w:tc>
          <w:tcPr>
            <w:tcW w:w="3820" w:type="dxa"/>
            <w:vMerge/>
            <w:tcBorders>
              <w:top w:val="nil"/>
              <w:left w:val="nil"/>
              <w:bottom w:val="double" w:sz="6" w:space="0" w:color="auto"/>
              <w:right w:val="nil"/>
            </w:tcBorders>
            <w:vAlign w:val="center"/>
            <w:hideMark/>
          </w:tcPr>
          <w:p w14:paraId="7E432BAF"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p>
        </w:tc>
        <w:tc>
          <w:tcPr>
            <w:tcW w:w="1720" w:type="dxa"/>
            <w:tcBorders>
              <w:top w:val="single" w:sz="4" w:space="0" w:color="auto"/>
              <w:left w:val="nil"/>
              <w:bottom w:val="double" w:sz="6" w:space="0" w:color="843C0B"/>
              <w:right w:val="nil"/>
            </w:tcBorders>
            <w:shd w:val="clear" w:color="auto" w:fill="auto"/>
            <w:vAlign w:val="center"/>
            <w:hideMark/>
          </w:tcPr>
          <w:p w14:paraId="71EFE1F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Si</w:t>
            </w:r>
          </w:p>
        </w:tc>
        <w:tc>
          <w:tcPr>
            <w:tcW w:w="1760" w:type="dxa"/>
            <w:tcBorders>
              <w:top w:val="single" w:sz="4" w:space="0" w:color="auto"/>
              <w:left w:val="nil"/>
              <w:bottom w:val="double" w:sz="6" w:space="0" w:color="843C0B"/>
              <w:right w:val="nil"/>
            </w:tcBorders>
            <w:shd w:val="clear" w:color="auto" w:fill="auto"/>
            <w:vAlign w:val="center"/>
            <w:hideMark/>
          </w:tcPr>
          <w:p w14:paraId="1ABDBA72"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No</w:t>
            </w:r>
          </w:p>
        </w:tc>
      </w:tr>
      <w:tr w:rsidR="005839FD" w:rsidRPr="005839FD" w14:paraId="560F3C15" w14:textId="77777777" w:rsidTr="005839FD">
        <w:trPr>
          <w:trHeight w:val="300"/>
        </w:trPr>
        <w:tc>
          <w:tcPr>
            <w:tcW w:w="3820" w:type="dxa"/>
            <w:tcBorders>
              <w:top w:val="double" w:sz="6" w:space="0" w:color="843C0B"/>
              <w:left w:val="nil"/>
              <w:bottom w:val="nil"/>
              <w:right w:val="nil"/>
            </w:tcBorders>
            <w:shd w:val="clear" w:color="auto" w:fill="auto"/>
            <w:noWrap/>
            <w:vAlign w:val="bottom"/>
            <w:hideMark/>
          </w:tcPr>
          <w:p w14:paraId="3BB9C34E"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Si</w:t>
            </w:r>
          </w:p>
        </w:tc>
        <w:tc>
          <w:tcPr>
            <w:tcW w:w="1720" w:type="dxa"/>
            <w:tcBorders>
              <w:top w:val="nil"/>
              <w:left w:val="nil"/>
              <w:bottom w:val="nil"/>
              <w:right w:val="nil"/>
            </w:tcBorders>
            <w:shd w:val="clear" w:color="auto" w:fill="auto"/>
            <w:noWrap/>
            <w:vAlign w:val="bottom"/>
            <w:hideMark/>
          </w:tcPr>
          <w:p w14:paraId="6086655F"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50 %</w:t>
            </w:r>
          </w:p>
        </w:tc>
        <w:tc>
          <w:tcPr>
            <w:tcW w:w="1760" w:type="dxa"/>
            <w:tcBorders>
              <w:top w:val="nil"/>
              <w:left w:val="nil"/>
              <w:bottom w:val="nil"/>
              <w:right w:val="nil"/>
            </w:tcBorders>
            <w:shd w:val="clear" w:color="auto" w:fill="auto"/>
            <w:noWrap/>
            <w:vAlign w:val="bottom"/>
            <w:hideMark/>
          </w:tcPr>
          <w:p w14:paraId="1EEBC5C8"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50 %</w:t>
            </w:r>
          </w:p>
        </w:tc>
      </w:tr>
      <w:tr w:rsidR="005839FD" w:rsidRPr="005839FD" w14:paraId="0CD21E4B" w14:textId="77777777" w:rsidTr="005839FD">
        <w:trPr>
          <w:trHeight w:val="300"/>
        </w:trPr>
        <w:tc>
          <w:tcPr>
            <w:tcW w:w="3820" w:type="dxa"/>
            <w:tcBorders>
              <w:top w:val="nil"/>
              <w:left w:val="nil"/>
              <w:bottom w:val="nil"/>
              <w:right w:val="nil"/>
            </w:tcBorders>
            <w:shd w:val="clear" w:color="auto" w:fill="auto"/>
            <w:noWrap/>
            <w:vAlign w:val="bottom"/>
            <w:hideMark/>
          </w:tcPr>
          <w:p w14:paraId="2180D4D6"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No</w:t>
            </w:r>
          </w:p>
        </w:tc>
        <w:tc>
          <w:tcPr>
            <w:tcW w:w="1720" w:type="dxa"/>
            <w:tcBorders>
              <w:top w:val="nil"/>
              <w:left w:val="nil"/>
              <w:bottom w:val="nil"/>
              <w:right w:val="nil"/>
            </w:tcBorders>
            <w:shd w:val="clear" w:color="auto" w:fill="auto"/>
            <w:noWrap/>
            <w:vAlign w:val="bottom"/>
            <w:hideMark/>
          </w:tcPr>
          <w:p w14:paraId="6671DC19"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3 %</w:t>
            </w:r>
          </w:p>
        </w:tc>
        <w:tc>
          <w:tcPr>
            <w:tcW w:w="1760" w:type="dxa"/>
            <w:tcBorders>
              <w:top w:val="nil"/>
              <w:left w:val="nil"/>
              <w:bottom w:val="nil"/>
              <w:right w:val="nil"/>
            </w:tcBorders>
            <w:shd w:val="clear" w:color="auto" w:fill="auto"/>
            <w:noWrap/>
            <w:vAlign w:val="bottom"/>
            <w:hideMark/>
          </w:tcPr>
          <w:p w14:paraId="39159A6D"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97 %</w:t>
            </w:r>
          </w:p>
        </w:tc>
      </w:tr>
      <w:tr w:rsidR="005839FD" w:rsidRPr="005839FD" w14:paraId="05323A5A" w14:textId="77777777" w:rsidTr="005839FD">
        <w:trPr>
          <w:trHeight w:val="278"/>
        </w:trPr>
        <w:tc>
          <w:tcPr>
            <w:tcW w:w="3820" w:type="dxa"/>
            <w:tcBorders>
              <w:top w:val="single" w:sz="4" w:space="0" w:color="auto"/>
              <w:left w:val="nil"/>
              <w:bottom w:val="double" w:sz="6" w:space="0" w:color="auto"/>
              <w:right w:val="nil"/>
            </w:tcBorders>
            <w:shd w:val="clear" w:color="auto" w:fill="auto"/>
            <w:vAlign w:val="center"/>
            <w:hideMark/>
          </w:tcPr>
          <w:p w14:paraId="73E0DCCA"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Chi: 8.72</w:t>
            </w:r>
          </w:p>
        </w:tc>
        <w:tc>
          <w:tcPr>
            <w:tcW w:w="3480" w:type="dxa"/>
            <w:gridSpan w:val="2"/>
            <w:tcBorders>
              <w:top w:val="single" w:sz="4" w:space="0" w:color="auto"/>
              <w:left w:val="nil"/>
              <w:bottom w:val="double" w:sz="6" w:space="0" w:color="auto"/>
              <w:right w:val="nil"/>
            </w:tcBorders>
            <w:shd w:val="clear" w:color="auto" w:fill="auto"/>
            <w:vAlign w:val="center"/>
            <w:hideMark/>
          </w:tcPr>
          <w:p w14:paraId="14831E68"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P: 36 (1.19 - 10.9)</w:t>
            </w:r>
          </w:p>
        </w:tc>
      </w:tr>
      <w:tr w:rsidR="005839FD" w:rsidRPr="005839FD" w14:paraId="1D8FD411" w14:textId="77777777" w:rsidTr="005839FD">
        <w:trPr>
          <w:trHeight w:val="300"/>
        </w:trPr>
        <w:tc>
          <w:tcPr>
            <w:tcW w:w="3820" w:type="dxa"/>
            <w:tcBorders>
              <w:top w:val="nil"/>
              <w:left w:val="nil"/>
              <w:bottom w:val="nil"/>
              <w:right w:val="nil"/>
            </w:tcBorders>
            <w:shd w:val="clear" w:color="auto" w:fill="auto"/>
            <w:noWrap/>
            <w:vAlign w:val="bottom"/>
            <w:hideMark/>
          </w:tcPr>
          <w:p w14:paraId="72F53581"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44129983"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189815FA"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29FFA150" w14:textId="77777777" w:rsidR="005839FD" w:rsidRDefault="005839FD" w:rsidP="002E39D2">
      <w:pPr>
        <w:spacing w:after="0" w:line="360" w:lineRule="auto"/>
        <w:jc w:val="both"/>
        <w:rPr>
          <w:rFonts w:ascii="Times New Roman" w:hAnsi="Times New Roman" w:cs="Times New Roman"/>
          <w:sz w:val="24"/>
          <w:szCs w:val="24"/>
          <w:lang w:val="es-MX"/>
        </w:rPr>
      </w:pPr>
    </w:p>
    <w:p w14:paraId="142ADCDB" w14:textId="5AC56110" w:rsidR="002E39D2" w:rsidRDefault="002E39D2" w:rsidP="002E39D2">
      <w:pPr>
        <w:spacing w:after="0" w:line="360" w:lineRule="auto"/>
        <w:jc w:val="both"/>
        <w:rPr>
          <w:rFonts w:ascii="Times New Roman" w:hAnsi="Times New Roman" w:cs="Times New Roman"/>
          <w:b/>
          <w:bCs/>
          <w:sz w:val="24"/>
          <w:szCs w:val="24"/>
          <w:lang w:val="es-MX"/>
        </w:rPr>
      </w:pPr>
      <w:r>
        <w:rPr>
          <w:rFonts w:ascii="Times New Roman" w:hAnsi="Times New Roman" w:cs="Times New Roman"/>
          <w:sz w:val="24"/>
          <w:szCs w:val="24"/>
          <w:lang w:val="es-MX"/>
        </w:rPr>
        <w:t xml:space="preserve">De igual forma se encontró relación significativa al relacionar el sobrepeso de los pacientes y el riesgo de complicaciones, resultando que un paciente con sobrepeso tiene 36 veces más de probabilidades de tener una complicación, </w:t>
      </w:r>
      <w:r>
        <w:rPr>
          <w:rFonts w:ascii="Times New Roman" w:hAnsi="Times New Roman" w:cs="Times New Roman"/>
          <w:b/>
          <w:bCs/>
          <w:sz w:val="24"/>
          <w:szCs w:val="24"/>
          <w:lang w:val="es-MX"/>
        </w:rPr>
        <w:t xml:space="preserve">Chi 8.72 P=36 (1.19 – 10.9). Ver Tabla 31. </w:t>
      </w: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781D4E81"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655E923E"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31</w:t>
            </w:r>
          </w:p>
        </w:tc>
      </w:tr>
      <w:tr w:rsidR="005839FD" w:rsidRPr="005839FD" w14:paraId="645B1010"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7599FF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Relación Sobrepeso y Complicaciones</w:t>
            </w:r>
          </w:p>
        </w:tc>
      </w:tr>
      <w:tr w:rsidR="005839FD" w:rsidRPr="005839FD" w14:paraId="29BDE6D1"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14841247"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170FF8F6" w14:textId="77777777" w:rsidTr="005839FD">
        <w:trPr>
          <w:trHeight w:val="300"/>
        </w:trPr>
        <w:tc>
          <w:tcPr>
            <w:tcW w:w="7300" w:type="dxa"/>
            <w:gridSpan w:val="3"/>
            <w:tcBorders>
              <w:top w:val="nil"/>
              <w:left w:val="nil"/>
              <w:bottom w:val="nil"/>
              <w:right w:val="nil"/>
            </w:tcBorders>
            <w:shd w:val="clear" w:color="auto" w:fill="auto"/>
            <w:vAlign w:val="bottom"/>
            <w:hideMark/>
          </w:tcPr>
          <w:p w14:paraId="754C9C2A"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479D1C35"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5ACEB907"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47B0C6BF" w14:textId="77777777" w:rsidTr="005839FD">
        <w:trPr>
          <w:trHeight w:val="278"/>
        </w:trPr>
        <w:tc>
          <w:tcPr>
            <w:tcW w:w="3820" w:type="dxa"/>
            <w:vMerge w:val="restart"/>
            <w:tcBorders>
              <w:top w:val="nil"/>
              <w:left w:val="nil"/>
              <w:bottom w:val="double" w:sz="6" w:space="0" w:color="auto"/>
              <w:right w:val="nil"/>
            </w:tcBorders>
            <w:shd w:val="clear" w:color="auto" w:fill="auto"/>
            <w:vAlign w:val="center"/>
            <w:hideMark/>
          </w:tcPr>
          <w:p w14:paraId="714FEED9"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Sobrepeso</w:t>
            </w:r>
          </w:p>
        </w:tc>
        <w:tc>
          <w:tcPr>
            <w:tcW w:w="3480" w:type="dxa"/>
            <w:gridSpan w:val="2"/>
            <w:tcBorders>
              <w:top w:val="single" w:sz="4" w:space="0" w:color="auto"/>
              <w:left w:val="nil"/>
              <w:bottom w:val="double" w:sz="6" w:space="0" w:color="843C0B"/>
              <w:right w:val="nil"/>
            </w:tcBorders>
            <w:shd w:val="clear" w:color="auto" w:fill="auto"/>
            <w:vAlign w:val="center"/>
            <w:hideMark/>
          </w:tcPr>
          <w:p w14:paraId="228AF39E"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Complicaciones</w:t>
            </w:r>
          </w:p>
        </w:tc>
      </w:tr>
      <w:tr w:rsidR="005839FD" w:rsidRPr="005839FD" w14:paraId="51F31899" w14:textId="77777777" w:rsidTr="005839FD">
        <w:trPr>
          <w:trHeight w:val="300"/>
        </w:trPr>
        <w:tc>
          <w:tcPr>
            <w:tcW w:w="3820" w:type="dxa"/>
            <w:vMerge/>
            <w:tcBorders>
              <w:top w:val="nil"/>
              <w:left w:val="nil"/>
              <w:bottom w:val="double" w:sz="6" w:space="0" w:color="auto"/>
              <w:right w:val="nil"/>
            </w:tcBorders>
            <w:vAlign w:val="center"/>
            <w:hideMark/>
          </w:tcPr>
          <w:p w14:paraId="63C558C3"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p>
        </w:tc>
        <w:tc>
          <w:tcPr>
            <w:tcW w:w="1720" w:type="dxa"/>
            <w:tcBorders>
              <w:top w:val="single" w:sz="4" w:space="0" w:color="auto"/>
              <w:left w:val="nil"/>
              <w:bottom w:val="double" w:sz="6" w:space="0" w:color="843C0B"/>
              <w:right w:val="nil"/>
            </w:tcBorders>
            <w:shd w:val="clear" w:color="auto" w:fill="auto"/>
            <w:vAlign w:val="center"/>
            <w:hideMark/>
          </w:tcPr>
          <w:p w14:paraId="24EB26B4"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Si</w:t>
            </w:r>
          </w:p>
        </w:tc>
        <w:tc>
          <w:tcPr>
            <w:tcW w:w="1760" w:type="dxa"/>
            <w:tcBorders>
              <w:top w:val="single" w:sz="4" w:space="0" w:color="auto"/>
              <w:left w:val="nil"/>
              <w:bottom w:val="double" w:sz="6" w:space="0" w:color="843C0B"/>
              <w:right w:val="nil"/>
            </w:tcBorders>
            <w:shd w:val="clear" w:color="auto" w:fill="auto"/>
            <w:vAlign w:val="center"/>
            <w:hideMark/>
          </w:tcPr>
          <w:p w14:paraId="6C389683"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No</w:t>
            </w:r>
          </w:p>
        </w:tc>
      </w:tr>
      <w:tr w:rsidR="005839FD" w:rsidRPr="005839FD" w14:paraId="477D3CF3" w14:textId="77777777" w:rsidTr="005839FD">
        <w:trPr>
          <w:trHeight w:val="300"/>
        </w:trPr>
        <w:tc>
          <w:tcPr>
            <w:tcW w:w="3820" w:type="dxa"/>
            <w:tcBorders>
              <w:top w:val="double" w:sz="6" w:space="0" w:color="843C0B"/>
              <w:left w:val="nil"/>
              <w:bottom w:val="nil"/>
              <w:right w:val="nil"/>
            </w:tcBorders>
            <w:shd w:val="clear" w:color="auto" w:fill="auto"/>
            <w:noWrap/>
            <w:vAlign w:val="bottom"/>
            <w:hideMark/>
          </w:tcPr>
          <w:p w14:paraId="76038CE8"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Si</w:t>
            </w:r>
          </w:p>
        </w:tc>
        <w:tc>
          <w:tcPr>
            <w:tcW w:w="1720" w:type="dxa"/>
            <w:tcBorders>
              <w:top w:val="nil"/>
              <w:left w:val="nil"/>
              <w:bottom w:val="nil"/>
              <w:right w:val="nil"/>
            </w:tcBorders>
            <w:shd w:val="clear" w:color="auto" w:fill="auto"/>
            <w:noWrap/>
            <w:vAlign w:val="bottom"/>
            <w:hideMark/>
          </w:tcPr>
          <w:p w14:paraId="01418CA2"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50 %</w:t>
            </w:r>
          </w:p>
        </w:tc>
        <w:tc>
          <w:tcPr>
            <w:tcW w:w="1760" w:type="dxa"/>
            <w:tcBorders>
              <w:top w:val="nil"/>
              <w:left w:val="nil"/>
              <w:bottom w:val="nil"/>
              <w:right w:val="nil"/>
            </w:tcBorders>
            <w:shd w:val="clear" w:color="auto" w:fill="auto"/>
            <w:noWrap/>
            <w:vAlign w:val="bottom"/>
            <w:hideMark/>
          </w:tcPr>
          <w:p w14:paraId="4ABCC924"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50 %</w:t>
            </w:r>
          </w:p>
        </w:tc>
      </w:tr>
      <w:tr w:rsidR="005839FD" w:rsidRPr="005839FD" w14:paraId="6EFA0042" w14:textId="77777777" w:rsidTr="005839FD">
        <w:trPr>
          <w:trHeight w:val="300"/>
        </w:trPr>
        <w:tc>
          <w:tcPr>
            <w:tcW w:w="3820" w:type="dxa"/>
            <w:tcBorders>
              <w:top w:val="nil"/>
              <w:left w:val="nil"/>
              <w:bottom w:val="nil"/>
              <w:right w:val="nil"/>
            </w:tcBorders>
            <w:shd w:val="clear" w:color="auto" w:fill="auto"/>
            <w:noWrap/>
            <w:vAlign w:val="bottom"/>
            <w:hideMark/>
          </w:tcPr>
          <w:p w14:paraId="2A981789"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No</w:t>
            </w:r>
          </w:p>
        </w:tc>
        <w:tc>
          <w:tcPr>
            <w:tcW w:w="1720" w:type="dxa"/>
            <w:tcBorders>
              <w:top w:val="nil"/>
              <w:left w:val="nil"/>
              <w:bottom w:val="nil"/>
              <w:right w:val="nil"/>
            </w:tcBorders>
            <w:shd w:val="clear" w:color="auto" w:fill="auto"/>
            <w:noWrap/>
            <w:vAlign w:val="bottom"/>
            <w:hideMark/>
          </w:tcPr>
          <w:p w14:paraId="27CBB3C5"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3 %</w:t>
            </w:r>
          </w:p>
        </w:tc>
        <w:tc>
          <w:tcPr>
            <w:tcW w:w="1760" w:type="dxa"/>
            <w:tcBorders>
              <w:top w:val="nil"/>
              <w:left w:val="nil"/>
              <w:bottom w:val="nil"/>
              <w:right w:val="nil"/>
            </w:tcBorders>
            <w:shd w:val="clear" w:color="auto" w:fill="auto"/>
            <w:noWrap/>
            <w:vAlign w:val="bottom"/>
            <w:hideMark/>
          </w:tcPr>
          <w:p w14:paraId="4CBC4D9B"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97 %</w:t>
            </w:r>
          </w:p>
        </w:tc>
      </w:tr>
      <w:tr w:rsidR="005839FD" w:rsidRPr="005839FD" w14:paraId="42670A35" w14:textId="77777777" w:rsidTr="005839FD">
        <w:trPr>
          <w:trHeight w:val="278"/>
        </w:trPr>
        <w:tc>
          <w:tcPr>
            <w:tcW w:w="3820" w:type="dxa"/>
            <w:tcBorders>
              <w:top w:val="single" w:sz="4" w:space="0" w:color="auto"/>
              <w:left w:val="nil"/>
              <w:bottom w:val="double" w:sz="6" w:space="0" w:color="auto"/>
              <w:right w:val="nil"/>
            </w:tcBorders>
            <w:shd w:val="clear" w:color="auto" w:fill="auto"/>
            <w:vAlign w:val="center"/>
            <w:hideMark/>
          </w:tcPr>
          <w:p w14:paraId="07E8D2B9"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Chi: 8.72</w:t>
            </w:r>
          </w:p>
        </w:tc>
        <w:tc>
          <w:tcPr>
            <w:tcW w:w="3480" w:type="dxa"/>
            <w:gridSpan w:val="2"/>
            <w:tcBorders>
              <w:top w:val="single" w:sz="4" w:space="0" w:color="auto"/>
              <w:left w:val="nil"/>
              <w:bottom w:val="double" w:sz="6" w:space="0" w:color="auto"/>
              <w:right w:val="nil"/>
            </w:tcBorders>
            <w:shd w:val="clear" w:color="auto" w:fill="auto"/>
            <w:vAlign w:val="center"/>
            <w:hideMark/>
          </w:tcPr>
          <w:p w14:paraId="09E8C8AB"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P: 36 (1.19 - 10.9)</w:t>
            </w:r>
          </w:p>
        </w:tc>
      </w:tr>
      <w:tr w:rsidR="005839FD" w:rsidRPr="005839FD" w14:paraId="69C6528F" w14:textId="77777777" w:rsidTr="005839FD">
        <w:trPr>
          <w:trHeight w:val="300"/>
        </w:trPr>
        <w:tc>
          <w:tcPr>
            <w:tcW w:w="3820" w:type="dxa"/>
            <w:tcBorders>
              <w:top w:val="nil"/>
              <w:left w:val="nil"/>
              <w:bottom w:val="nil"/>
              <w:right w:val="nil"/>
            </w:tcBorders>
            <w:shd w:val="clear" w:color="auto" w:fill="auto"/>
            <w:noWrap/>
            <w:vAlign w:val="bottom"/>
            <w:hideMark/>
          </w:tcPr>
          <w:p w14:paraId="05FF750A"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3439B5AF"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24FBC521"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547D6EDE" w14:textId="77777777" w:rsidR="002E39D2" w:rsidRDefault="002E39D2" w:rsidP="002E39D2">
      <w:pPr>
        <w:spacing w:after="0" w:line="360" w:lineRule="auto"/>
        <w:jc w:val="both"/>
        <w:rPr>
          <w:rFonts w:ascii="Times New Roman" w:hAnsi="Times New Roman" w:cs="Times New Roman"/>
          <w:b/>
          <w:bCs/>
          <w:sz w:val="24"/>
          <w:szCs w:val="24"/>
          <w:lang w:val="es-MX"/>
        </w:rPr>
      </w:pPr>
    </w:p>
    <w:p w14:paraId="55539919" w14:textId="225F4E85" w:rsidR="002E39D2" w:rsidRDefault="002E39D2" w:rsidP="002E39D2">
      <w:pPr>
        <w:spacing w:after="0" w:line="360" w:lineRule="auto"/>
        <w:jc w:val="both"/>
        <w:rPr>
          <w:rFonts w:ascii="Times New Roman" w:hAnsi="Times New Roman" w:cs="Times New Roman"/>
          <w:b/>
          <w:bCs/>
          <w:sz w:val="24"/>
          <w:szCs w:val="24"/>
          <w:lang w:val="es-MX"/>
        </w:rPr>
      </w:pPr>
      <w:r>
        <w:rPr>
          <w:rFonts w:ascii="Times New Roman" w:hAnsi="Times New Roman" w:cs="Times New Roman"/>
          <w:sz w:val="24"/>
          <w:szCs w:val="24"/>
          <w:lang w:val="es-MX"/>
        </w:rPr>
        <w:t xml:space="preserve">Al relacionar la clasificación de gravedad presentada por los pacientes al momento del ingreso hospitalario, se encontró relación significativa con el riesgo de complicaciones, resultando que un paciente clasificado como grave y muy grave tiene 1.6 veces </w:t>
      </w:r>
      <w:proofErr w:type="spellStart"/>
      <w:r>
        <w:rPr>
          <w:rFonts w:ascii="Times New Roman" w:hAnsi="Times New Roman" w:cs="Times New Roman"/>
          <w:sz w:val="24"/>
          <w:szCs w:val="24"/>
          <w:lang w:val="es-MX"/>
        </w:rPr>
        <w:t>mas</w:t>
      </w:r>
      <w:proofErr w:type="spellEnd"/>
      <w:r>
        <w:rPr>
          <w:rFonts w:ascii="Times New Roman" w:hAnsi="Times New Roman" w:cs="Times New Roman"/>
          <w:sz w:val="24"/>
          <w:szCs w:val="24"/>
          <w:lang w:val="es-MX"/>
        </w:rPr>
        <w:t xml:space="preserve"> de probabilidades de tener una complicación </w:t>
      </w:r>
      <w:r>
        <w:rPr>
          <w:rFonts w:ascii="Times New Roman" w:hAnsi="Times New Roman" w:cs="Times New Roman"/>
          <w:b/>
          <w:bCs/>
          <w:sz w:val="24"/>
          <w:szCs w:val="24"/>
          <w:lang w:val="es-MX"/>
        </w:rPr>
        <w:t>Chi 11.59 P=1.66 (1.30 – 21.1)</w:t>
      </w:r>
      <w:r>
        <w:rPr>
          <w:rFonts w:ascii="Times New Roman" w:hAnsi="Times New Roman" w:cs="Times New Roman"/>
          <w:sz w:val="24"/>
          <w:szCs w:val="24"/>
          <w:lang w:val="es-MX"/>
        </w:rPr>
        <w:t xml:space="preserve">, caso contrario los pacientes que ingresaron clasificados como moderados, un paciente clasificado como moderado tiene 20% menos de probabilidades de tener una complicación </w:t>
      </w:r>
      <w:r>
        <w:rPr>
          <w:rFonts w:ascii="Times New Roman" w:hAnsi="Times New Roman" w:cs="Times New Roman"/>
          <w:b/>
          <w:bCs/>
          <w:sz w:val="24"/>
          <w:szCs w:val="24"/>
          <w:lang w:val="es-MX"/>
        </w:rPr>
        <w:t>Chi 7.03 P=0.8 (0.13 – 0.87). Ver Tablas 32 y 33.</w:t>
      </w:r>
    </w:p>
    <w:p w14:paraId="0250782E" w14:textId="77777777" w:rsidR="002E39D2" w:rsidRDefault="002E39D2" w:rsidP="002E39D2">
      <w:pPr>
        <w:spacing w:after="0" w:line="360" w:lineRule="auto"/>
        <w:jc w:val="both"/>
        <w:rPr>
          <w:rFonts w:ascii="Times New Roman" w:hAnsi="Times New Roman" w:cs="Times New Roman"/>
          <w:b/>
          <w:bCs/>
          <w:sz w:val="24"/>
          <w:szCs w:val="24"/>
          <w:lang w:val="es-MX"/>
        </w:rPr>
      </w:pPr>
    </w:p>
    <w:p w14:paraId="1BED0E96" w14:textId="77777777" w:rsidR="002E39D2" w:rsidRDefault="002E39D2" w:rsidP="002E39D2">
      <w:pPr>
        <w:spacing w:after="0" w:line="360" w:lineRule="auto"/>
        <w:jc w:val="both"/>
        <w:rPr>
          <w:rFonts w:ascii="Times New Roman" w:hAnsi="Times New Roman" w:cs="Times New Roman"/>
          <w:b/>
          <w:bCs/>
          <w:sz w:val="24"/>
          <w:szCs w:val="24"/>
          <w:lang w:val="es-MX"/>
        </w:rPr>
      </w:pPr>
    </w:p>
    <w:p w14:paraId="6798525B" w14:textId="77777777" w:rsidR="002E39D2" w:rsidRDefault="002E39D2" w:rsidP="002E39D2">
      <w:pPr>
        <w:spacing w:after="0" w:line="360" w:lineRule="auto"/>
        <w:jc w:val="both"/>
        <w:rPr>
          <w:rFonts w:ascii="Times New Roman" w:hAnsi="Times New Roman" w:cs="Times New Roman"/>
          <w:b/>
          <w:bCs/>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0F0B5924"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DC94FE8"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32</w:t>
            </w:r>
          </w:p>
        </w:tc>
      </w:tr>
      <w:tr w:rsidR="005839FD" w:rsidRPr="005839FD" w14:paraId="392A6384"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4167761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Relación Clasificación de ingreso de gravedad y Complicaciones</w:t>
            </w:r>
          </w:p>
        </w:tc>
      </w:tr>
      <w:tr w:rsidR="005839FD" w:rsidRPr="005839FD" w14:paraId="56CF067D"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A388EE7"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209E74CD" w14:textId="77777777" w:rsidTr="005839FD">
        <w:trPr>
          <w:trHeight w:val="300"/>
        </w:trPr>
        <w:tc>
          <w:tcPr>
            <w:tcW w:w="7300" w:type="dxa"/>
            <w:gridSpan w:val="3"/>
            <w:tcBorders>
              <w:top w:val="nil"/>
              <w:left w:val="nil"/>
              <w:bottom w:val="nil"/>
              <w:right w:val="nil"/>
            </w:tcBorders>
            <w:shd w:val="clear" w:color="auto" w:fill="auto"/>
            <w:vAlign w:val="bottom"/>
            <w:hideMark/>
          </w:tcPr>
          <w:p w14:paraId="5F38C9B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1435FD4B"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79F3ACB8"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3CC77AB6" w14:textId="77777777" w:rsidTr="005839FD">
        <w:trPr>
          <w:trHeight w:val="278"/>
        </w:trPr>
        <w:tc>
          <w:tcPr>
            <w:tcW w:w="3820" w:type="dxa"/>
            <w:vMerge w:val="restart"/>
            <w:tcBorders>
              <w:top w:val="nil"/>
              <w:left w:val="nil"/>
              <w:bottom w:val="double" w:sz="6" w:space="0" w:color="auto"/>
              <w:right w:val="nil"/>
            </w:tcBorders>
            <w:shd w:val="clear" w:color="auto" w:fill="auto"/>
            <w:vAlign w:val="center"/>
            <w:hideMark/>
          </w:tcPr>
          <w:p w14:paraId="7642CFD4"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Ingreso grave y muy grave</w:t>
            </w:r>
          </w:p>
        </w:tc>
        <w:tc>
          <w:tcPr>
            <w:tcW w:w="3480" w:type="dxa"/>
            <w:gridSpan w:val="2"/>
            <w:tcBorders>
              <w:top w:val="single" w:sz="4" w:space="0" w:color="auto"/>
              <w:left w:val="nil"/>
              <w:bottom w:val="double" w:sz="6" w:space="0" w:color="843C0B"/>
              <w:right w:val="nil"/>
            </w:tcBorders>
            <w:shd w:val="clear" w:color="auto" w:fill="auto"/>
            <w:vAlign w:val="center"/>
            <w:hideMark/>
          </w:tcPr>
          <w:p w14:paraId="7C2BF0F2"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Complicaciones</w:t>
            </w:r>
          </w:p>
        </w:tc>
      </w:tr>
      <w:tr w:rsidR="005839FD" w:rsidRPr="005839FD" w14:paraId="2C3885F1" w14:textId="77777777" w:rsidTr="005839FD">
        <w:trPr>
          <w:trHeight w:val="300"/>
        </w:trPr>
        <w:tc>
          <w:tcPr>
            <w:tcW w:w="3820" w:type="dxa"/>
            <w:vMerge/>
            <w:tcBorders>
              <w:top w:val="nil"/>
              <w:left w:val="nil"/>
              <w:bottom w:val="double" w:sz="6" w:space="0" w:color="auto"/>
              <w:right w:val="nil"/>
            </w:tcBorders>
            <w:vAlign w:val="center"/>
            <w:hideMark/>
          </w:tcPr>
          <w:p w14:paraId="4BBB6944"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p>
        </w:tc>
        <w:tc>
          <w:tcPr>
            <w:tcW w:w="1720" w:type="dxa"/>
            <w:tcBorders>
              <w:top w:val="single" w:sz="4" w:space="0" w:color="auto"/>
              <w:left w:val="nil"/>
              <w:bottom w:val="double" w:sz="6" w:space="0" w:color="843C0B"/>
              <w:right w:val="nil"/>
            </w:tcBorders>
            <w:shd w:val="clear" w:color="auto" w:fill="auto"/>
            <w:vAlign w:val="center"/>
            <w:hideMark/>
          </w:tcPr>
          <w:p w14:paraId="6FC224AD"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Si</w:t>
            </w:r>
          </w:p>
        </w:tc>
        <w:tc>
          <w:tcPr>
            <w:tcW w:w="1760" w:type="dxa"/>
            <w:tcBorders>
              <w:top w:val="single" w:sz="4" w:space="0" w:color="auto"/>
              <w:left w:val="nil"/>
              <w:bottom w:val="double" w:sz="6" w:space="0" w:color="843C0B"/>
              <w:right w:val="nil"/>
            </w:tcBorders>
            <w:shd w:val="clear" w:color="auto" w:fill="auto"/>
            <w:vAlign w:val="center"/>
            <w:hideMark/>
          </w:tcPr>
          <w:p w14:paraId="0605EBED"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No</w:t>
            </w:r>
          </w:p>
        </w:tc>
      </w:tr>
      <w:tr w:rsidR="005839FD" w:rsidRPr="005839FD" w14:paraId="23819DF2" w14:textId="77777777" w:rsidTr="005839FD">
        <w:trPr>
          <w:trHeight w:val="300"/>
        </w:trPr>
        <w:tc>
          <w:tcPr>
            <w:tcW w:w="3820" w:type="dxa"/>
            <w:tcBorders>
              <w:top w:val="double" w:sz="6" w:space="0" w:color="843C0B"/>
              <w:left w:val="nil"/>
              <w:bottom w:val="nil"/>
              <w:right w:val="nil"/>
            </w:tcBorders>
            <w:shd w:val="clear" w:color="auto" w:fill="auto"/>
            <w:noWrap/>
            <w:vAlign w:val="bottom"/>
            <w:hideMark/>
          </w:tcPr>
          <w:p w14:paraId="0F7733CA"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Si</w:t>
            </w:r>
          </w:p>
        </w:tc>
        <w:tc>
          <w:tcPr>
            <w:tcW w:w="1720" w:type="dxa"/>
            <w:tcBorders>
              <w:top w:val="nil"/>
              <w:left w:val="nil"/>
              <w:bottom w:val="nil"/>
              <w:right w:val="nil"/>
            </w:tcBorders>
            <w:shd w:val="clear" w:color="auto" w:fill="auto"/>
            <w:noWrap/>
            <w:vAlign w:val="bottom"/>
            <w:hideMark/>
          </w:tcPr>
          <w:p w14:paraId="6B0A7990"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33 %</w:t>
            </w:r>
          </w:p>
        </w:tc>
        <w:tc>
          <w:tcPr>
            <w:tcW w:w="1760" w:type="dxa"/>
            <w:tcBorders>
              <w:top w:val="nil"/>
              <w:left w:val="nil"/>
              <w:bottom w:val="nil"/>
              <w:right w:val="nil"/>
            </w:tcBorders>
            <w:shd w:val="clear" w:color="auto" w:fill="auto"/>
            <w:noWrap/>
            <w:vAlign w:val="bottom"/>
            <w:hideMark/>
          </w:tcPr>
          <w:p w14:paraId="0BE67776"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67 %</w:t>
            </w:r>
          </w:p>
        </w:tc>
      </w:tr>
      <w:tr w:rsidR="005839FD" w:rsidRPr="005839FD" w14:paraId="0F7AE67F" w14:textId="77777777" w:rsidTr="005839FD">
        <w:trPr>
          <w:trHeight w:val="300"/>
        </w:trPr>
        <w:tc>
          <w:tcPr>
            <w:tcW w:w="3820" w:type="dxa"/>
            <w:tcBorders>
              <w:top w:val="nil"/>
              <w:left w:val="nil"/>
              <w:bottom w:val="nil"/>
              <w:right w:val="nil"/>
            </w:tcBorders>
            <w:shd w:val="clear" w:color="auto" w:fill="auto"/>
            <w:noWrap/>
            <w:vAlign w:val="bottom"/>
            <w:hideMark/>
          </w:tcPr>
          <w:p w14:paraId="3E95099B"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No</w:t>
            </w:r>
          </w:p>
        </w:tc>
        <w:tc>
          <w:tcPr>
            <w:tcW w:w="1720" w:type="dxa"/>
            <w:tcBorders>
              <w:top w:val="nil"/>
              <w:left w:val="nil"/>
              <w:bottom w:val="nil"/>
              <w:right w:val="nil"/>
            </w:tcBorders>
            <w:shd w:val="clear" w:color="auto" w:fill="auto"/>
            <w:noWrap/>
            <w:vAlign w:val="bottom"/>
            <w:hideMark/>
          </w:tcPr>
          <w:p w14:paraId="769E5E17"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0 %</w:t>
            </w:r>
          </w:p>
        </w:tc>
        <w:tc>
          <w:tcPr>
            <w:tcW w:w="1760" w:type="dxa"/>
            <w:tcBorders>
              <w:top w:val="nil"/>
              <w:left w:val="nil"/>
              <w:bottom w:val="nil"/>
              <w:right w:val="nil"/>
            </w:tcBorders>
            <w:shd w:val="clear" w:color="auto" w:fill="auto"/>
            <w:noWrap/>
            <w:vAlign w:val="bottom"/>
            <w:hideMark/>
          </w:tcPr>
          <w:p w14:paraId="348C8FF1"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100 %</w:t>
            </w:r>
          </w:p>
        </w:tc>
      </w:tr>
      <w:tr w:rsidR="005839FD" w:rsidRPr="005839FD" w14:paraId="5F9DA515" w14:textId="77777777" w:rsidTr="005839FD">
        <w:trPr>
          <w:trHeight w:val="278"/>
        </w:trPr>
        <w:tc>
          <w:tcPr>
            <w:tcW w:w="3820" w:type="dxa"/>
            <w:tcBorders>
              <w:top w:val="single" w:sz="4" w:space="0" w:color="auto"/>
              <w:left w:val="nil"/>
              <w:bottom w:val="double" w:sz="6" w:space="0" w:color="auto"/>
              <w:right w:val="nil"/>
            </w:tcBorders>
            <w:shd w:val="clear" w:color="auto" w:fill="auto"/>
            <w:vAlign w:val="center"/>
            <w:hideMark/>
          </w:tcPr>
          <w:p w14:paraId="78E956B9"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Chi: 11.59</w:t>
            </w:r>
          </w:p>
        </w:tc>
        <w:tc>
          <w:tcPr>
            <w:tcW w:w="3480" w:type="dxa"/>
            <w:gridSpan w:val="2"/>
            <w:tcBorders>
              <w:top w:val="single" w:sz="4" w:space="0" w:color="auto"/>
              <w:left w:val="nil"/>
              <w:bottom w:val="double" w:sz="6" w:space="0" w:color="auto"/>
              <w:right w:val="nil"/>
            </w:tcBorders>
            <w:shd w:val="clear" w:color="auto" w:fill="auto"/>
            <w:vAlign w:val="center"/>
            <w:hideMark/>
          </w:tcPr>
          <w:p w14:paraId="2AB0E714"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P: 1.66 (1.30 – 21.1)</w:t>
            </w:r>
          </w:p>
        </w:tc>
      </w:tr>
      <w:tr w:rsidR="005839FD" w:rsidRPr="005839FD" w14:paraId="0ACBFAFB" w14:textId="77777777" w:rsidTr="005839FD">
        <w:trPr>
          <w:trHeight w:val="300"/>
        </w:trPr>
        <w:tc>
          <w:tcPr>
            <w:tcW w:w="3820" w:type="dxa"/>
            <w:tcBorders>
              <w:top w:val="nil"/>
              <w:left w:val="nil"/>
              <w:bottom w:val="nil"/>
              <w:right w:val="nil"/>
            </w:tcBorders>
            <w:shd w:val="clear" w:color="auto" w:fill="auto"/>
            <w:noWrap/>
            <w:vAlign w:val="bottom"/>
            <w:hideMark/>
          </w:tcPr>
          <w:p w14:paraId="3DD30706"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63C13656"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064E7430"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5CAEC7D6" w14:textId="77777777" w:rsidR="002E39D2" w:rsidRDefault="002E39D2" w:rsidP="002E39D2">
      <w:pPr>
        <w:spacing w:after="0" w:line="360" w:lineRule="auto"/>
        <w:jc w:val="both"/>
        <w:rPr>
          <w:rFonts w:ascii="Times New Roman" w:hAnsi="Times New Roman" w:cs="Times New Roman"/>
          <w:sz w:val="24"/>
          <w:szCs w:val="24"/>
          <w:lang w:val="es-MX"/>
        </w:rPr>
      </w:pPr>
    </w:p>
    <w:tbl>
      <w:tblPr>
        <w:tblW w:w="7300" w:type="dxa"/>
        <w:tblCellMar>
          <w:left w:w="70" w:type="dxa"/>
          <w:right w:w="70" w:type="dxa"/>
        </w:tblCellMar>
        <w:tblLook w:val="04A0" w:firstRow="1" w:lastRow="0" w:firstColumn="1" w:lastColumn="0" w:noHBand="0" w:noVBand="1"/>
      </w:tblPr>
      <w:tblGrid>
        <w:gridCol w:w="3820"/>
        <w:gridCol w:w="1720"/>
        <w:gridCol w:w="1760"/>
      </w:tblGrid>
      <w:tr w:rsidR="005839FD" w:rsidRPr="005839FD" w14:paraId="1ACFD79D"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50D87365"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Tabla No: 33</w:t>
            </w:r>
          </w:p>
        </w:tc>
      </w:tr>
      <w:tr w:rsidR="005839FD" w:rsidRPr="005839FD" w14:paraId="427F555A"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328F676B"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Relación Clasificación de ingreso de gravedad y Complicaciones</w:t>
            </w:r>
          </w:p>
        </w:tc>
      </w:tr>
      <w:tr w:rsidR="005839FD" w:rsidRPr="005839FD" w14:paraId="01001FA0" w14:textId="77777777" w:rsidTr="005839FD">
        <w:trPr>
          <w:trHeight w:val="315"/>
        </w:trPr>
        <w:tc>
          <w:tcPr>
            <w:tcW w:w="7300" w:type="dxa"/>
            <w:gridSpan w:val="3"/>
            <w:tcBorders>
              <w:top w:val="nil"/>
              <w:left w:val="nil"/>
              <w:bottom w:val="nil"/>
              <w:right w:val="nil"/>
            </w:tcBorders>
            <w:shd w:val="clear" w:color="auto" w:fill="auto"/>
            <w:noWrap/>
            <w:vAlign w:val="bottom"/>
            <w:hideMark/>
          </w:tcPr>
          <w:p w14:paraId="29FA4399"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Comportamiento Clínico de la IVU</w:t>
            </w:r>
          </w:p>
        </w:tc>
      </w:tr>
      <w:tr w:rsidR="005839FD" w:rsidRPr="005839FD" w14:paraId="685CC9EC" w14:textId="77777777" w:rsidTr="005839FD">
        <w:trPr>
          <w:trHeight w:val="300"/>
        </w:trPr>
        <w:tc>
          <w:tcPr>
            <w:tcW w:w="7300" w:type="dxa"/>
            <w:gridSpan w:val="3"/>
            <w:tcBorders>
              <w:top w:val="nil"/>
              <w:left w:val="nil"/>
              <w:bottom w:val="nil"/>
              <w:right w:val="nil"/>
            </w:tcBorders>
            <w:shd w:val="clear" w:color="auto" w:fill="auto"/>
            <w:vAlign w:val="bottom"/>
            <w:hideMark/>
          </w:tcPr>
          <w:p w14:paraId="7CC9E4D5"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Servicio de Pediatría del Hospital SERMESA Masaya</w:t>
            </w:r>
          </w:p>
        </w:tc>
      </w:tr>
      <w:tr w:rsidR="005839FD" w:rsidRPr="005839FD" w14:paraId="0CF59ABB" w14:textId="77777777" w:rsidTr="005839FD">
        <w:trPr>
          <w:trHeight w:val="300"/>
        </w:trPr>
        <w:tc>
          <w:tcPr>
            <w:tcW w:w="7300" w:type="dxa"/>
            <w:gridSpan w:val="3"/>
            <w:tcBorders>
              <w:top w:val="nil"/>
              <w:left w:val="nil"/>
              <w:bottom w:val="single" w:sz="4" w:space="0" w:color="auto"/>
              <w:right w:val="nil"/>
            </w:tcBorders>
            <w:shd w:val="clear" w:color="auto" w:fill="auto"/>
            <w:vAlign w:val="bottom"/>
            <w:hideMark/>
          </w:tcPr>
          <w:p w14:paraId="4ABB4291" w14:textId="77777777" w:rsidR="005839FD" w:rsidRPr="005839FD" w:rsidRDefault="005839FD" w:rsidP="005839FD">
            <w:pPr>
              <w:spacing w:after="0" w:line="240" w:lineRule="auto"/>
              <w:jc w:val="center"/>
              <w:rPr>
                <w:rFonts w:ascii="Times New Roman" w:eastAsia="Times New Roman" w:hAnsi="Times New Roman" w:cs="Times New Roman"/>
                <w:b/>
                <w:bCs/>
                <w:i/>
                <w:iCs/>
                <w:kern w:val="0"/>
                <w:sz w:val="24"/>
                <w:szCs w:val="24"/>
                <w:lang w:val="es-ES" w:eastAsia="es-ES"/>
              </w:rPr>
            </w:pPr>
            <w:r w:rsidRPr="005839FD">
              <w:rPr>
                <w:rFonts w:ascii="Times New Roman" w:eastAsia="Times New Roman" w:hAnsi="Times New Roman" w:cs="Times New Roman"/>
                <w:b/>
                <w:bCs/>
                <w:i/>
                <w:iCs/>
                <w:kern w:val="0"/>
                <w:sz w:val="24"/>
                <w:szCs w:val="24"/>
                <w:lang w:val="es-ES" w:eastAsia="es-ES"/>
              </w:rPr>
              <w:t>enero a diciembre del año 2024</w:t>
            </w:r>
          </w:p>
        </w:tc>
      </w:tr>
      <w:tr w:rsidR="005839FD" w:rsidRPr="005839FD" w14:paraId="2EB3353B" w14:textId="77777777" w:rsidTr="005839FD">
        <w:trPr>
          <w:trHeight w:val="278"/>
        </w:trPr>
        <w:tc>
          <w:tcPr>
            <w:tcW w:w="3820" w:type="dxa"/>
            <w:vMerge w:val="restart"/>
            <w:tcBorders>
              <w:top w:val="nil"/>
              <w:left w:val="nil"/>
              <w:bottom w:val="double" w:sz="6" w:space="0" w:color="auto"/>
              <w:right w:val="nil"/>
            </w:tcBorders>
            <w:shd w:val="clear" w:color="auto" w:fill="auto"/>
            <w:vAlign w:val="center"/>
            <w:hideMark/>
          </w:tcPr>
          <w:p w14:paraId="453DBA8B"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Ingreso moderado</w:t>
            </w:r>
          </w:p>
        </w:tc>
        <w:tc>
          <w:tcPr>
            <w:tcW w:w="3480" w:type="dxa"/>
            <w:gridSpan w:val="2"/>
            <w:tcBorders>
              <w:top w:val="single" w:sz="4" w:space="0" w:color="auto"/>
              <w:left w:val="nil"/>
              <w:bottom w:val="double" w:sz="6" w:space="0" w:color="843C0B"/>
              <w:right w:val="nil"/>
            </w:tcBorders>
            <w:shd w:val="clear" w:color="auto" w:fill="auto"/>
            <w:vAlign w:val="center"/>
            <w:hideMark/>
          </w:tcPr>
          <w:p w14:paraId="6C2A52B1"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Complicaciones</w:t>
            </w:r>
          </w:p>
        </w:tc>
      </w:tr>
      <w:tr w:rsidR="005839FD" w:rsidRPr="005839FD" w14:paraId="655704E7" w14:textId="77777777" w:rsidTr="005839FD">
        <w:trPr>
          <w:trHeight w:val="300"/>
        </w:trPr>
        <w:tc>
          <w:tcPr>
            <w:tcW w:w="3820" w:type="dxa"/>
            <w:vMerge/>
            <w:tcBorders>
              <w:top w:val="nil"/>
              <w:left w:val="nil"/>
              <w:bottom w:val="double" w:sz="6" w:space="0" w:color="auto"/>
              <w:right w:val="nil"/>
            </w:tcBorders>
            <w:vAlign w:val="center"/>
            <w:hideMark/>
          </w:tcPr>
          <w:p w14:paraId="2C0DE5B0"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p>
        </w:tc>
        <w:tc>
          <w:tcPr>
            <w:tcW w:w="1720" w:type="dxa"/>
            <w:tcBorders>
              <w:top w:val="single" w:sz="4" w:space="0" w:color="auto"/>
              <w:left w:val="nil"/>
              <w:bottom w:val="double" w:sz="6" w:space="0" w:color="843C0B"/>
              <w:right w:val="nil"/>
            </w:tcBorders>
            <w:shd w:val="clear" w:color="auto" w:fill="auto"/>
            <w:vAlign w:val="center"/>
            <w:hideMark/>
          </w:tcPr>
          <w:p w14:paraId="2C314ED4"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Si</w:t>
            </w:r>
          </w:p>
        </w:tc>
        <w:tc>
          <w:tcPr>
            <w:tcW w:w="1760" w:type="dxa"/>
            <w:tcBorders>
              <w:top w:val="single" w:sz="4" w:space="0" w:color="auto"/>
              <w:left w:val="nil"/>
              <w:bottom w:val="double" w:sz="6" w:space="0" w:color="843C0B"/>
              <w:right w:val="nil"/>
            </w:tcBorders>
            <w:shd w:val="clear" w:color="auto" w:fill="auto"/>
            <w:vAlign w:val="center"/>
            <w:hideMark/>
          </w:tcPr>
          <w:p w14:paraId="7AA9F633" w14:textId="77777777" w:rsidR="005839FD" w:rsidRPr="005839FD" w:rsidRDefault="005839FD" w:rsidP="005839FD">
            <w:pPr>
              <w:spacing w:after="0" w:line="240" w:lineRule="auto"/>
              <w:jc w:val="center"/>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No</w:t>
            </w:r>
          </w:p>
        </w:tc>
      </w:tr>
      <w:tr w:rsidR="005839FD" w:rsidRPr="005839FD" w14:paraId="5B8F2C11" w14:textId="77777777" w:rsidTr="005839FD">
        <w:trPr>
          <w:trHeight w:val="300"/>
        </w:trPr>
        <w:tc>
          <w:tcPr>
            <w:tcW w:w="3820" w:type="dxa"/>
            <w:tcBorders>
              <w:top w:val="double" w:sz="6" w:space="0" w:color="843C0B"/>
              <w:left w:val="nil"/>
              <w:bottom w:val="nil"/>
              <w:right w:val="nil"/>
            </w:tcBorders>
            <w:shd w:val="clear" w:color="auto" w:fill="auto"/>
            <w:noWrap/>
            <w:vAlign w:val="bottom"/>
            <w:hideMark/>
          </w:tcPr>
          <w:p w14:paraId="5663EDDB"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Si</w:t>
            </w:r>
          </w:p>
        </w:tc>
        <w:tc>
          <w:tcPr>
            <w:tcW w:w="1720" w:type="dxa"/>
            <w:tcBorders>
              <w:top w:val="nil"/>
              <w:left w:val="nil"/>
              <w:bottom w:val="nil"/>
              <w:right w:val="nil"/>
            </w:tcBorders>
            <w:shd w:val="clear" w:color="auto" w:fill="auto"/>
            <w:noWrap/>
            <w:vAlign w:val="bottom"/>
            <w:hideMark/>
          </w:tcPr>
          <w:p w14:paraId="52A8BF87"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0 %</w:t>
            </w:r>
          </w:p>
        </w:tc>
        <w:tc>
          <w:tcPr>
            <w:tcW w:w="1760" w:type="dxa"/>
            <w:tcBorders>
              <w:top w:val="nil"/>
              <w:left w:val="nil"/>
              <w:bottom w:val="nil"/>
              <w:right w:val="nil"/>
            </w:tcBorders>
            <w:shd w:val="clear" w:color="auto" w:fill="auto"/>
            <w:noWrap/>
            <w:vAlign w:val="bottom"/>
            <w:hideMark/>
          </w:tcPr>
          <w:p w14:paraId="2EC87722"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100 %</w:t>
            </w:r>
          </w:p>
        </w:tc>
      </w:tr>
      <w:tr w:rsidR="005839FD" w:rsidRPr="005839FD" w14:paraId="6E9A4C2A" w14:textId="77777777" w:rsidTr="005839FD">
        <w:trPr>
          <w:trHeight w:val="300"/>
        </w:trPr>
        <w:tc>
          <w:tcPr>
            <w:tcW w:w="3820" w:type="dxa"/>
            <w:tcBorders>
              <w:top w:val="nil"/>
              <w:left w:val="nil"/>
              <w:bottom w:val="nil"/>
              <w:right w:val="nil"/>
            </w:tcBorders>
            <w:shd w:val="clear" w:color="auto" w:fill="auto"/>
            <w:noWrap/>
            <w:vAlign w:val="bottom"/>
            <w:hideMark/>
          </w:tcPr>
          <w:p w14:paraId="1E9A646A" w14:textId="77777777" w:rsidR="005839FD" w:rsidRPr="005839FD" w:rsidRDefault="005839FD" w:rsidP="005839FD">
            <w:pPr>
              <w:spacing w:after="0" w:line="240" w:lineRule="auto"/>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No</w:t>
            </w:r>
          </w:p>
        </w:tc>
        <w:tc>
          <w:tcPr>
            <w:tcW w:w="1720" w:type="dxa"/>
            <w:tcBorders>
              <w:top w:val="nil"/>
              <w:left w:val="nil"/>
              <w:bottom w:val="nil"/>
              <w:right w:val="nil"/>
            </w:tcBorders>
            <w:shd w:val="clear" w:color="auto" w:fill="auto"/>
            <w:noWrap/>
            <w:vAlign w:val="bottom"/>
            <w:hideMark/>
          </w:tcPr>
          <w:p w14:paraId="240B00FD"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22 %</w:t>
            </w:r>
          </w:p>
        </w:tc>
        <w:tc>
          <w:tcPr>
            <w:tcW w:w="1760" w:type="dxa"/>
            <w:tcBorders>
              <w:top w:val="nil"/>
              <w:left w:val="nil"/>
              <w:bottom w:val="nil"/>
              <w:right w:val="nil"/>
            </w:tcBorders>
            <w:shd w:val="clear" w:color="auto" w:fill="auto"/>
            <w:noWrap/>
            <w:vAlign w:val="bottom"/>
            <w:hideMark/>
          </w:tcPr>
          <w:p w14:paraId="5531B284" w14:textId="77777777" w:rsidR="005839FD" w:rsidRPr="005839FD" w:rsidRDefault="005839FD" w:rsidP="005839FD">
            <w:pPr>
              <w:spacing w:after="0" w:line="240" w:lineRule="auto"/>
              <w:jc w:val="center"/>
              <w:rPr>
                <w:rFonts w:ascii="Times New Roman" w:eastAsia="Times New Roman" w:hAnsi="Times New Roman" w:cs="Times New Roman"/>
                <w:color w:val="000000"/>
                <w:kern w:val="0"/>
                <w:lang w:val="es-ES" w:eastAsia="es-ES"/>
              </w:rPr>
            </w:pPr>
            <w:r w:rsidRPr="005839FD">
              <w:rPr>
                <w:rFonts w:ascii="Times New Roman" w:eastAsia="Times New Roman" w:hAnsi="Times New Roman" w:cs="Times New Roman"/>
                <w:color w:val="000000"/>
                <w:kern w:val="0"/>
                <w:lang w:val="es-ES" w:eastAsia="es-ES"/>
              </w:rPr>
              <w:t>78 %</w:t>
            </w:r>
          </w:p>
        </w:tc>
      </w:tr>
      <w:tr w:rsidR="005839FD" w:rsidRPr="005839FD" w14:paraId="1738BF74" w14:textId="77777777" w:rsidTr="005839FD">
        <w:trPr>
          <w:trHeight w:val="278"/>
        </w:trPr>
        <w:tc>
          <w:tcPr>
            <w:tcW w:w="3820" w:type="dxa"/>
            <w:tcBorders>
              <w:top w:val="single" w:sz="4" w:space="0" w:color="auto"/>
              <w:left w:val="nil"/>
              <w:bottom w:val="double" w:sz="6" w:space="0" w:color="auto"/>
              <w:right w:val="nil"/>
            </w:tcBorders>
            <w:shd w:val="clear" w:color="auto" w:fill="auto"/>
            <w:vAlign w:val="center"/>
            <w:hideMark/>
          </w:tcPr>
          <w:p w14:paraId="3068DBC6"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Chi: 7.03</w:t>
            </w:r>
          </w:p>
        </w:tc>
        <w:tc>
          <w:tcPr>
            <w:tcW w:w="3480" w:type="dxa"/>
            <w:gridSpan w:val="2"/>
            <w:tcBorders>
              <w:top w:val="single" w:sz="4" w:space="0" w:color="auto"/>
              <w:left w:val="nil"/>
              <w:bottom w:val="double" w:sz="6" w:space="0" w:color="auto"/>
              <w:right w:val="nil"/>
            </w:tcBorders>
            <w:shd w:val="clear" w:color="auto" w:fill="auto"/>
            <w:vAlign w:val="center"/>
            <w:hideMark/>
          </w:tcPr>
          <w:p w14:paraId="41C3FFCA" w14:textId="77777777" w:rsidR="005839FD" w:rsidRPr="005839FD" w:rsidRDefault="005839FD" w:rsidP="005839FD">
            <w:pPr>
              <w:spacing w:after="0" w:line="240" w:lineRule="auto"/>
              <w:rPr>
                <w:rFonts w:ascii="Times New Roman" w:eastAsia="Times New Roman" w:hAnsi="Times New Roman" w:cs="Times New Roman"/>
                <w:b/>
                <w:bCs/>
                <w:i/>
                <w:iCs/>
                <w:kern w:val="0"/>
                <w:lang w:val="es-ES" w:eastAsia="es-ES"/>
              </w:rPr>
            </w:pPr>
            <w:r w:rsidRPr="005839FD">
              <w:rPr>
                <w:rFonts w:ascii="Times New Roman" w:eastAsia="Times New Roman" w:hAnsi="Times New Roman" w:cs="Times New Roman"/>
                <w:b/>
                <w:bCs/>
                <w:i/>
                <w:iCs/>
                <w:kern w:val="0"/>
                <w:lang w:val="es-ES" w:eastAsia="es-ES"/>
              </w:rPr>
              <w:t>P: 0.8 (0.13 – 0.87)</w:t>
            </w:r>
          </w:p>
        </w:tc>
      </w:tr>
      <w:tr w:rsidR="005839FD" w:rsidRPr="005839FD" w14:paraId="3230AD95" w14:textId="77777777" w:rsidTr="005839FD">
        <w:trPr>
          <w:trHeight w:val="300"/>
        </w:trPr>
        <w:tc>
          <w:tcPr>
            <w:tcW w:w="3820" w:type="dxa"/>
            <w:tcBorders>
              <w:top w:val="nil"/>
              <w:left w:val="nil"/>
              <w:bottom w:val="nil"/>
              <w:right w:val="nil"/>
            </w:tcBorders>
            <w:shd w:val="clear" w:color="auto" w:fill="auto"/>
            <w:noWrap/>
            <w:vAlign w:val="bottom"/>
            <w:hideMark/>
          </w:tcPr>
          <w:p w14:paraId="77157B29"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r w:rsidRPr="005839FD">
              <w:rPr>
                <w:rFonts w:ascii="Times New Roman" w:eastAsia="Times New Roman" w:hAnsi="Times New Roman" w:cs="Times New Roman"/>
                <w:b/>
                <w:bCs/>
                <w:kern w:val="0"/>
                <w:sz w:val="20"/>
                <w:szCs w:val="20"/>
                <w:lang w:val="es-ES" w:eastAsia="es-ES"/>
              </w:rPr>
              <w:t>Fuente: Fleming</w:t>
            </w:r>
          </w:p>
        </w:tc>
        <w:tc>
          <w:tcPr>
            <w:tcW w:w="1720" w:type="dxa"/>
            <w:tcBorders>
              <w:top w:val="nil"/>
              <w:left w:val="nil"/>
              <w:bottom w:val="nil"/>
              <w:right w:val="nil"/>
            </w:tcBorders>
            <w:shd w:val="clear" w:color="auto" w:fill="auto"/>
            <w:noWrap/>
            <w:vAlign w:val="bottom"/>
            <w:hideMark/>
          </w:tcPr>
          <w:p w14:paraId="0E22D2AD" w14:textId="77777777" w:rsidR="005839FD" w:rsidRPr="005839FD" w:rsidRDefault="005839FD" w:rsidP="005839FD">
            <w:pPr>
              <w:spacing w:after="0" w:line="240" w:lineRule="auto"/>
              <w:rPr>
                <w:rFonts w:ascii="Times New Roman" w:eastAsia="Times New Roman" w:hAnsi="Times New Roman" w:cs="Times New Roman"/>
                <w:b/>
                <w:bCs/>
                <w:kern w:val="0"/>
                <w:sz w:val="20"/>
                <w:szCs w:val="20"/>
                <w:lang w:val="es-ES" w:eastAsia="es-ES"/>
              </w:rPr>
            </w:pPr>
          </w:p>
        </w:tc>
        <w:tc>
          <w:tcPr>
            <w:tcW w:w="1760" w:type="dxa"/>
            <w:tcBorders>
              <w:top w:val="nil"/>
              <w:left w:val="nil"/>
              <w:bottom w:val="nil"/>
              <w:right w:val="nil"/>
            </w:tcBorders>
            <w:shd w:val="clear" w:color="auto" w:fill="auto"/>
            <w:noWrap/>
            <w:vAlign w:val="bottom"/>
            <w:hideMark/>
          </w:tcPr>
          <w:p w14:paraId="68F8F735" w14:textId="77777777" w:rsidR="005839FD" w:rsidRPr="005839FD" w:rsidRDefault="005839FD" w:rsidP="005839FD">
            <w:pPr>
              <w:spacing w:after="0" w:line="240" w:lineRule="auto"/>
              <w:rPr>
                <w:rFonts w:ascii="Times New Roman" w:eastAsia="Times New Roman" w:hAnsi="Times New Roman" w:cs="Times New Roman"/>
                <w:kern w:val="0"/>
                <w:sz w:val="20"/>
                <w:szCs w:val="20"/>
                <w:lang w:val="es-ES" w:eastAsia="es-ES"/>
              </w:rPr>
            </w:pPr>
          </w:p>
        </w:tc>
      </w:tr>
    </w:tbl>
    <w:p w14:paraId="5A5AF69A" w14:textId="77777777" w:rsidR="005839FD" w:rsidRDefault="005839FD" w:rsidP="002E39D2">
      <w:pPr>
        <w:spacing w:after="0" w:line="360" w:lineRule="auto"/>
        <w:jc w:val="both"/>
        <w:rPr>
          <w:rFonts w:ascii="Times New Roman" w:hAnsi="Times New Roman" w:cs="Times New Roman"/>
          <w:sz w:val="24"/>
          <w:szCs w:val="24"/>
          <w:lang w:val="es-MX"/>
        </w:rPr>
      </w:pPr>
    </w:p>
    <w:p w14:paraId="4444ABE8" w14:textId="77777777" w:rsidR="005839FD" w:rsidRDefault="005839FD" w:rsidP="002E39D2">
      <w:pPr>
        <w:spacing w:after="0" w:line="360" w:lineRule="auto"/>
        <w:jc w:val="both"/>
        <w:rPr>
          <w:rFonts w:ascii="Times New Roman" w:hAnsi="Times New Roman" w:cs="Times New Roman"/>
          <w:sz w:val="24"/>
          <w:szCs w:val="24"/>
          <w:lang w:val="es-MX"/>
        </w:rPr>
      </w:pPr>
    </w:p>
    <w:p w14:paraId="1B7A7A12" w14:textId="77777777" w:rsidR="00975144" w:rsidRDefault="00975144">
      <w:pPr>
        <w:spacing w:after="0" w:line="240" w:lineRule="auto"/>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616A7F4E" w14:textId="586AFD0B" w:rsidR="00975144" w:rsidRDefault="00975144" w:rsidP="00975144">
      <w:pPr>
        <w:spacing w:before="240" w:after="0" w:line="240" w:lineRule="auto"/>
        <w:jc w:val="center"/>
      </w:pPr>
      <w:r>
        <w:rPr>
          <w:rFonts w:ascii="Times New Roman" w:hAnsi="Times New Roman" w:cs="Times New Roman"/>
          <w:b/>
          <w:bCs/>
          <w:sz w:val="24"/>
          <w:szCs w:val="24"/>
          <w:lang w:val="es-MX"/>
        </w:rPr>
        <w:lastRenderedPageBreak/>
        <w:t>IX.- ANÁLISIS Y DISCUSIÓN DE LOS RESULTADOS</w:t>
      </w:r>
    </w:p>
    <w:p w14:paraId="4DA2BEA2" w14:textId="77777777" w:rsidR="00975144" w:rsidRDefault="00975144" w:rsidP="00975144">
      <w:pPr>
        <w:spacing w:after="0" w:line="360" w:lineRule="auto"/>
        <w:jc w:val="both"/>
        <w:rPr>
          <w:rFonts w:ascii="Times New Roman" w:hAnsi="Times New Roman" w:cs="Times New Roman"/>
          <w:bCs/>
          <w:sz w:val="24"/>
          <w:szCs w:val="24"/>
          <w:lang w:val="es-MX"/>
        </w:rPr>
      </w:pPr>
    </w:p>
    <w:p w14:paraId="77782AE2" w14:textId="77777777" w:rsidR="00975144" w:rsidRDefault="00975144" w:rsidP="00975144">
      <w:pPr>
        <w:spacing w:before="69"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Estudio realizado por Daniela </w:t>
      </w:r>
      <w:proofErr w:type="spellStart"/>
      <w:r>
        <w:rPr>
          <w:rFonts w:ascii="Times New Roman" w:hAnsi="Times New Roman" w:cs="Times New Roman"/>
          <w:sz w:val="24"/>
          <w:szCs w:val="24"/>
        </w:rPr>
        <w:t>Ocen</w:t>
      </w:r>
      <w:proofErr w:type="spellEnd"/>
      <w:r>
        <w:rPr>
          <w:rFonts w:ascii="Times New Roman" w:hAnsi="Times New Roman" w:cs="Times New Roman"/>
          <w:sz w:val="24"/>
          <w:szCs w:val="24"/>
        </w:rPr>
        <w:t xml:space="preserve"> en el año 2015, sobre las características de los pacientes pediátricos con IVU en un Hospital de Bogotá, encontró que la edad que  predomino fueron los menores de 3 años en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de la mitad de los casos, así como </w:t>
      </w:r>
      <w:proofErr w:type="spellStart"/>
      <w:r>
        <w:rPr>
          <w:rFonts w:ascii="Times New Roman" w:hAnsi="Times New Roman" w:cs="Times New Roman"/>
          <w:sz w:val="24"/>
          <w:szCs w:val="24"/>
        </w:rPr>
        <w:t>Boaz</w:t>
      </w:r>
      <w:proofErr w:type="spellEnd"/>
      <w:r>
        <w:rPr>
          <w:rFonts w:ascii="Times New Roman" w:hAnsi="Times New Roman" w:cs="Times New Roman"/>
          <w:sz w:val="24"/>
          <w:szCs w:val="24"/>
        </w:rPr>
        <w:t xml:space="preserve"> et al, en el 2017, en su estudio Infección del tracto urinario en niños, encontró que las IVU ocurren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en los primeros 2 años de vida, Ortiz en el año 2018, en México, revelo que la mitad de los niños con IVU están en el grupo de 1 año de edad y con lo encontrado en el 2015, en León Nicaragua por </w:t>
      </w:r>
      <w:proofErr w:type="spellStart"/>
      <w:r>
        <w:rPr>
          <w:rFonts w:ascii="Times New Roman" w:hAnsi="Times New Roman" w:cs="Times New Roman"/>
          <w:sz w:val="24"/>
          <w:szCs w:val="24"/>
        </w:rPr>
        <w:t>Narvaez</w:t>
      </w:r>
      <w:proofErr w:type="spellEnd"/>
      <w:r>
        <w:rPr>
          <w:rFonts w:ascii="Times New Roman" w:hAnsi="Times New Roman" w:cs="Times New Roman"/>
          <w:sz w:val="24"/>
          <w:szCs w:val="24"/>
        </w:rPr>
        <w:t>, encontrando el predominio de las IVU en niños menores de 2 años, coincidiendo con nuestro estudio donde encontramos que la edad predominante fueron los niños entre 1 a 2 años en casi tres partes (77%) de la población estudiada, considerándose como un factor de riesgo para la IVU probablemente por la influencia las técnicas de aseo y uso de pañales.</w:t>
      </w:r>
    </w:p>
    <w:p w14:paraId="4143FDC0" w14:textId="77777777" w:rsidR="00975144" w:rsidRDefault="00975144" w:rsidP="00975144">
      <w:pPr>
        <w:spacing w:before="69" w:after="0" w:line="360" w:lineRule="auto"/>
        <w:jc w:val="both"/>
        <w:rPr>
          <w:rFonts w:ascii="Times New Roman" w:hAnsi="Times New Roman" w:cs="Times New Roman"/>
          <w:sz w:val="24"/>
          <w:szCs w:val="24"/>
        </w:rPr>
      </w:pPr>
    </w:p>
    <w:p w14:paraId="68DC9E6C" w14:textId="77777777" w:rsidR="00975144" w:rsidRDefault="00975144" w:rsidP="00975144">
      <w:pPr>
        <w:spacing w:after="0" w:line="360" w:lineRule="auto"/>
        <w:jc w:val="both"/>
      </w:pPr>
      <w:r>
        <w:rPr>
          <w:rFonts w:ascii="Times New Roman" w:hAnsi="Times New Roman" w:cs="Times New Roman"/>
          <w:sz w:val="24"/>
          <w:szCs w:val="24"/>
        </w:rPr>
        <w:t xml:space="preserve">En el caso del sexo en nuestro estudio encontramos un predominio del sexo femenino en más de la mitad (56%) de los pacientes, coincidiendo con lo encontrado por Daniela </w:t>
      </w:r>
      <w:proofErr w:type="spellStart"/>
      <w:r>
        <w:rPr>
          <w:rFonts w:ascii="Times New Roman" w:hAnsi="Times New Roman" w:cs="Times New Roman"/>
          <w:sz w:val="24"/>
          <w:szCs w:val="24"/>
        </w:rPr>
        <w:t>Ocen</w:t>
      </w:r>
      <w:proofErr w:type="spellEnd"/>
      <w:r>
        <w:rPr>
          <w:rFonts w:ascii="Times New Roman" w:hAnsi="Times New Roman" w:cs="Times New Roman"/>
          <w:sz w:val="24"/>
          <w:szCs w:val="24"/>
        </w:rPr>
        <w:t xml:space="preserve"> en el año 2015, Hinojosa en el 2016, Ortiz en el año 2018, Piñeiro et al. 2019, </w:t>
      </w:r>
      <w:proofErr w:type="spellStart"/>
      <w:r>
        <w:rPr>
          <w:rFonts w:ascii="Times New Roman" w:hAnsi="Times New Roman" w:cs="Times New Roman"/>
          <w:sz w:val="24"/>
          <w:szCs w:val="24"/>
        </w:rPr>
        <w:t>Latacela</w:t>
      </w:r>
      <w:proofErr w:type="spellEnd"/>
      <w:r>
        <w:rPr>
          <w:rFonts w:ascii="Times New Roman" w:hAnsi="Times New Roman" w:cs="Times New Roman"/>
          <w:sz w:val="24"/>
          <w:szCs w:val="24"/>
        </w:rPr>
        <w:t xml:space="preserve"> Julia, en 2020, Cueto et al. En el 2022, Narváez Luisa en el año 2015 en León Nicaragua y Mayorga en el año 2019 en Managua, pero contradictorio con lo encontrado por </w:t>
      </w:r>
      <w:r>
        <w:rPr>
          <w:rFonts w:ascii="Times New Roman" w:hAnsi="Times New Roman" w:cs="Times New Roman"/>
          <w:sz w:val="24"/>
          <w:szCs w:val="24"/>
          <w:lang w:val="es-MX"/>
        </w:rPr>
        <w:t xml:space="preserve">Troche et al. 2018 y Arias J, Ochoa M 2021, que encontraron un predominio del sexo masculino. El predominio del sexo femenino probablemente esté relacionado con las técnicas de aseo personal implementadas por los padres y tutores. </w:t>
      </w:r>
    </w:p>
    <w:p w14:paraId="72B67C55" w14:textId="77777777" w:rsidR="00975144" w:rsidRDefault="00975144" w:rsidP="00975144">
      <w:pPr>
        <w:spacing w:after="0" w:line="360" w:lineRule="auto"/>
        <w:jc w:val="both"/>
        <w:rPr>
          <w:rFonts w:ascii="Times New Roman" w:hAnsi="Times New Roman" w:cs="Times New Roman"/>
          <w:sz w:val="24"/>
          <w:szCs w:val="24"/>
          <w:lang w:val="es-MX"/>
        </w:rPr>
      </w:pPr>
    </w:p>
    <w:p w14:paraId="5DCCC6AF" w14:textId="77777777" w:rsidR="00975144" w:rsidRDefault="00975144" w:rsidP="00975144">
      <w:pPr>
        <w:spacing w:after="0" w:line="360" w:lineRule="auto"/>
        <w:jc w:val="both"/>
      </w:pPr>
      <w:r>
        <w:rPr>
          <w:rFonts w:ascii="Times New Roman" w:hAnsi="Times New Roman" w:cs="Times New Roman"/>
          <w:sz w:val="24"/>
          <w:szCs w:val="24"/>
          <w:lang w:val="es-MX"/>
        </w:rPr>
        <w:t>Los antecedentes de patologías en los niños en estudio fueron del 21%, dato considerado alto para una población menor, si tomamos en cuenta que la principal patología son las cardiopatías que representan el 63% de la población con patologías y el 12% de la población en estudio y a nivel nacional se estima una prevalencia de cardiopatías congénitas entre 8 de cada 1000 nacidos vivos. Esto significa que aproximadamente 0.8% a 1% de los recién nacidos en Nicaragua presentan alguna cardiopatía congénita.</w:t>
      </w:r>
    </w:p>
    <w:p w14:paraId="13EF0084" w14:textId="77777777" w:rsidR="00975144" w:rsidRDefault="00975144" w:rsidP="00975144">
      <w:pPr>
        <w:spacing w:after="0" w:line="360" w:lineRule="auto"/>
        <w:jc w:val="both"/>
        <w:rPr>
          <w:rFonts w:ascii="Times New Roman" w:hAnsi="Times New Roman" w:cs="Times New Roman"/>
          <w:sz w:val="24"/>
          <w:szCs w:val="24"/>
          <w:lang w:val="es-MX"/>
        </w:rPr>
      </w:pPr>
    </w:p>
    <w:p w14:paraId="52F392BB" w14:textId="77777777" w:rsidR="00975144" w:rsidRDefault="00975144" w:rsidP="00975144">
      <w:pPr>
        <w:spacing w:after="0" w:line="360" w:lineRule="auto"/>
        <w:jc w:val="both"/>
      </w:pPr>
      <w:r>
        <w:rPr>
          <w:rFonts w:ascii="Times New Roman" w:hAnsi="Times New Roman" w:cs="Times New Roman"/>
          <w:sz w:val="24"/>
          <w:szCs w:val="24"/>
          <w:lang w:val="es-MX"/>
        </w:rPr>
        <w:t xml:space="preserve">El informe del Censo Nutricional 2023 en Nicaragua, demuestra una mejoría significativa de desnutrición en la niñez, pero aun presenta una prevalencia significativa de desnutrición aguda del </w:t>
      </w:r>
      <w:r>
        <w:rPr>
          <w:rFonts w:ascii="Times New Roman" w:hAnsi="Times New Roman" w:cs="Times New Roman"/>
          <w:sz w:val="24"/>
          <w:szCs w:val="24"/>
          <w:lang w:val="es-MX"/>
        </w:rPr>
        <w:lastRenderedPageBreak/>
        <w:t>4% en niños menores de 6 años y sobrepeso en el 5%, contrario a lo encontrando en nuestro estudio, donde el bajo peso fue del 31% y el sobrepeso y obesidad del 3%.</w:t>
      </w:r>
    </w:p>
    <w:p w14:paraId="6550F469" w14:textId="77777777" w:rsidR="00975144" w:rsidRDefault="00975144" w:rsidP="00975144">
      <w:pPr>
        <w:spacing w:after="0" w:line="360" w:lineRule="auto"/>
        <w:jc w:val="both"/>
        <w:rPr>
          <w:rFonts w:ascii="Times New Roman" w:hAnsi="Times New Roman" w:cs="Times New Roman"/>
          <w:sz w:val="24"/>
          <w:szCs w:val="24"/>
          <w:lang w:val="es-MX"/>
        </w:rPr>
      </w:pPr>
    </w:p>
    <w:p w14:paraId="6DBD503C" w14:textId="77777777" w:rsidR="00975144" w:rsidRDefault="00975144" w:rsidP="00975144">
      <w:pPr>
        <w:spacing w:after="0" w:line="360" w:lineRule="auto"/>
        <w:jc w:val="both"/>
      </w:pPr>
      <w:r>
        <w:rPr>
          <w:rFonts w:ascii="Times New Roman" w:hAnsi="Times New Roman" w:cs="Times New Roman"/>
          <w:sz w:val="24"/>
          <w:szCs w:val="24"/>
          <w:lang w:val="es-MX"/>
        </w:rPr>
        <w:t xml:space="preserve">La fiebre se presentó en la totalidad de los pacientes en estudio, coincidiendo con lo encontrado por Daniela </w:t>
      </w:r>
      <w:proofErr w:type="spellStart"/>
      <w:r>
        <w:rPr>
          <w:rFonts w:ascii="Times New Roman" w:hAnsi="Times New Roman" w:cs="Times New Roman"/>
          <w:sz w:val="24"/>
          <w:szCs w:val="24"/>
          <w:lang w:val="es-MX"/>
        </w:rPr>
        <w:t>Ocen</w:t>
      </w:r>
      <w:proofErr w:type="spellEnd"/>
      <w:r>
        <w:rPr>
          <w:rFonts w:ascii="Times New Roman" w:hAnsi="Times New Roman" w:cs="Times New Roman"/>
          <w:sz w:val="24"/>
          <w:szCs w:val="24"/>
          <w:lang w:val="es-MX"/>
        </w:rPr>
        <w:t xml:space="preserve"> en el año 2015 (Colombia), Troche et al. 2018 (Paraguay), Narváez Luisa en el año 2015 (León) y Mayorga en el año 2019 (Managua) que en sus estudios encontraron un predominio de la fiebre como principal motivo de consulta, no así lo resultados de los estudios de Cueto et al. En el 2022 (Perú) con el 23% y Benavides </w:t>
      </w:r>
      <w:proofErr w:type="spellStart"/>
      <w:r>
        <w:rPr>
          <w:rFonts w:ascii="Times New Roman" w:hAnsi="Times New Roman" w:cs="Times New Roman"/>
          <w:sz w:val="24"/>
          <w:szCs w:val="24"/>
          <w:lang w:val="es-MX"/>
        </w:rPr>
        <w:t>Geysel</w:t>
      </w:r>
      <w:proofErr w:type="spellEnd"/>
      <w:r>
        <w:rPr>
          <w:rFonts w:ascii="Times New Roman" w:hAnsi="Times New Roman" w:cs="Times New Roman"/>
          <w:sz w:val="24"/>
          <w:szCs w:val="24"/>
          <w:lang w:val="es-MX"/>
        </w:rPr>
        <w:t xml:space="preserve"> en el año 2022 (León) con el 53%.</w:t>
      </w:r>
    </w:p>
    <w:p w14:paraId="12BC03D0" w14:textId="77777777" w:rsidR="00975144" w:rsidRDefault="00975144" w:rsidP="00975144">
      <w:pPr>
        <w:spacing w:after="0" w:line="360" w:lineRule="auto"/>
        <w:jc w:val="both"/>
        <w:rPr>
          <w:rFonts w:ascii="Times New Roman" w:hAnsi="Times New Roman" w:cs="Times New Roman"/>
          <w:sz w:val="24"/>
          <w:szCs w:val="24"/>
          <w:lang w:val="es-MX"/>
        </w:rPr>
      </w:pPr>
    </w:p>
    <w:p w14:paraId="51EAF956" w14:textId="77777777" w:rsidR="00975144" w:rsidRDefault="00975144" w:rsidP="00975144">
      <w:pPr>
        <w:spacing w:after="0" w:line="360" w:lineRule="auto"/>
        <w:jc w:val="both"/>
      </w:pPr>
      <w:r>
        <w:rPr>
          <w:rFonts w:ascii="Times New Roman" w:hAnsi="Times New Roman" w:cs="Times New Roman"/>
          <w:sz w:val="24"/>
          <w:szCs w:val="24"/>
          <w:lang w:val="es-MX"/>
        </w:rPr>
        <w:t xml:space="preserve">En un cuarto (26%) de los pacientes se registró hospitalizaciones previas al ingreso en estudio, siendo su principal causa la IVU, dato que coincide con la prevalencia encontrada en los estudios de Daniela </w:t>
      </w:r>
      <w:proofErr w:type="spellStart"/>
      <w:r>
        <w:rPr>
          <w:rFonts w:ascii="Times New Roman" w:hAnsi="Times New Roman" w:cs="Times New Roman"/>
          <w:sz w:val="24"/>
          <w:szCs w:val="24"/>
          <w:lang w:val="es-MX"/>
        </w:rPr>
        <w:t>Ocen</w:t>
      </w:r>
      <w:proofErr w:type="spellEnd"/>
      <w:r>
        <w:rPr>
          <w:rFonts w:ascii="Times New Roman" w:hAnsi="Times New Roman" w:cs="Times New Roman"/>
          <w:sz w:val="24"/>
          <w:szCs w:val="24"/>
          <w:lang w:val="es-MX"/>
        </w:rPr>
        <w:t xml:space="preserve"> en el año 2015, refiriendo que el 25% de los casos presentaron hospitalizaciones por IVU, pero por encima a lo encontrado por Benavides </w:t>
      </w:r>
      <w:proofErr w:type="spellStart"/>
      <w:r>
        <w:rPr>
          <w:rFonts w:ascii="Times New Roman" w:hAnsi="Times New Roman" w:cs="Times New Roman"/>
          <w:sz w:val="24"/>
          <w:szCs w:val="24"/>
          <w:lang w:val="es-MX"/>
        </w:rPr>
        <w:t>Geysel</w:t>
      </w:r>
      <w:proofErr w:type="spellEnd"/>
      <w:r>
        <w:rPr>
          <w:rFonts w:ascii="Times New Roman" w:hAnsi="Times New Roman" w:cs="Times New Roman"/>
          <w:sz w:val="24"/>
          <w:szCs w:val="24"/>
          <w:lang w:val="es-MX"/>
        </w:rPr>
        <w:t xml:space="preserve"> en el año 2022, con un 12% de hospitalización anterior.</w:t>
      </w:r>
    </w:p>
    <w:p w14:paraId="3E6C299D" w14:textId="77777777" w:rsidR="00975144" w:rsidRDefault="00975144" w:rsidP="00975144">
      <w:pPr>
        <w:spacing w:after="0" w:line="360" w:lineRule="auto"/>
        <w:jc w:val="both"/>
        <w:rPr>
          <w:rFonts w:ascii="Times New Roman" w:hAnsi="Times New Roman" w:cs="Times New Roman"/>
          <w:sz w:val="24"/>
          <w:szCs w:val="24"/>
          <w:lang w:val="es-MX"/>
        </w:rPr>
      </w:pPr>
    </w:p>
    <w:p w14:paraId="56854FEA" w14:textId="77777777" w:rsidR="00975144" w:rsidRDefault="00975144" w:rsidP="00975144">
      <w:pPr>
        <w:spacing w:after="0" w:line="360" w:lineRule="auto"/>
        <w:jc w:val="both"/>
      </w:pPr>
      <w:r>
        <w:rPr>
          <w:rFonts w:ascii="Times New Roman" w:hAnsi="Times New Roman" w:cs="Times New Roman"/>
          <w:sz w:val="24"/>
          <w:szCs w:val="24"/>
          <w:lang w:val="es-MX"/>
        </w:rPr>
        <w:t>La lactancia materna es la única forma de alimentar a los bebés, ya que proporciona los nutrientes que necesitan para crecer y desarrollarse sanamente, por lo que era de esperar que se encontrará que el 100% de los pacientes reportaran una lactancia materna exclusiva, resultados encontrados en nuestro estudio ya que solamente en el 85% de los expedientes fueron registradas la lactancia materna.</w:t>
      </w:r>
    </w:p>
    <w:p w14:paraId="5357A2B7" w14:textId="77777777" w:rsidR="00975144" w:rsidRDefault="00975144" w:rsidP="00975144">
      <w:pPr>
        <w:spacing w:after="0" w:line="360" w:lineRule="auto"/>
        <w:jc w:val="both"/>
        <w:rPr>
          <w:rFonts w:ascii="Times New Roman" w:hAnsi="Times New Roman" w:cs="Times New Roman"/>
          <w:sz w:val="24"/>
          <w:szCs w:val="24"/>
          <w:lang w:val="es-MX"/>
        </w:rPr>
      </w:pPr>
    </w:p>
    <w:p w14:paraId="640A3719" w14:textId="77777777" w:rsidR="00975144" w:rsidRDefault="00975144" w:rsidP="00975144">
      <w:pPr>
        <w:spacing w:after="0" w:line="360" w:lineRule="auto"/>
        <w:jc w:val="both"/>
      </w:pPr>
      <w:r>
        <w:rPr>
          <w:rFonts w:ascii="Times New Roman" w:hAnsi="Times New Roman" w:cs="Times New Roman"/>
          <w:sz w:val="24"/>
          <w:szCs w:val="24"/>
          <w:lang w:val="es-MX"/>
        </w:rPr>
        <w:t>Era de esperar que los diagnósticos de ingresos fueron las IVU en sus diferentes formas y que un pequeño porcentaje fueron asociadas a complicaciones de otros órganos, coincidiendo con nuestros resultados, donde en más de tres cuartos (87%) de los niños fueron ingresados únicamente como IVU y el resto con Neumonía muy grave principalmente. De igual forma la gravedad de los ingresos fueron en su mayoría moderados en tres cuartos (77%) de los ingresos y el 13% con formas muy graves en su estado de salud.</w:t>
      </w:r>
    </w:p>
    <w:p w14:paraId="76F09425" w14:textId="77777777" w:rsidR="00975144" w:rsidRDefault="00975144" w:rsidP="00975144">
      <w:pPr>
        <w:spacing w:after="0" w:line="360" w:lineRule="auto"/>
        <w:jc w:val="both"/>
        <w:rPr>
          <w:rFonts w:ascii="Times New Roman" w:hAnsi="Times New Roman" w:cs="Times New Roman"/>
          <w:sz w:val="24"/>
          <w:szCs w:val="24"/>
          <w:lang w:val="es-MX"/>
        </w:rPr>
      </w:pPr>
    </w:p>
    <w:p w14:paraId="06703606" w14:textId="77777777" w:rsidR="00975144" w:rsidRDefault="00975144" w:rsidP="00975144">
      <w:pPr>
        <w:spacing w:after="0" w:line="360" w:lineRule="auto"/>
        <w:jc w:val="both"/>
      </w:pPr>
      <w:r>
        <w:rPr>
          <w:rFonts w:ascii="Times New Roman" w:hAnsi="Times New Roman" w:cs="Times New Roman"/>
          <w:sz w:val="24"/>
          <w:szCs w:val="24"/>
          <w:lang w:val="es-MX"/>
        </w:rPr>
        <w:t xml:space="preserve">Uno de los parámetros clínicos que definieron el ingreso y la gravedad de la enfermedad, fueron los resultados de laboratorios, en el caso de la BHC, se encontraron alteraciones en el 85% de los </w:t>
      </w:r>
      <w:r>
        <w:rPr>
          <w:rFonts w:ascii="Times New Roman" w:hAnsi="Times New Roman" w:cs="Times New Roman"/>
          <w:sz w:val="24"/>
          <w:szCs w:val="24"/>
          <w:lang w:val="es-MX"/>
        </w:rPr>
        <w:lastRenderedPageBreak/>
        <w:t>pacientes, coincidiendo con lo encontrado por Mayorga en el año 2019 en Managua, encontrando alteraciones de BHC en más de la mitad de los pacientes.</w:t>
      </w:r>
    </w:p>
    <w:p w14:paraId="19D52AEC" w14:textId="77777777" w:rsidR="00975144" w:rsidRDefault="00975144" w:rsidP="00975144">
      <w:pPr>
        <w:spacing w:after="0" w:line="360" w:lineRule="auto"/>
        <w:jc w:val="both"/>
        <w:rPr>
          <w:rFonts w:ascii="Times New Roman" w:hAnsi="Times New Roman" w:cs="Times New Roman"/>
          <w:sz w:val="24"/>
          <w:szCs w:val="24"/>
          <w:lang w:val="es-MX"/>
        </w:rPr>
      </w:pPr>
    </w:p>
    <w:p w14:paraId="21DC4FB1" w14:textId="77777777" w:rsidR="00975144" w:rsidRDefault="00975144" w:rsidP="00975144">
      <w:pPr>
        <w:spacing w:after="0" w:line="360" w:lineRule="auto"/>
        <w:jc w:val="both"/>
      </w:pPr>
      <w:r>
        <w:rPr>
          <w:rFonts w:ascii="Times New Roman" w:hAnsi="Times New Roman" w:cs="Times New Roman"/>
          <w:sz w:val="24"/>
          <w:szCs w:val="24"/>
          <w:lang w:val="es-MX"/>
        </w:rPr>
        <w:t>Tomando en cuenta que el 92% de los casos fueron ingresados como moderados a muy graves y que las hospitalizaciones previas fueron por IVU, es de esperar que durante su estancia hospitalaria se les realizara exámenes complementarios para buscar alguna anormalidad que pueda estar predisponiendo infecciones recurrentes, encontrando que se les realizo ultrasonido a un poco más de la mitad (62%) de los pacientes y solamente en un cuarto de estos pacientes se encontraron anomalías como resultados.</w:t>
      </w:r>
    </w:p>
    <w:p w14:paraId="1BE9F65F" w14:textId="77777777" w:rsidR="00975144" w:rsidRDefault="00975144" w:rsidP="00975144">
      <w:pPr>
        <w:spacing w:after="0" w:line="360" w:lineRule="auto"/>
        <w:jc w:val="both"/>
        <w:rPr>
          <w:rFonts w:ascii="Times New Roman" w:hAnsi="Times New Roman" w:cs="Times New Roman"/>
          <w:sz w:val="24"/>
          <w:szCs w:val="24"/>
          <w:lang w:val="es-MX"/>
        </w:rPr>
      </w:pPr>
    </w:p>
    <w:p w14:paraId="799D4F68" w14:textId="77777777" w:rsidR="00975144" w:rsidRDefault="00975144" w:rsidP="00975144">
      <w:pPr>
        <w:spacing w:after="0" w:line="360" w:lineRule="auto"/>
        <w:jc w:val="both"/>
      </w:pPr>
      <w:r>
        <w:rPr>
          <w:rFonts w:ascii="Times New Roman" w:hAnsi="Times New Roman" w:cs="Times New Roman"/>
          <w:sz w:val="24"/>
          <w:szCs w:val="24"/>
          <w:lang w:val="es-MX"/>
        </w:rPr>
        <w:t>Si tomamos como referencia que el 84% de los pacientes fueron ingresados como leves y moderados, se espera que los días de estancia hospitalaria fueran cortos, datos que coinciden con lo encontrado en nuestro estudio donde el 80% de los pacientes cursaron entre 1 y 4 días de estancia.</w:t>
      </w:r>
    </w:p>
    <w:p w14:paraId="22FC5220" w14:textId="77777777" w:rsidR="00975144" w:rsidRDefault="00975144" w:rsidP="00975144">
      <w:pPr>
        <w:spacing w:after="0" w:line="360" w:lineRule="auto"/>
        <w:jc w:val="both"/>
        <w:rPr>
          <w:rFonts w:ascii="Times New Roman" w:hAnsi="Times New Roman" w:cs="Times New Roman"/>
          <w:sz w:val="24"/>
          <w:szCs w:val="24"/>
          <w:lang w:val="es-MX"/>
        </w:rPr>
      </w:pPr>
    </w:p>
    <w:p w14:paraId="44E76D84" w14:textId="77777777" w:rsidR="00975144" w:rsidRDefault="00975144" w:rsidP="00975144">
      <w:pPr>
        <w:spacing w:after="0" w:line="360" w:lineRule="auto"/>
        <w:jc w:val="both"/>
      </w:pPr>
      <w:r>
        <w:rPr>
          <w:rFonts w:ascii="Times New Roman" w:hAnsi="Times New Roman" w:cs="Times New Roman"/>
          <w:sz w:val="24"/>
          <w:szCs w:val="24"/>
        </w:rPr>
        <w:t xml:space="preserve">El urocultivo, se realiza para detectar la presencia de bacterias u otros microorganismos en la orina, además el tipo de bacterias y el antibiograma, por lo que sirve de gran manera cuando no hay una adecuada respuesta a los antibióticos, por lo que se espera que para su realización se seleccione detalladamente a cada paciente, en nuestro estudio se encontró que se realizó a más de tres cuartos (85%) de la población en estudio y de estos en la mitad (55%) se encontró bacterias positivos, siendo la Escherichia Colli la principal (78%), coincidiendo con Daniela </w:t>
      </w:r>
      <w:proofErr w:type="spellStart"/>
      <w:r>
        <w:rPr>
          <w:rFonts w:ascii="Times New Roman" w:hAnsi="Times New Roman" w:cs="Times New Roman"/>
          <w:sz w:val="24"/>
          <w:szCs w:val="24"/>
        </w:rPr>
        <w:t>Ocen</w:t>
      </w:r>
      <w:proofErr w:type="spellEnd"/>
      <w:r>
        <w:rPr>
          <w:rFonts w:ascii="Times New Roman" w:hAnsi="Times New Roman" w:cs="Times New Roman"/>
          <w:sz w:val="24"/>
          <w:szCs w:val="24"/>
        </w:rPr>
        <w:t xml:space="preserve"> en el año 2015 donde la frecuencia de E. Colli fue del 95%, Ortiz en el año 2018 con el 84%, Cueto et al. En el 2022 con 61% y contrario a lo reportado por Benavides </w:t>
      </w:r>
      <w:proofErr w:type="spellStart"/>
      <w:r>
        <w:rPr>
          <w:rFonts w:ascii="Times New Roman" w:hAnsi="Times New Roman" w:cs="Times New Roman"/>
          <w:sz w:val="24"/>
          <w:szCs w:val="24"/>
        </w:rPr>
        <w:t>Geysel</w:t>
      </w:r>
      <w:proofErr w:type="spellEnd"/>
      <w:r>
        <w:rPr>
          <w:rFonts w:ascii="Times New Roman" w:hAnsi="Times New Roman" w:cs="Times New Roman"/>
          <w:sz w:val="24"/>
          <w:szCs w:val="24"/>
        </w:rPr>
        <w:t xml:space="preserve"> en el año 2022 que la E. Colli fue encontrado en el 39% de los urocultivos con crecimiento bacteriano.</w:t>
      </w:r>
    </w:p>
    <w:p w14:paraId="7D613D43" w14:textId="77777777" w:rsidR="00975144" w:rsidRDefault="00975144" w:rsidP="00975144">
      <w:pPr>
        <w:spacing w:after="0" w:line="360" w:lineRule="auto"/>
        <w:jc w:val="both"/>
        <w:rPr>
          <w:rFonts w:ascii="Times New Roman" w:hAnsi="Times New Roman" w:cs="Times New Roman"/>
          <w:sz w:val="24"/>
          <w:szCs w:val="24"/>
        </w:rPr>
      </w:pPr>
    </w:p>
    <w:p w14:paraId="16782B27" w14:textId="77777777" w:rsidR="00975144" w:rsidRDefault="00975144" w:rsidP="00975144">
      <w:pPr>
        <w:spacing w:after="0" w:line="360" w:lineRule="auto"/>
        <w:jc w:val="both"/>
      </w:pPr>
      <w:r>
        <w:rPr>
          <w:rFonts w:ascii="Times New Roman" w:hAnsi="Times New Roman" w:cs="Times New Roman"/>
          <w:sz w:val="24"/>
          <w:szCs w:val="24"/>
        </w:rPr>
        <w:t xml:space="preserve">En el caso de la sensibilidad a los antibióticos se encontró que la E. Colli resulto sensible a la Amikacina en la totalidad de los casos (100%) y el Meropenem con un poco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de la mitad (67%) y la Ceftriaxona con la mitad (50%) de los casos, en el caso de la resistencia fue mayor para la Cefazolina (44%) y Ampicilina en menos de la mitad (33%) de los pacientes y </w:t>
      </w:r>
      <w:r>
        <w:rPr>
          <w:rFonts w:ascii="Times New Roman" w:hAnsi="Times New Roman" w:cs="Times New Roman"/>
          <w:sz w:val="24"/>
          <w:szCs w:val="24"/>
          <w:lang w:val="es-MX"/>
        </w:rPr>
        <w:t xml:space="preserve">la Ceftriaxona, Gentamicina, Ciprofloxacina, </w:t>
      </w:r>
      <w:proofErr w:type="spellStart"/>
      <w:r>
        <w:rPr>
          <w:rFonts w:ascii="Times New Roman" w:hAnsi="Times New Roman" w:cs="Times New Roman"/>
          <w:sz w:val="24"/>
          <w:szCs w:val="24"/>
          <w:lang w:val="es-MX"/>
        </w:rPr>
        <w:t>Timetropin</w:t>
      </w:r>
      <w:proofErr w:type="spellEnd"/>
      <w:r>
        <w:rPr>
          <w:rFonts w:ascii="Times New Roman" w:hAnsi="Times New Roman" w:cs="Times New Roman"/>
          <w:sz w:val="24"/>
          <w:szCs w:val="24"/>
          <w:lang w:val="es-MX"/>
        </w:rPr>
        <w:t xml:space="preserve"> y la </w:t>
      </w:r>
      <w:proofErr w:type="spellStart"/>
      <w:r>
        <w:rPr>
          <w:rFonts w:ascii="Times New Roman" w:hAnsi="Times New Roman" w:cs="Times New Roman"/>
          <w:sz w:val="24"/>
          <w:szCs w:val="24"/>
          <w:lang w:val="es-MX"/>
        </w:rPr>
        <w:t>Cefepime</w:t>
      </w:r>
      <w:proofErr w:type="spellEnd"/>
      <w:r>
        <w:rPr>
          <w:rFonts w:ascii="Times New Roman" w:hAnsi="Times New Roman" w:cs="Times New Roman"/>
          <w:sz w:val="24"/>
          <w:szCs w:val="24"/>
          <w:lang w:val="es-MX"/>
        </w:rPr>
        <w:t xml:space="preserve"> en un cuarto de los pacientes, coincidiendo con Jarvis y Col en el año 2021, quien encontró que los antibióticos más resistentes fueron: </w:t>
      </w:r>
      <w:proofErr w:type="spellStart"/>
      <w:r>
        <w:rPr>
          <w:rFonts w:ascii="Times New Roman" w:hAnsi="Times New Roman" w:cs="Times New Roman"/>
          <w:sz w:val="24"/>
          <w:szCs w:val="24"/>
          <w:lang w:val="es-MX"/>
        </w:rPr>
        <w:lastRenderedPageBreak/>
        <w:t>trimetoprim</w:t>
      </w:r>
      <w:proofErr w:type="spellEnd"/>
      <w:r>
        <w:rPr>
          <w:rFonts w:ascii="Times New Roman" w:hAnsi="Times New Roman" w:cs="Times New Roman"/>
          <w:sz w:val="24"/>
          <w:szCs w:val="24"/>
          <w:lang w:val="es-MX"/>
        </w:rPr>
        <w:t xml:space="preserve">/sulfametoxazol, ampicilina, piperacilina y ciprofloxacino, así como los antibióticos más sensibles fueron: amikacina, </w:t>
      </w:r>
      <w:proofErr w:type="spellStart"/>
      <w:r>
        <w:rPr>
          <w:rFonts w:ascii="Times New Roman" w:hAnsi="Times New Roman" w:cs="Times New Roman"/>
          <w:sz w:val="24"/>
          <w:szCs w:val="24"/>
          <w:lang w:val="es-MX"/>
        </w:rPr>
        <w:t>imipenem</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ertapenem</w:t>
      </w:r>
      <w:proofErr w:type="spellEnd"/>
      <w:r>
        <w:rPr>
          <w:rFonts w:ascii="Times New Roman" w:hAnsi="Times New Roman" w:cs="Times New Roman"/>
          <w:sz w:val="24"/>
          <w:szCs w:val="24"/>
          <w:lang w:val="es-MX"/>
        </w:rPr>
        <w:t xml:space="preserve"> y meropenem. </w:t>
      </w:r>
    </w:p>
    <w:p w14:paraId="1B1C3BBB" w14:textId="77777777" w:rsidR="00975144" w:rsidRDefault="00975144" w:rsidP="00975144">
      <w:pPr>
        <w:spacing w:after="0" w:line="360" w:lineRule="auto"/>
        <w:jc w:val="both"/>
        <w:rPr>
          <w:rFonts w:ascii="Times New Roman" w:hAnsi="Times New Roman" w:cs="Times New Roman"/>
          <w:b/>
          <w:bCs/>
          <w:sz w:val="24"/>
          <w:szCs w:val="24"/>
          <w:lang w:val="es-MX"/>
        </w:rPr>
      </w:pPr>
    </w:p>
    <w:p w14:paraId="252C3021" w14:textId="77777777" w:rsidR="00975144" w:rsidRDefault="00975144" w:rsidP="00975144">
      <w:pPr>
        <w:spacing w:after="0" w:line="360" w:lineRule="auto"/>
        <w:jc w:val="both"/>
      </w:pPr>
      <w:r>
        <w:rPr>
          <w:rFonts w:ascii="Times New Roman" w:hAnsi="Times New Roman" w:cs="Times New Roman"/>
          <w:sz w:val="24"/>
          <w:szCs w:val="24"/>
          <w:lang w:val="es-MX"/>
        </w:rPr>
        <w:t xml:space="preserve">Era de esperar que al tomar en cuenta la sensibilidad antimicrobiana por antibiograma, accesibilidad, eficacia y costo beneficio del antibiótico, se optara por utilizar el medicamento idóneo, coincidiendo con nuestro estudio, donde se demostró que los antibióticos más utilizados fueron: la Ceftriaxona en la mitad (51%) de los pacientes y la combinación de Ceftriaxona y Amikacina en un cuarto (21%) de los pacientes, resultado reflejado en el cambio de terapia donde solamente en el 5% de los pacientes se les modifico tratamiento por resistencia al antibiótico. </w:t>
      </w:r>
    </w:p>
    <w:p w14:paraId="2B3F287F" w14:textId="77777777" w:rsidR="00975144" w:rsidRDefault="00975144" w:rsidP="00975144">
      <w:pPr>
        <w:spacing w:after="0" w:line="360" w:lineRule="auto"/>
        <w:jc w:val="both"/>
        <w:rPr>
          <w:rFonts w:ascii="Times New Roman" w:hAnsi="Times New Roman" w:cs="Times New Roman"/>
          <w:b/>
          <w:bCs/>
          <w:sz w:val="24"/>
          <w:szCs w:val="24"/>
          <w:lang w:val="es-MX"/>
        </w:rPr>
      </w:pPr>
    </w:p>
    <w:p w14:paraId="3101670E" w14:textId="77777777" w:rsidR="00975144" w:rsidRDefault="00975144" w:rsidP="00975144">
      <w:pPr>
        <w:spacing w:after="0" w:line="360" w:lineRule="auto"/>
        <w:jc w:val="both"/>
      </w:pPr>
      <w:r>
        <w:rPr>
          <w:rFonts w:ascii="Times New Roman" w:hAnsi="Times New Roman" w:cs="Times New Roman"/>
          <w:sz w:val="24"/>
          <w:szCs w:val="24"/>
          <w:lang w:val="es-MX"/>
        </w:rPr>
        <w:t xml:space="preserve">En </w:t>
      </w:r>
      <w:proofErr w:type="spellStart"/>
      <w:r>
        <w:rPr>
          <w:rFonts w:ascii="Times New Roman" w:hAnsi="Times New Roman" w:cs="Times New Roman"/>
          <w:sz w:val="24"/>
          <w:szCs w:val="24"/>
          <w:lang w:val="es-MX"/>
        </w:rPr>
        <w:t>mas</w:t>
      </w:r>
      <w:proofErr w:type="spellEnd"/>
      <w:r>
        <w:rPr>
          <w:rFonts w:ascii="Times New Roman" w:hAnsi="Times New Roman" w:cs="Times New Roman"/>
          <w:sz w:val="24"/>
          <w:szCs w:val="24"/>
          <w:lang w:val="es-MX"/>
        </w:rPr>
        <w:t xml:space="preserve"> de un tercio (85%) de los pacientes, fueron clasificados en su ingreso en condiciones leves y moderados, por lo que era de esperar que tanto la alimentación como la administración de líquidos fueron en su mayoría dieta general y líquidos por vía oral, coincidiendo con nuestros resultados, donde solamente el 23% permanecieron con dieta especial y el 15% con líquidos intravenosos. De igual forma la evolución intrahospitalaria fue satisfactoria ya que solamente el 5% presento complicación de su patología de ingreso e igual porcentaje (5% - 2 casos) de los pacientes egresaron como abandono y traslado a otra unidad de mayor resolución.</w:t>
      </w:r>
    </w:p>
    <w:p w14:paraId="1DDB528A" w14:textId="77777777" w:rsidR="00975144" w:rsidRDefault="00975144" w:rsidP="00975144">
      <w:pPr>
        <w:spacing w:after="0" w:line="360" w:lineRule="auto"/>
        <w:jc w:val="both"/>
        <w:rPr>
          <w:rFonts w:ascii="Times New Roman" w:hAnsi="Times New Roman" w:cs="Times New Roman"/>
          <w:sz w:val="24"/>
          <w:szCs w:val="24"/>
          <w:lang w:val="es-MX"/>
        </w:rPr>
      </w:pPr>
    </w:p>
    <w:p w14:paraId="01FA326E" w14:textId="77777777" w:rsidR="00975144" w:rsidRDefault="00975144" w:rsidP="00975144">
      <w:pPr>
        <w:spacing w:after="0" w:line="360" w:lineRule="auto"/>
        <w:jc w:val="both"/>
      </w:pPr>
      <w:r>
        <w:rPr>
          <w:rFonts w:ascii="Times New Roman" w:hAnsi="Times New Roman" w:cs="Times New Roman"/>
          <w:sz w:val="24"/>
          <w:szCs w:val="24"/>
          <w:lang w:val="es-MX"/>
        </w:rPr>
        <w:t>Era de esperar que los factores de riesgo de los pacientes en estudio estuvieran determinados por sus condiciones fisiológicas, entorno personal, comorbilidades, entre otras, contradictorio a nuestro estudio donde la edad, sexo, comorbilidades, hospitalizaciones previas, lactancia materna, malformaciones, antecedentes de IVU y estancia hospitalaria, no presentaron relación estadística significativa con la posibilidad de presentar alguna complicación.</w:t>
      </w:r>
    </w:p>
    <w:p w14:paraId="766D6592" w14:textId="77777777" w:rsidR="00975144" w:rsidRDefault="00975144" w:rsidP="00975144">
      <w:pPr>
        <w:spacing w:after="0" w:line="360" w:lineRule="auto"/>
        <w:jc w:val="both"/>
        <w:rPr>
          <w:rFonts w:ascii="Times New Roman" w:hAnsi="Times New Roman" w:cs="Times New Roman"/>
          <w:sz w:val="24"/>
          <w:szCs w:val="24"/>
          <w:lang w:val="es-MX"/>
        </w:rPr>
      </w:pPr>
    </w:p>
    <w:p w14:paraId="5DDE9A69" w14:textId="77777777" w:rsidR="00975144" w:rsidRDefault="00975144" w:rsidP="00975144">
      <w:pPr>
        <w:spacing w:after="0" w:line="360" w:lineRule="auto"/>
        <w:jc w:val="both"/>
      </w:pPr>
      <w:r>
        <w:rPr>
          <w:rFonts w:ascii="Times New Roman" w:hAnsi="Times New Roman" w:cs="Times New Roman"/>
          <w:sz w:val="24"/>
          <w:szCs w:val="24"/>
          <w:lang w:val="es-MX"/>
        </w:rPr>
        <w:t>Si se encontró relación significativa con la posibilidad de complicaciones con el cambio de terapia antimicrobiana 36 veces más (Chi 8.72), sobrepeso de los pacientes 36 veces más (Chi 8.72), Clasificación de gravedad como grave y muy grave al ingreso 1.6 veces más (Chi 11.59) y los pacientes que ingresaron como moderados, tiene 20% menos de probabilidades (Chi 7.03).</w:t>
      </w:r>
    </w:p>
    <w:p w14:paraId="59B37E47" w14:textId="77777777" w:rsidR="00975144" w:rsidRDefault="00975144" w:rsidP="00975144">
      <w:pPr>
        <w:spacing w:before="69" w:after="0" w:line="360" w:lineRule="auto"/>
        <w:jc w:val="both"/>
        <w:rPr>
          <w:rFonts w:ascii="Times New Roman" w:hAnsi="Times New Roman" w:cs="Times New Roman"/>
          <w:sz w:val="24"/>
          <w:szCs w:val="24"/>
        </w:rPr>
      </w:pPr>
    </w:p>
    <w:p w14:paraId="66B7D9E5" w14:textId="77777777" w:rsidR="005C2E4F" w:rsidRDefault="005C2E4F">
      <w:pPr>
        <w:spacing w:after="0" w:line="240" w:lineRule="auto"/>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2E32B368" w14:textId="4CBF6CA5" w:rsidR="005C2E4F" w:rsidRDefault="005C2E4F" w:rsidP="005C2E4F">
      <w:pPr>
        <w:spacing w:after="0" w:line="240" w:lineRule="auto"/>
        <w:jc w:val="center"/>
      </w:pPr>
      <w:r>
        <w:rPr>
          <w:rFonts w:ascii="Times New Roman" w:hAnsi="Times New Roman" w:cs="Times New Roman"/>
          <w:b/>
          <w:bCs/>
          <w:sz w:val="24"/>
          <w:szCs w:val="24"/>
          <w:lang w:val="es-MX"/>
        </w:rPr>
        <w:lastRenderedPageBreak/>
        <w:t>X.- CONCLUSIONES</w:t>
      </w:r>
    </w:p>
    <w:p w14:paraId="6A195ABF" w14:textId="77777777" w:rsidR="005C2E4F" w:rsidRDefault="005C2E4F" w:rsidP="005C2E4F">
      <w:pPr>
        <w:spacing w:after="0" w:line="360" w:lineRule="auto"/>
        <w:jc w:val="both"/>
        <w:rPr>
          <w:rFonts w:ascii="Times New Roman" w:hAnsi="Times New Roman" w:cs="Times New Roman"/>
          <w:bCs/>
          <w:sz w:val="24"/>
          <w:szCs w:val="24"/>
          <w:lang w:val="es-MX"/>
        </w:rPr>
      </w:pPr>
    </w:p>
    <w:p w14:paraId="69BB338A" w14:textId="3A3E2FEC" w:rsidR="005C2E4F" w:rsidRDefault="005C2E4F" w:rsidP="005C2E4F">
      <w:pPr>
        <w:spacing w:after="0" w:line="360" w:lineRule="auto"/>
        <w:jc w:val="both"/>
      </w:pPr>
      <w:r>
        <w:rPr>
          <w:rFonts w:ascii="Times New Roman" w:hAnsi="Times New Roman" w:cs="Times New Roman"/>
          <w:sz w:val="24"/>
          <w:szCs w:val="24"/>
          <w:lang w:val="es-MX"/>
        </w:rPr>
        <w:t xml:space="preserve">1.- </w:t>
      </w:r>
      <w:r w:rsidR="00241311">
        <w:rPr>
          <w:rFonts w:ascii="Times New Roman" w:hAnsi="Times New Roman" w:cs="Times New Roman"/>
          <w:sz w:val="24"/>
          <w:szCs w:val="24"/>
          <w:lang w:val="es-MX"/>
        </w:rPr>
        <w:t>El comportamiento clínico de la enfermedad refl</w:t>
      </w:r>
      <w:bookmarkStart w:id="12" w:name="_GoBack"/>
      <w:bookmarkEnd w:id="12"/>
      <w:r w:rsidR="00241311">
        <w:rPr>
          <w:rFonts w:ascii="Times New Roman" w:hAnsi="Times New Roman" w:cs="Times New Roman"/>
          <w:sz w:val="24"/>
          <w:szCs w:val="24"/>
          <w:lang w:val="es-MX"/>
        </w:rPr>
        <w:t xml:space="preserve">ejó; </w:t>
      </w:r>
      <w:r>
        <w:rPr>
          <w:rFonts w:ascii="Times New Roman" w:hAnsi="Times New Roman" w:cs="Times New Roman"/>
          <w:sz w:val="24"/>
          <w:szCs w:val="24"/>
          <w:lang w:val="es-MX"/>
        </w:rPr>
        <w:t>La edad predominante fue el grupo entre 1 a 2 años con el 77%, sexo femenino 56%, las comorbilidades fueron referidos en el 21%, siendo las cardiopatías las predominantes (63%), el 64% fueron clasificados como eutróficos, el 31% con bajo peso, el sobre peso y la obesidad con el 3%. La fiebre como sintomatología fue referida en el 100%, solamente el 26% refirieron ingresos hospitalarios previos, siendo la causa de ingreso la IVU, se encontró la lactancia materna exclusiva en el 85% y la presencia de malformaciones congénitas en el 8%.</w:t>
      </w:r>
    </w:p>
    <w:p w14:paraId="4DB53363" w14:textId="77777777" w:rsidR="005C2E4F" w:rsidRDefault="005C2E4F" w:rsidP="005C2E4F">
      <w:pPr>
        <w:spacing w:after="0" w:line="360" w:lineRule="auto"/>
        <w:jc w:val="both"/>
        <w:rPr>
          <w:rFonts w:ascii="Times New Roman" w:hAnsi="Times New Roman" w:cs="Times New Roman"/>
          <w:b/>
          <w:bCs/>
          <w:sz w:val="24"/>
          <w:szCs w:val="24"/>
          <w:lang w:val="es-MX"/>
        </w:rPr>
      </w:pPr>
    </w:p>
    <w:p w14:paraId="3B813947" w14:textId="77777777" w:rsidR="005C2E4F" w:rsidRDefault="005C2E4F" w:rsidP="005C2E4F">
      <w:pPr>
        <w:spacing w:after="0" w:line="360" w:lineRule="auto"/>
        <w:jc w:val="both"/>
      </w:pPr>
      <w:r>
        <w:rPr>
          <w:rFonts w:ascii="Times New Roman" w:hAnsi="Times New Roman" w:cs="Times New Roman"/>
          <w:sz w:val="24"/>
          <w:szCs w:val="24"/>
          <w:lang w:val="es-MX"/>
        </w:rPr>
        <w:t xml:space="preserve">2.- El 85% de los pacientes fueron ingresados como moderados y leves, las alteraciones en la BHC y EGO se presentaron el 85% y 92% respectivamente. En el 62% de los pacientes se le realizo ultrasonido y de estos el 75% resultaron normales. El 62% cursaron con estancia hospitalaria entre 3 a 4 días. Se le realizo urocultivo al 85%, con positividad del 55%, la bacteria encontrada fue </w:t>
      </w:r>
      <w:proofErr w:type="spellStart"/>
      <w:r>
        <w:rPr>
          <w:rFonts w:ascii="Times New Roman" w:hAnsi="Times New Roman" w:cs="Times New Roman"/>
          <w:sz w:val="24"/>
          <w:szCs w:val="24"/>
        </w:rPr>
        <w:t>Escherichia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coli</w:t>
      </w:r>
      <w:proofErr w:type="spellEnd"/>
      <w:r>
        <w:rPr>
          <w:rFonts w:ascii="Times New Roman" w:hAnsi="Times New Roman" w:cs="Times New Roman"/>
          <w:sz w:val="24"/>
          <w:szCs w:val="24"/>
        </w:rPr>
        <w:t xml:space="preserve"> con el 78%, en su totalidad sensible a la A</w:t>
      </w:r>
      <w:proofErr w:type="spellStart"/>
      <w:r>
        <w:rPr>
          <w:rFonts w:ascii="Times New Roman" w:hAnsi="Times New Roman" w:cs="Times New Roman"/>
          <w:sz w:val="24"/>
          <w:szCs w:val="24"/>
          <w:lang w:val="es-MX"/>
        </w:rPr>
        <w:t>mikacina</w:t>
      </w:r>
      <w:proofErr w:type="spellEnd"/>
      <w:r>
        <w:rPr>
          <w:rFonts w:ascii="Times New Roman" w:hAnsi="Times New Roman" w:cs="Times New Roman"/>
          <w:sz w:val="24"/>
          <w:szCs w:val="24"/>
          <w:lang w:val="es-MX"/>
        </w:rPr>
        <w:t xml:space="preserve"> (100%), Meropenem (67%) y Ceftriaxona (50%), con resistencia a la Cefazolina (44%), Ampicilina (33%) y la Ceftriaxona, Gentamicina y Ciprofloxacina con el 28%. El antibiótico más utilizado fue: la Ceftriaxona (51%) y la combinación de Ceftriaxona y Amikacina (21%). el 77% recibió dieta general y el 85% con adecuada vía oral. Solamente al 5% se le realizo cambio de terapia y su causa fue por resistencia al antibiótico.</w:t>
      </w:r>
    </w:p>
    <w:p w14:paraId="677F2A3D" w14:textId="77777777" w:rsidR="005C2E4F" w:rsidRDefault="005C2E4F" w:rsidP="005C2E4F">
      <w:pPr>
        <w:spacing w:after="0" w:line="360" w:lineRule="auto"/>
        <w:jc w:val="both"/>
        <w:rPr>
          <w:rFonts w:ascii="Times New Roman" w:hAnsi="Times New Roman" w:cs="Times New Roman"/>
          <w:sz w:val="24"/>
          <w:szCs w:val="24"/>
        </w:rPr>
      </w:pPr>
    </w:p>
    <w:p w14:paraId="14845103" w14:textId="77777777" w:rsidR="005C2E4F" w:rsidRDefault="005C2E4F" w:rsidP="005C2E4F">
      <w:pPr>
        <w:spacing w:after="0" w:line="360" w:lineRule="auto"/>
        <w:jc w:val="both"/>
      </w:pPr>
      <w:r>
        <w:rPr>
          <w:rFonts w:ascii="Times New Roman" w:hAnsi="Times New Roman" w:cs="Times New Roman"/>
          <w:b/>
          <w:bCs/>
          <w:sz w:val="24"/>
          <w:szCs w:val="24"/>
          <w:lang w:val="es-MX"/>
        </w:rPr>
        <w:t xml:space="preserve">3. </w:t>
      </w:r>
      <w:r w:rsidRPr="00695BB0">
        <w:rPr>
          <w:rFonts w:ascii="Times New Roman" w:hAnsi="Times New Roman" w:cs="Times New Roman"/>
          <w:sz w:val="24"/>
          <w:szCs w:val="24"/>
          <w:lang w:val="es-MX"/>
        </w:rPr>
        <w:t xml:space="preserve">El 5% presentaron una complicación, siendo Neumonía y Acidosis Metabólica con </w:t>
      </w:r>
      <w:proofErr w:type="spellStart"/>
      <w:r w:rsidRPr="00695BB0">
        <w:rPr>
          <w:rFonts w:ascii="Times New Roman" w:hAnsi="Times New Roman" w:cs="Times New Roman"/>
          <w:sz w:val="24"/>
          <w:szCs w:val="24"/>
          <w:lang w:val="es-MX"/>
        </w:rPr>
        <w:t>Hiperkalemia</w:t>
      </w:r>
      <w:proofErr w:type="spellEnd"/>
      <w:r w:rsidRPr="00695BB0">
        <w:rPr>
          <w:rFonts w:ascii="Times New Roman" w:hAnsi="Times New Roman" w:cs="Times New Roman"/>
          <w:sz w:val="24"/>
          <w:szCs w:val="24"/>
          <w:lang w:val="es-MX"/>
        </w:rPr>
        <w:t>. El 95% egresaron vivos, los restantes 2 casos fueron abandono y traslado por la gravedad del caso</w:t>
      </w:r>
      <w:r>
        <w:rPr>
          <w:rFonts w:ascii="Times New Roman" w:hAnsi="Times New Roman" w:cs="Times New Roman"/>
          <w:sz w:val="24"/>
          <w:szCs w:val="24"/>
          <w:lang w:val="es-MX"/>
        </w:rPr>
        <w:t>.</w:t>
      </w:r>
    </w:p>
    <w:p w14:paraId="33249451" w14:textId="77777777" w:rsidR="005C2E4F" w:rsidRDefault="005C2E4F" w:rsidP="005C2E4F">
      <w:pPr>
        <w:spacing w:after="0" w:line="360" w:lineRule="auto"/>
        <w:jc w:val="both"/>
        <w:rPr>
          <w:rFonts w:ascii="Times New Roman" w:hAnsi="Times New Roman" w:cs="Times New Roman"/>
          <w:sz w:val="24"/>
          <w:szCs w:val="24"/>
          <w:lang w:val="es-MX"/>
        </w:rPr>
      </w:pPr>
    </w:p>
    <w:p w14:paraId="1D5AB20F" w14:textId="77777777" w:rsidR="005C2E4F" w:rsidRDefault="005C2E4F" w:rsidP="005C2E4F">
      <w:pPr>
        <w:spacing w:after="0" w:line="360" w:lineRule="auto"/>
        <w:jc w:val="both"/>
      </w:pPr>
      <w:r>
        <w:rPr>
          <w:rFonts w:ascii="Times New Roman" w:hAnsi="Times New Roman" w:cs="Times New Roman"/>
          <w:sz w:val="24"/>
          <w:szCs w:val="24"/>
          <w:lang w:val="es-MX"/>
        </w:rPr>
        <w:t>4. No se encontró relación estadística significativa de la edad, sexo, APP, hospitalizaciones previas, lactancia materna, malformaciones, antecedentes de IVU, estancia hospitalaria, patologías asociadas intrahospitalaria y la posibilidad de presentar complicaciones. Los cambios de terapia antimicrobiana, el sobrepeso y la clasificación de gravedad como grave y muy grave se convirtieron como factores de riesgo de complicación y los pacientes que ingresaron como moderados como factor de beneficio para las complicaciones.</w:t>
      </w:r>
    </w:p>
    <w:p w14:paraId="07A8F08D" w14:textId="77777777" w:rsidR="00975144" w:rsidRDefault="00975144" w:rsidP="00975144">
      <w:pPr>
        <w:spacing w:before="69" w:after="0" w:line="360" w:lineRule="auto"/>
        <w:jc w:val="both"/>
        <w:rPr>
          <w:rFonts w:ascii="Times New Roman" w:hAnsi="Times New Roman" w:cs="Times New Roman"/>
          <w:sz w:val="24"/>
          <w:szCs w:val="24"/>
        </w:rPr>
      </w:pPr>
    </w:p>
    <w:p w14:paraId="2BD8A54A" w14:textId="77777777" w:rsidR="00FB4771" w:rsidRDefault="00FB4771" w:rsidP="00FB4771">
      <w:pPr>
        <w:spacing w:before="240" w:after="0" w:line="240" w:lineRule="auto"/>
        <w:jc w:val="center"/>
      </w:pPr>
      <w:r>
        <w:rPr>
          <w:rFonts w:ascii="Times New Roman" w:hAnsi="Times New Roman" w:cs="Times New Roman"/>
          <w:b/>
          <w:bCs/>
          <w:sz w:val="24"/>
          <w:szCs w:val="24"/>
          <w:lang w:val="es-MX"/>
        </w:rPr>
        <w:t>XI.- RECOMENDACIONES</w:t>
      </w:r>
    </w:p>
    <w:p w14:paraId="3149D164" w14:textId="77777777" w:rsidR="00FB4771" w:rsidRDefault="00FB4771" w:rsidP="00FB4771">
      <w:pPr>
        <w:spacing w:after="0" w:line="360" w:lineRule="auto"/>
        <w:jc w:val="both"/>
        <w:rPr>
          <w:rFonts w:ascii="Times New Roman" w:hAnsi="Times New Roman" w:cs="Times New Roman"/>
          <w:bCs/>
          <w:sz w:val="24"/>
          <w:szCs w:val="24"/>
          <w:lang w:val="es-MX"/>
        </w:rPr>
      </w:pPr>
    </w:p>
    <w:p w14:paraId="77F2A412" w14:textId="77777777" w:rsidR="00FB4771" w:rsidRDefault="00FB4771" w:rsidP="00FB4771">
      <w:pPr>
        <w:spacing w:after="0" w:line="360" w:lineRule="auto"/>
        <w:jc w:val="both"/>
        <w:rPr>
          <w:b/>
          <w:bCs/>
        </w:rPr>
      </w:pPr>
      <w:r>
        <w:rPr>
          <w:rFonts w:ascii="Times New Roman" w:hAnsi="Times New Roman" w:cs="Times New Roman"/>
          <w:b/>
          <w:bCs/>
          <w:sz w:val="24"/>
          <w:szCs w:val="24"/>
          <w:lang w:val="es-MX"/>
        </w:rPr>
        <w:t>Al Ministerio de Salud:</w:t>
      </w:r>
    </w:p>
    <w:p w14:paraId="328D2FF7" w14:textId="77777777" w:rsidR="00FB4771" w:rsidRDefault="00FB4771" w:rsidP="00FB4771">
      <w:pPr>
        <w:spacing w:after="0" w:line="360" w:lineRule="auto"/>
        <w:jc w:val="both"/>
      </w:pPr>
      <w:r>
        <w:rPr>
          <w:rFonts w:ascii="Times New Roman" w:hAnsi="Times New Roman" w:cs="Times New Roman"/>
          <w:sz w:val="24"/>
          <w:szCs w:val="24"/>
          <w:lang w:val="es-MX"/>
        </w:rPr>
        <w:t>1.- Actualización y Difusión de la normativa Normativa - 025 “Guía Para El Diagnóstico Y Tratamiento De Las Enfermedades Renales En Niños” en las unidades de salud.</w:t>
      </w:r>
    </w:p>
    <w:p w14:paraId="6D75E015" w14:textId="77777777" w:rsidR="00FB4771" w:rsidRDefault="00FB4771" w:rsidP="00FB4771">
      <w:pPr>
        <w:spacing w:after="0" w:line="360" w:lineRule="auto"/>
        <w:jc w:val="both"/>
        <w:rPr>
          <w:rFonts w:ascii="Times New Roman" w:hAnsi="Times New Roman" w:cs="Times New Roman"/>
          <w:sz w:val="24"/>
          <w:szCs w:val="24"/>
          <w:lang w:val="es-MX"/>
        </w:rPr>
      </w:pPr>
    </w:p>
    <w:p w14:paraId="5E227F29" w14:textId="77777777" w:rsidR="00FB4771" w:rsidRDefault="00FB4771" w:rsidP="00FB4771">
      <w:pPr>
        <w:spacing w:after="0" w:line="360" w:lineRule="auto"/>
        <w:jc w:val="both"/>
        <w:rPr>
          <w:b/>
          <w:bCs/>
        </w:rPr>
      </w:pPr>
      <w:r>
        <w:rPr>
          <w:rFonts w:ascii="Times New Roman" w:hAnsi="Times New Roman" w:cs="Times New Roman"/>
          <w:b/>
          <w:bCs/>
          <w:sz w:val="24"/>
          <w:szCs w:val="24"/>
          <w:lang w:val="es-MX"/>
        </w:rPr>
        <w:t>Al hospital y servicio de pediatría:</w:t>
      </w:r>
    </w:p>
    <w:p w14:paraId="6C7539B5" w14:textId="77777777" w:rsidR="00FB4771" w:rsidRDefault="00FB4771" w:rsidP="00FB4771">
      <w:pPr>
        <w:spacing w:after="0" w:line="360" w:lineRule="auto"/>
        <w:jc w:val="both"/>
      </w:pPr>
      <w:r>
        <w:rPr>
          <w:rFonts w:ascii="Times New Roman" w:hAnsi="Times New Roman" w:cs="Times New Roman"/>
          <w:sz w:val="24"/>
          <w:szCs w:val="24"/>
          <w:lang w:val="es-MX"/>
        </w:rPr>
        <w:t>2.- Capacitación frecuente al personal asistencial del hospital en contacto con la consulta pediátrica en base a guías nacionales e internacionales actualizadas.</w:t>
      </w:r>
    </w:p>
    <w:p w14:paraId="6833D195" w14:textId="77777777" w:rsidR="00FB4771" w:rsidRDefault="00FB4771" w:rsidP="00FB4771">
      <w:pPr>
        <w:spacing w:after="0" w:line="360" w:lineRule="auto"/>
        <w:jc w:val="both"/>
      </w:pPr>
      <w:r>
        <w:rPr>
          <w:rFonts w:ascii="Times New Roman" w:hAnsi="Times New Roman" w:cs="Times New Roman"/>
          <w:sz w:val="24"/>
          <w:szCs w:val="24"/>
          <w:lang w:val="es-MX"/>
        </w:rPr>
        <w:t>3. Garantizar el cumplimiento de la normativa 025.</w:t>
      </w:r>
    </w:p>
    <w:p w14:paraId="26FC32A6" w14:textId="77777777" w:rsidR="00FB4771" w:rsidRDefault="00FB4771" w:rsidP="00FB4771">
      <w:pPr>
        <w:spacing w:after="0" w:line="360" w:lineRule="auto"/>
        <w:jc w:val="both"/>
      </w:pPr>
      <w:r>
        <w:rPr>
          <w:rFonts w:ascii="Times New Roman" w:hAnsi="Times New Roman" w:cs="Times New Roman"/>
          <w:sz w:val="24"/>
          <w:szCs w:val="24"/>
          <w:lang w:val="es-MX"/>
        </w:rPr>
        <w:t>4. Monitorear la utilización del protocolo para el manejo de las infecciones de tracto urinario en el servicio de pediatría.</w:t>
      </w:r>
    </w:p>
    <w:p w14:paraId="342FC4E6" w14:textId="77777777" w:rsidR="00FB4771" w:rsidRDefault="00FB4771" w:rsidP="00FB4771">
      <w:pPr>
        <w:spacing w:after="0" w:line="360" w:lineRule="auto"/>
        <w:jc w:val="both"/>
      </w:pPr>
      <w:r>
        <w:rPr>
          <w:rFonts w:ascii="Times New Roman" w:hAnsi="Times New Roman" w:cs="Times New Roman"/>
          <w:sz w:val="24"/>
          <w:szCs w:val="24"/>
          <w:lang w:val="es-MX"/>
        </w:rPr>
        <w:t>5. Promover la educación a los padres y tutores de los pacientes sobre la prevención de las infecciones de tracto urinario.</w:t>
      </w:r>
    </w:p>
    <w:p w14:paraId="27A1870B" w14:textId="77777777" w:rsidR="00FB4771" w:rsidRDefault="00FB4771" w:rsidP="00FB4771">
      <w:pPr>
        <w:spacing w:after="0" w:line="360" w:lineRule="auto"/>
        <w:jc w:val="both"/>
      </w:pPr>
      <w:r>
        <w:rPr>
          <w:rFonts w:ascii="Times New Roman" w:hAnsi="Times New Roman" w:cs="Times New Roman"/>
          <w:sz w:val="24"/>
          <w:szCs w:val="24"/>
          <w:lang w:val="es-MX"/>
        </w:rPr>
        <w:t>6. Considerar la realización de nuevos estudios sobre infecciones de tracto urinario en el servicio de pediatría.</w:t>
      </w:r>
    </w:p>
    <w:p w14:paraId="7AC68284" w14:textId="77777777" w:rsidR="00FB4771" w:rsidRDefault="00FB4771" w:rsidP="00FB4771">
      <w:pPr>
        <w:spacing w:after="0" w:line="360" w:lineRule="auto"/>
        <w:jc w:val="both"/>
      </w:pPr>
      <w:r>
        <w:rPr>
          <w:rFonts w:ascii="Times New Roman" w:hAnsi="Times New Roman" w:cs="Times New Roman"/>
          <w:sz w:val="24"/>
          <w:szCs w:val="24"/>
          <w:lang w:val="es-MX"/>
        </w:rPr>
        <w:t>7. La realización de urocultivo de manera frecuente, con el propósito de buscar el agente etiológico para prevenir las recurrencias.</w:t>
      </w:r>
    </w:p>
    <w:p w14:paraId="2C89F3C5" w14:textId="77777777" w:rsidR="00FB4771" w:rsidRDefault="00FB4771" w:rsidP="00FB4771">
      <w:pPr>
        <w:spacing w:after="0" w:line="360" w:lineRule="auto"/>
        <w:jc w:val="both"/>
        <w:rPr>
          <w:rFonts w:ascii="Times New Roman" w:hAnsi="Times New Roman" w:cs="Times New Roman"/>
          <w:sz w:val="24"/>
          <w:szCs w:val="24"/>
          <w:lang w:val="es-MX"/>
        </w:rPr>
      </w:pPr>
    </w:p>
    <w:p w14:paraId="4359A31C" w14:textId="77777777" w:rsidR="00FB4771" w:rsidRDefault="00FB4771" w:rsidP="00FB4771">
      <w:pPr>
        <w:spacing w:after="0" w:line="360" w:lineRule="auto"/>
        <w:jc w:val="both"/>
        <w:rPr>
          <w:b/>
          <w:bCs/>
        </w:rPr>
      </w:pPr>
      <w:r>
        <w:rPr>
          <w:rFonts w:ascii="Times New Roman" w:hAnsi="Times New Roman" w:cs="Times New Roman"/>
          <w:b/>
          <w:bCs/>
          <w:sz w:val="24"/>
          <w:szCs w:val="24"/>
          <w:lang w:val="es-MX"/>
        </w:rPr>
        <w:t>Al personal médico</w:t>
      </w:r>
    </w:p>
    <w:p w14:paraId="60D33B24" w14:textId="77777777" w:rsidR="00FB4771" w:rsidRDefault="00FB4771" w:rsidP="00FB4771">
      <w:pPr>
        <w:spacing w:after="0" w:line="360" w:lineRule="auto"/>
        <w:jc w:val="both"/>
      </w:pPr>
      <w:r>
        <w:rPr>
          <w:rFonts w:ascii="Times New Roman" w:hAnsi="Times New Roman" w:cs="Times New Roman"/>
          <w:sz w:val="24"/>
          <w:szCs w:val="24"/>
          <w:lang w:val="es-MX"/>
        </w:rPr>
        <w:t>8. Promover el uso racional de antibióticos en la población.</w:t>
      </w:r>
    </w:p>
    <w:p w14:paraId="176414AF" w14:textId="77777777" w:rsidR="002E39D2" w:rsidRPr="00975144" w:rsidRDefault="002E39D2" w:rsidP="002E39D2">
      <w:pPr>
        <w:spacing w:after="0" w:line="360" w:lineRule="auto"/>
        <w:jc w:val="both"/>
        <w:rPr>
          <w:rFonts w:ascii="Times New Roman" w:hAnsi="Times New Roman" w:cs="Times New Roman"/>
          <w:sz w:val="24"/>
          <w:szCs w:val="24"/>
        </w:rPr>
      </w:pPr>
    </w:p>
    <w:p w14:paraId="2828F483" w14:textId="77777777" w:rsidR="002E39D2" w:rsidRDefault="002E39D2" w:rsidP="002E39D2">
      <w:pPr>
        <w:spacing w:after="0" w:line="360" w:lineRule="auto"/>
        <w:jc w:val="both"/>
        <w:rPr>
          <w:rFonts w:ascii="Times New Roman" w:hAnsi="Times New Roman" w:cs="Times New Roman"/>
          <w:sz w:val="24"/>
          <w:szCs w:val="24"/>
          <w:lang w:val="es-MX"/>
        </w:rPr>
      </w:pPr>
    </w:p>
    <w:p w14:paraId="4C2E051F" w14:textId="77777777" w:rsidR="00752FF8" w:rsidRDefault="00752FF8" w:rsidP="00752FF8">
      <w:pPr>
        <w:spacing w:after="0" w:line="360" w:lineRule="auto"/>
        <w:jc w:val="both"/>
      </w:pPr>
    </w:p>
    <w:p w14:paraId="1CFFDE33" w14:textId="77777777" w:rsidR="000840C9" w:rsidRDefault="000840C9">
      <w:pPr>
        <w:spacing w:after="0" w:line="240" w:lineRule="auto"/>
      </w:pPr>
    </w:p>
    <w:p w14:paraId="44B3B961" w14:textId="77777777" w:rsidR="000840C9" w:rsidRDefault="000840C9">
      <w:pPr>
        <w:spacing w:after="0" w:line="240" w:lineRule="auto"/>
      </w:pPr>
    </w:p>
    <w:p w14:paraId="559BC05E" w14:textId="1EFC00B4" w:rsidR="0073645A" w:rsidRDefault="0073645A">
      <w:pPr>
        <w:spacing w:after="0" w:line="240" w:lineRule="auto"/>
      </w:pPr>
      <w:r>
        <w:br w:type="page"/>
      </w:r>
    </w:p>
    <w:p w14:paraId="532FC4BE" w14:textId="13D22B6C" w:rsidR="00F21220" w:rsidRDefault="00FB4771" w:rsidP="00F21220">
      <w:pPr>
        <w:spacing w:after="0" w:line="360" w:lineRule="auto"/>
        <w:jc w:val="center"/>
        <w:rPr>
          <w:b/>
          <w:bCs/>
          <w:sz w:val="28"/>
          <w:szCs w:val="28"/>
        </w:rPr>
      </w:pPr>
      <w:r>
        <w:rPr>
          <w:rFonts w:ascii="Times New Roman" w:hAnsi="Times New Roman" w:cs="Times New Roman"/>
          <w:b/>
          <w:bCs/>
          <w:sz w:val="28"/>
          <w:szCs w:val="28"/>
        </w:rPr>
        <w:lastRenderedPageBreak/>
        <w:t xml:space="preserve">XII. </w:t>
      </w:r>
      <w:r w:rsidR="00F21220">
        <w:rPr>
          <w:rFonts w:ascii="Times New Roman" w:hAnsi="Times New Roman" w:cs="Times New Roman"/>
          <w:b/>
          <w:bCs/>
          <w:sz w:val="28"/>
          <w:szCs w:val="28"/>
        </w:rPr>
        <w:t>Bibliografía</w:t>
      </w:r>
    </w:p>
    <w:p w14:paraId="4EF4BE49" w14:textId="77777777" w:rsidR="0073645A" w:rsidRPr="0073645A" w:rsidRDefault="0073645A" w:rsidP="0073645A">
      <w:pPr>
        <w:spacing w:after="0"/>
        <w:jc w:val="both"/>
        <w:rPr>
          <w:rFonts w:ascii="Times New Roman" w:hAnsi="Times New Roman" w:cs="Times New Roman"/>
          <w:sz w:val="24"/>
          <w:szCs w:val="24"/>
        </w:rPr>
      </w:pPr>
    </w:p>
    <w:p w14:paraId="1E34D289"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w:t>
      </w:r>
      <w:r w:rsidRPr="0073645A">
        <w:rPr>
          <w:rFonts w:ascii="Times New Roman" w:hAnsi="Times New Roman" w:cs="Times New Roman"/>
          <w:sz w:val="24"/>
          <w:szCs w:val="24"/>
        </w:rPr>
        <w:tab/>
        <w:t xml:space="preserve">Aburto E. Lombardo. Criterios pediátricos, Abordaje pediátrico de las infecciones de vías urinarias. Acta pediátrica de México. versión On-line ISSN 2395-8235versión impresa ISSN 0186-2391. Acta </w:t>
      </w:r>
      <w:proofErr w:type="spellStart"/>
      <w:r w:rsidRPr="0073645A">
        <w:rPr>
          <w:rFonts w:ascii="Times New Roman" w:hAnsi="Times New Roman" w:cs="Times New Roman"/>
          <w:sz w:val="24"/>
          <w:szCs w:val="24"/>
        </w:rPr>
        <w:t>pediatr</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Méx</w:t>
      </w:r>
      <w:proofErr w:type="spellEnd"/>
      <w:r w:rsidRPr="0073645A">
        <w:rPr>
          <w:rFonts w:ascii="Times New Roman" w:hAnsi="Times New Roman" w:cs="Times New Roman"/>
          <w:sz w:val="24"/>
          <w:szCs w:val="24"/>
        </w:rPr>
        <w:t xml:space="preserve"> vol.39 no.1 México ene./feb. 2018 https://doi.org/10.18233/apm1no1pp85-901544.</w:t>
      </w:r>
    </w:p>
    <w:p w14:paraId="6B7D8757" w14:textId="77777777" w:rsidR="0073645A" w:rsidRPr="0073645A" w:rsidRDefault="0073645A" w:rsidP="0073645A">
      <w:pPr>
        <w:spacing w:after="0"/>
        <w:jc w:val="both"/>
        <w:rPr>
          <w:rFonts w:ascii="Times New Roman" w:hAnsi="Times New Roman" w:cs="Times New Roman"/>
          <w:sz w:val="24"/>
          <w:szCs w:val="24"/>
        </w:rPr>
      </w:pPr>
    </w:p>
    <w:p w14:paraId="49BE0FF0"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2.</w:t>
      </w:r>
      <w:r w:rsidRPr="0073645A">
        <w:rPr>
          <w:rFonts w:ascii="Times New Roman" w:hAnsi="Times New Roman" w:cs="Times New Roman"/>
          <w:sz w:val="24"/>
          <w:szCs w:val="24"/>
        </w:rPr>
        <w:tab/>
        <w:t xml:space="preserve">Amaya Sorto T, Durán </w:t>
      </w:r>
      <w:proofErr w:type="spellStart"/>
      <w:r w:rsidRPr="0073645A">
        <w:rPr>
          <w:rFonts w:ascii="Times New Roman" w:hAnsi="Times New Roman" w:cs="Times New Roman"/>
          <w:sz w:val="24"/>
          <w:szCs w:val="24"/>
        </w:rPr>
        <w:t>Alvarez</w:t>
      </w:r>
      <w:proofErr w:type="spellEnd"/>
      <w:r w:rsidRPr="0073645A">
        <w:rPr>
          <w:rFonts w:ascii="Times New Roman" w:hAnsi="Times New Roman" w:cs="Times New Roman"/>
          <w:sz w:val="24"/>
          <w:szCs w:val="24"/>
        </w:rPr>
        <w:t xml:space="preserve"> S, et. Al; daño renal cortical en niños con primera infección del tracto urinario alto. Revista cubana de Pediatría. 2012; 45 84(1): 58-66. Disponible en: http://www.bvs.sld.cu/revistas/ped/vol84_1_12/ped06112.htm</w:t>
      </w:r>
    </w:p>
    <w:p w14:paraId="1B76436E" w14:textId="77777777" w:rsidR="0073645A" w:rsidRPr="0073645A" w:rsidRDefault="0073645A" w:rsidP="0073645A">
      <w:pPr>
        <w:spacing w:after="0"/>
        <w:jc w:val="both"/>
        <w:rPr>
          <w:rFonts w:ascii="Times New Roman" w:hAnsi="Times New Roman" w:cs="Times New Roman"/>
          <w:sz w:val="24"/>
          <w:szCs w:val="24"/>
        </w:rPr>
      </w:pPr>
    </w:p>
    <w:p w14:paraId="23059340"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3.</w:t>
      </w:r>
      <w:r w:rsidRPr="0073645A">
        <w:rPr>
          <w:rFonts w:ascii="Times New Roman" w:hAnsi="Times New Roman" w:cs="Times New Roman"/>
          <w:sz w:val="24"/>
          <w:szCs w:val="24"/>
        </w:rPr>
        <w:tab/>
        <w:t>Arias J, Ochoa M, Marcano L. Prevalencia de infección del tracto urinario y factores asociados en pacientes de 0 a 5 años hospitalizados. Cuenca, Ecuador 2021.</w:t>
      </w:r>
    </w:p>
    <w:p w14:paraId="27EED23F" w14:textId="77777777" w:rsidR="0073645A" w:rsidRPr="0073645A" w:rsidRDefault="0073645A" w:rsidP="0073645A">
      <w:pPr>
        <w:spacing w:after="0"/>
        <w:jc w:val="both"/>
        <w:rPr>
          <w:rFonts w:ascii="Times New Roman" w:hAnsi="Times New Roman" w:cs="Times New Roman"/>
          <w:sz w:val="24"/>
          <w:szCs w:val="24"/>
        </w:rPr>
      </w:pPr>
    </w:p>
    <w:p w14:paraId="1004861E"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4.</w:t>
      </w:r>
      <w:r w:rsidRPr="0073645A">
        <w:rPr>
          <w:rFonts w:ascii="Times New Roman" w:hAnsi="Times New Roman" w:cs="Times New Roman"/>
          <w:sz w:val="24"/>
          <w:szCs w:val="24"/>
        </w:rPr>
        <w:tab/>
        <w:t xml:space="preserve">Benavides Castillo, </w:t>
      </w:r>
      <w:proofErr w:type="spellStart"/>
      <w:r w:rsidRPr="0073645A">
        <w:rPr>
          <w:rFonts w:ascii="Times New Roman" w:hAnsi="Times New Roman" w:cs="Times New Roman"/>
          <w:sz w:val="24"/>
          <w:szCs w:val="24"/>
        </w:rPr>
        <w:t>Geysel</w:t>
      </w:r>
      <w:proofErr w:type="spellEnd"/>
      <w:r w:rsidRPr="0073645A">
        <w:rPr>
          <w:rFonts w:ascii="Times New Roman" w:hAnsi="Times New Roman" w:cs="Times New Roman"/>
          <w:sz w:val="24"/>
          <w:szCs w:val="24"/>
        </w:rPr>
        <w:t xml:space="preserve"> Marisela. “Comportamiento clínico y epidemiológico de las infecciones de vías urinarias en niños de 1 mes a 5 años atendidos en el área de medicina pediátrica del Hospital Escuela Oscar Danilo Rosales Arguello, 2019- 2021”. Tesis para optar al título de Especialista en Pediatría. 2022</w:t>
      </w:r>
    </w:p>
    <w:p w14:paraId="1899EE77" w14:textId="77777777" w:rsidR="0073645A" w:rsidRPr="0073645A" w:rsidRDefault="0073645A" w:rsidP="0073645A">
      <w:pPr>
        <w:spacing w:after="0"/>
        <w:jc w:val="both"/>
        <w:rPr>
          <w:rFonts w:ascii="Times New Roman" w:hAnsi="Times New Roman" w:cs="Times New Roman"/>
          <w:sz w:val="24"/>
          <w:szCs w:val="24"/>
        </w:rPr>
      </w:pPr>
    </w:p>
    <w:p w14:paraId="645DFC3B"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5.</w:t>
      </w:r>
      <w:r w:rsidRPr="0073645A">
        <w:rPr>
          <w:rFonts w:ascii="Times New Roman" w:hAnsi="Times New Roman" w:cs="Times New Roman"/>
          <w:sz w:val="24"/>
          <w:szCs w:val="24"/>
        </w:rPr>
        <w:tab/>
      </w:r>
      <w:proofErr w:type="spellStart"/>
      <w:r w:rsidRPr="0073645A">
        <w:rPr>
          <w:rFonts w:ascii="Times New Roman" w:hAnsi="Times New Roman" w:cs="Times New Roman"/>
          <w:sz w:val="24"/>
          <w:szCs w:val="24"/>
        </w:rPr>
        <w:t>Boaz</w:t>
      </w:r>
      <w:proofErr w:type="spellEnd"/>
      <w:r w:rsidRPr="0073645A">
        <w:rPr>
          <w:rFonts w:ascii="Times New Roman" w:hAnsi="Times New Roman" w:cs="Times New Roman"/>
          <w:sz w:val="24"/>
          <w:szCs w:val="24"/>
        </w:rPr>
        <w:t xml:space="preserve"> et al.  </w:t>
      </w:r>
      <w:r w:rsidRPr="0073645A">
        <w:rPr>
          <w:rFonts w:ascii="Times New Roman" w:hAnsi="Times New Roman" w:cs="Times New Roman"/>
          <w:sz w:val="24"/>
          <w:szCs w:val="24"/>
          <w:lang w:val="en-US"/>
        </w:rPr>
        <w:t xml:space="preserve">ACR Appropriateness Criteria ® Urinary Tract Infection-Child. </w:t>
      </w:r>
      <w:r w:rsidRPr="0073645A">
        <w:rPr>
          <w:rFonts w:ascii="Times New Roman" w:hAnsi="Times New Roman" w:cs="Times New Roman"/>
          <w:sz w:val="24"/>
          <w:szCs w:val="24"/>
        </w:rPr>
        <w:t xml:space="preserve">J Am Coll </w:t>
      </w:r>
      <w:proofErr w:type="spellStart"/>
      <w:r w:rsidRPr="0073645A">
        <w:rPr>
          <w:rFonts w:ascii="Times New Roman" w:hAnsi="Times New Roman" w:cs="Times New Roman"/>
          <w:sz w:val="24"/>
          <w:szCs w:val="24"/>
        </w:rPr>
        <w:t>Radiol</w:t>
      </w:r>
      <w:proofErr w:type="spellEnd"/>
      <w:r w:rsidRPr="0073645A">
        <w:rPr>
          <w:rFonts w:ascii="Times New Roman" w:hAnsi="Times New Roman" w:cs="Times New Roman"/>
          <w:sz w:val="24"/>
          <w:szCs w:val="24"/>
        </w:rPr>
        <w:t>. 2017; 15</w:t>
      </w:r>
    </w:p>
    <w:p w14:paraId="04A25BB3" w14:textId="77777777" w:rsidR="0073645A" w:rsidRPr="0073645A" w:rsidRDefault="0073645A" w:rsidP="0073645A">
      <w:pPr>
        <w:spacing w:after="0"/>
        <w:jc w:val="both"/>
        <w:rPr>
          <w:rFonts w:ascii="Times New Roman" w:hAnsi="Times New Roman" w:cs="Times New Roman"/>
          <w:sz w:val="24"/>
          <w:szCs w:val="24"/>
        </w:rPr>
      </w:pPr>
    </w:p>
    <w:p w14:paraId="63A48398"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6.</w:t>
      </w:r>
      <w:r w:rsidRPr="0073645A">
        <w:rPr>
          <w:rFonts w:ascii="Times New Roman" w:hAnsi="Times New Roman" w:cs="Times New Roman"/>
          <w:sz w:val="24"/>
          <w:szCs w:val="24"/>
        </w:rPr>
        <w:tab/>
        <w:t xml:space="preserve">Cueto Huapaya, et al. Factores asociados a Infección del Tracto Urinario en recién nacidos y lactantes hospitalizados en el Hospital Militar Central, Lima-2019. Facultad de Ciencias de la Salud Escuela Académico Profesional de Medicina Humana </w:t>
      </w:r>
      <w:proofErr w:type="spellStart"/>
      <w:r w:rsidRPr="0073645A">
        <w:rPr>
          <w:rFonts w:ascii="Times New Roman" w:hAnsi="Times New Roman" w:cs="Times New Roman"/>
          <w:sz w:val="24"/>
          <w:szCs w:val="24"/>
        </w:rPr>
        <w:t>huancayo</w:t>
      </w:r>
      <w:proofErr w:type="spellEnd"/>
      <w:r w:rsidRPr="0073645A">
        <w:rPr>
          <w:rFonts w:ascii="Times New Roman" w:hAnsi="Times New Roman" w:cs="Times New Roman"/>
          <w:sz w:val="24"/>
          <w:szCs w:val="24"/>
        </w:rPr>
        <w:t xml:space="preserve">, Lima, </w:t>
      </w:r>
      <w:proofErr w:type="spellStart"/>
      <w:r w:rsidRPr="0073645A">
        <w:rPr>
          <w:rFonts w:ascii="Times New Roman" w:hAnsi="Times New Roman" w:cs="Times New Roman"/>
          <w:sz w:val="24"/>
          <w:szCs w:val="24"/>
        </w:rPr>
        <w:t>Peru</w:t>
      </w:r>
      <w:proofErr w:type="spellEnd"/>
      <w:r w:rsidRPr="0073645A">
        <w:rPr>
          <w:rFonts w:ascii="Times New Roman" w:hAnsi="Times New Roman" w:cs="Times New Roman"/>
          <w:sz w:val="24"/>
          <w:szCs w:val="24"/>
        </w:rPr>
        <w:t xml:space="preserve"> 2022.</w:t>
      </w:r>
    </w:p>
    <w:p w14:paraId="39594672" w14:textId="77777777" w:rsidR="0073645A" w:rsidRPr="0073645A" w:rsidRDefault="0073645A" w:rsidP="0073645A">
      <w:pPr>
        <w:spacing w:after="0"/>
        <w:jc w:val="both"/>
        <w:rPr>
          <w:rFonts w:ascii="Times New Roman" w:hAnsi="Times New Roman" w:cs="Times New Roman"/>
          <w:sz w:val="24"/>
          <w:szCs w:val="24"/>
        </w:rPr>
      </w:pPr>
    </w:p>
    <w:p w14:paraId="30F0504B" w14:textId="77777777" w:rsidR="0073645A" w:rsidRPr="0073645A" w:rsidRDefault="0073645A" w:rsidP="0073645A">
      <w:pPr>
        <w:spacing w:after="0"/>
        <w:jc w:val="both"/>
        <w:rPr>
          <w:rFonts w:ascii="Times New Roman" w:hAnsi="Times New Roman" w:cs="Times New Roman"/>
          <w:sz w:val="24"/>
          <w:szCs w:val="24"/>
          <w:lang w:val="en-US"/>
        </w:rPr>
      </w:pPr>
      <w:r w:rsidRPr="0073645A">
        <w:rPr>
          <w:rFonts w:ascii="Times New Roman" w:hAnsi="Times New Roman" w:cs="Times New Roman"/>
          <w:sz w:val="24"/>
          <w:szCs w:val="24"/>
        </w:rPr>
        <w:t>7.</w:t>
      </w:r>
      <w:r w:rsidRPr="0073645A">
        <w:rPr>
          <w:rFonts w:ascii="Times New Roman" w:hAnsi="Times New Roman" w:cs="Times New Roman"/>
          <w:sz w:val="24"/>
          <w:szCs w:val="24"/>
        </w:rPr>
        <w:tab/>
        <w:t xml:space="preserve">Domènech </w:t>
      </w:r>
      <w:proofErr w:type="spellStart"/>
      <w:r w:rsidRPr="0073645A">
        <w:rPr>
          <w:rFonts w:ascii="Times New Roman" w:hAnsi="Times New Roman" w:cs="Times New Roman"/>
          <w:sz w:val="24"/>
          <w:szCs w:val="24"/>
        </w:rPr>
        <w:t>Marsal</w:t>
      </w:r>
      <w:proofErr w:type="spellEnd"/>
      <w:r w:rsidRPr="0073645A">
        <w:rPr>
          <w:rFonts w:ascii="Times New Roman" w:hAnsi="Times New Roman" w:cs="Times New Roman"/>
          <w:sz w:val="24"/>
          <w:szCs w:val="24"/>
        </w:rPr>
        <w:t xml:space="preserve"> Elia, Carlos Rodrigo Gonzalo de Liria, Unidad de Enfermedades Infecciosas Pediátricas. Servicio de Pediatría. Hospital Universitario </w:t>
      </w:r>
      <w:proofErr w:type="spellStart"/>
      <w:r w:rsidRPr="0073645A">
        <w:rPr>
          <w:rFonts w:ascii="Times New Roman" w:hAnsi="Times New Roman" w:cs="Times New Roman"/>
          <w:sz w:val="24"/>
          <w:szCs w:val="24"/>
        </w:rPr>
        <w:t>Germans</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Trias</w:t>
      </w:r>
      <w:proofErr w:type="spellEnd"/>
      <w:r w:rsidRPr="0073645A">
        <w:rPr>
          <w:rFonts w:ascii="Times New Roman" w:hAnsi="Times New Roman" w:cs="Times New Roman"/>
          <w:sz w:val="24"/>
          <w:szCs w:val="24"/>
        </w:rPr>
        <w:t xml:space="preserve"> y Pujol de Badalona. </w:t>
      </w:r>
      <w:proofErr w:type="spellStart"/>
      <w:r w:rsidRPr="0073645A">
        <w:rPr>
          <w:rFonts w:ascii="Times New Roman" w:hAnsi="Times New Roman" w:cs="Times New Roman"/>
          <w:sz w:val="24"/>
          <w:szCs w:val="24"/>
        </w:rPr>
        <w:t>Universitat</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Autònoma</w:t>
      </w:r>
      <w:proofErr w:type="spellEnd"/>
      <w:r w:rsidRPr="0073645A">
        <w:rPr>
          <w:rFonts w:ascii="Times New Roman" w:hAnsi="Times New Roman" w:cs="Times New Roman"/>
          <w:sz w:val="24"/>
          <w:szCs w:val="24"/>
        </w:rPr>
        <w:t xml:space="preserve"> de Barcelona. Badalona, Barcelona. Infección urinaria. </w:t>
      </w:r>
      <w:proofErr w:type="spellStart"/>
      <w:r w:rsidRPr="0073645A">
        <w:rPr>
          <w:rFonts w:ascii="Times New Roman" w:hAnsi="Times New Roman" w:cs="Times New Roman"/>
          <w:sz w:val="24"/>
          <w:szCs w:val="24"/>
        </w:rPr>
        <w:t>Protoc</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diagn</w:t>
      </w:r>
      <w:proofErr w:type="spellEnd"/>
      <w:r w:rsidRPr="0073645A">
        <w:rPr>
          <w:rFonts w:ascii="Times New Roman" w:hAnsi="Times New Roman" w:cs="Times New Roman"/>
          <w:sz w:val="24"/>
          <w:szCs w:val="24"/>
        </w:rPr>
        <w:t xml:space="preserve"> ter </w:t>
      </w:r>
      <w:proofErr w:type="spellStart"/>
      <w:r w:rsidRPr="0073645A">
        <w:rPr>
          <w:rFonts w:ascii="Times New Roman" w:hAnsi="Times New Roman" w:cs="Times New Roman"/>
          <w:sz w:val="24"/>
          <w:szCs w:val="24"/>
        </w:rPr>
        <w:t>pediatr</w:t>
      </w:r>
      <w:proofErr w:type="spellEnd"/>
      <w:r w:rsidRPr="0073645A">
        <w:rPr>
          <w:rFonts w:ascii="Times New Roman" w:hAnsi="Times New Roman" w:cs="Times New Roman"/>
          <w:sz w:val="24"/>
          <w:szCs w:val="24"/>
        </w:rPr>
        <w:t xml:space="preserve">. </w:t>
      </w:r>
      <w:proofErr w:type="gramStart"/>
      <w:r w:rsidRPr="0073645A">
        <w:rPr>
          <w:rFonts w:ascii="Times New Roman" w:hAnsi="Times New Roman" w:cs="Times New Roman"/>
          <w:sz w:val="24"/>
          <w:szCs w:val="24"/>
          <w:lang w:val="en-US"/>
        </w:rPr>
        <w:t>2023;2:259</w:t>
      </w:r>
      <w:proofErr w:type="gramEnd"/>
      <w:r w:rsidRPr="0073645A">
        <w:rPr>
          <w:rFonts w:ascii="Times New Roman" w:hAnsi="Times New Roman" w:cs="Times New Roman"/>
          <w:sz w:val="24"/>
          <w:szCs w:val="24"/>
          <w:lang w:val="en-US"/>
        </w:rPr>
        <w:t xml:space="preserve">-269. </w:t>
      </w:r>
    </w:p>
    <w:p w14:paraId="0E450EA9" w14:textId="77777777" w:rsidR="0073645A" w:rsidRPr="0073645A" w:rsidRDefault="0073645A" w:rsidP="0073645A">
      <w:pPr>
        <w:spacing w:after="0"/>
        <w:jc w:val="both"/>
        <w:rPr>
          <w:rFonts w:ascii="Times New Roman" w:hAnsi="Times New Roman" w:cs="Times New Roman"/>
          <w:sz w:val="24"/>
          <w:szCs w:val="24"/>
          <w:lang w:val="en-US"/>
        </w:rPr>
      </w:pPr>
    </w:p>
    <w:p w14:paraId="0A5032D4"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lang w:val="en-US"/>
        </w:rPr>
        <w:t>8.</w:t>
      </w:r>
      <w:r w:rsidRPr="0073645A">
        <w:rPr>
          <w:rFonts w:ascii="Times New Roman" w:hAnsi="Times New Roman" w:cs="Times New Roman"/>
          <w:sz w:val="24"/>
          <w:szCs w:val="24"/>
          <w:lang w:val="en-US"/>
        </w:rPr>
        <w:tab/>
      </w:r>
      <w:proofErr w:type="spellStart"/>
      <w:r w:rsidRPr="0073645A">
        <w:rPr>
          <w:rFonts w:ascii="Times New Roman" w:hAnsi="Times New Roman" w:cs="Times New Roman"/>
          <w:sz w:val="24"/>
          <w:szCs w:val="24"/>
          <w:lang w:val="en-US"/>
        </w:rPr>
        <w:t>Garout</w:t>
      </w:r>
      <w:proofErr w:type="spellEnd"/>
      <w:r w:rsidRPr="0073645A">
        <w:rPr>
          <w:rFonts w:ascii="Times New Roman" w:hAnsi="Times New Roman" w:cs="Times New Roman"/>
          <w:sz w:val="24"/>
          <w:szCs w:val="24"/>
          <w:lang w:val="en-US"/>
        </w:rPr>
        <w:t xml:space="preserve"> WA, Kurdi HS, </w:t>
      </w:r>
      <w:proofErr w:type="spellStart"/>
      <w:r w:rsidRPr="0073645A">
        <w:rPr>
          <w:rFonts w:ascii="Times New Roman" w:hAnsi="Times New Roman" w:cs="Times New Roman"/>
          <w:sz w:val="24"/>
          <w:szCs w:val="24"/>
          <w:lang w:val="en-US"/>
        </w:rPr>
        <w:t>Shilli</w:t>
      </w:r>
      <w:proofErr w:type="spellEnd"/>
      <w:r w:rsidRPr="0073645A">
        <w:rPr>
          <w:rFonts w:ascii="Times New Roman" w:hAnsi="Times New Roman" w:cs="Times New Roman"/>
          <w:sz w:val="24"/>
          <w:szCs w:val="24"/>
          <w:lang w:val="en-US"/>
        </w:rPr>
        <w:t xml:space="preserve"> AH, Kari JA. Urinary tract infection in children younger than 5 years. </w:t>
      </w:r>
      <w:proofErr w:type="spellStart"/>
      <w:r w:rsidRPr="0073645A">
        <w:rPr>
          <w:rFonts w:ascii="Times New Roman" w:hAnsi="Times New Roman" w:cs="Times New Roman"/>
          <w:sz w:val="24"/>
          <w:szCs w:val="24"/>
        </w:rPr>
        <w:t>Etiology</w:t>
      </w:r>
      <w:proofErr w:type="spellEnd"/>
      <w:r w:rsidRPr="0073645A">
        <w:rPr>
          <w:rFonts w:ascii="Times New Roman" w:hAnsi="Times New Roman" w:cs="Times New Roman"/>
          <w:sz w:val="24"/>
          <w:szCs w:val="24"/>
        </w:rPr>
        <w:t xml:space="preserve"> and </w:t>
      </w:r>
      <w:proofErr w:type="spellStart"/>
      <w:r w:rsidRPr="0073645A">
        <w:rPr>
          <w:rFonts w:ascii="Times New Roman" w:hAnsi="Times New Roman" w:cs="Times New Roman"/>
          <w:sz w:val="24"/>
          <w:szCs w:val="24"/>
        </w:rPr>
        <w:t>associated</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urological</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anomalies</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SaudiMed</w:t>
      </w:r>
      <w:proofErr w:type="spellEnd"/>
      <w:r w:rsidRPr="0073645A">
        <w:rPr>
          <w:rFonts w:ascii="Times New Roman" w:hAnsi="Times New Roman" w:cs="Times New Roman"/>
          <w:sz w:val="24"/>
          <w:szCs w:val="24"/>
        </w:rPr>
        <w:t xml:space="preserve"> J. abril de 2015;36(4):497–501.</w:t>
      </w:r>
    </w:p>
    <w:p w14:paraId="41BAA2CB" w14:textId="77777777" w:rsidR="0073645A" w:rsidRPr="0073645A" w:rsidRDefault="0073645A" w:rsidP="0073645A">
      <w:pPr>
        <w:spacing w:after="0"/>
        <w:jc w:val="both"/>
        <w:rPr>
          <w:rFonts w:ascii="Times New Roman" w:hAnsi="Times New Roman" w:cs="Times New Roman"/>
          <w:sz w:val="24"/>
          <w:szCs w:val="24"/>
        </w:rPr>
      </w:pPr>
    </w:p>
    <w:p w14:paraId="30040CEE"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9.</w:t>
      </w:r>
      <w:r w:rsidRPr="0073645A">
        <w:rPr>
          <w:rFonts w:ascii="Times New Roman" w:hAnsi="Times New Roman" w:cs="Times New Roman"/>
          <w:sz w:val="24"/>
          <w:szCs w:val="24"/>
        </w:rPr>
        <w:tab/>
        <w:t xml:space="preserve">González Rodríguez JD, Rodríguez Fernández LM. Infección de vías urinarias en la infancia. Unidad de Nefrología Pediátrica. HGU Santa Lucía. Complejo Hospitalario Universitario de Cartagena, Colombia. </w:t>
      </w:r>
      <w:proofErr w:type="spellStart"/>
      <w:r w:rsidRPr="0073645A">
        <w:rPr>
          <w:rFonts w:ascii="Times New Roman" w:hAnsi="Times New Roman" w:cs="Times New Roman"/>
          <w:sz w:val="24"/>
          <w:szCs w:val="24"/>
        </w:rPr>
        <w:t>Protoc</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diagn</w:t>
      </w:r>
      <w:proofErr w:type="spellEnd"/>
      <w:r w:rsidRPr="0073645A">
        <w:rPr>
          <w:rFonts w:ascii="Times New Roman" w:hAnsi="Times New Roman" w:cs="Times New Roman"/>
          <w:sz w:val="24"/>
          <w:szCs w:val="24"/>
        </w:rPr>
        <w:t xml:space="preserve"> ter </w:t>
      </w:r>
      <w:proofErr w:type="spellStart"/>
      <w:r w:rsidRPr="0073645A">
        <w:rPr>
          <w:rFonts w:ascii="Times New Roman" w:hAnsi="Times New Roman" w:cs="Times New Roman"/>
          <w:sz w:val="24"/>
          <w:szCs w:val="24"/>
        </w:rPr>
        <w:t>pediatr</w:t>
      </w:r>
      <w:proofErr w:type="spellEnd"/>
      <w:r w:rsidRPr="0073645A">
        <w:rPr>
          <w:rFonts w:ascii="Times New Roman" w:hAnsi="Times New Roman" w:cs="Times New Roman"/>
          <w:sz w:val="24"/>
          <w:szCs w:val="24"/>
        </w:rPr>
        <w:t xml:space="preserve">. </w:t>
      </w:r>
      <w:proofErr w:type="gramStart"/>
      <w:r w:rsidRPr="0073645A">
        <w:rPr>
          <w:rFonts w:ascii="Times New Roman" w:hAnsi="Times New Roman" w:cs="Times New Roman"/>
          <w:sz w:val="24"/>
          <w:szCs w:val="24"/>
        </w:rPr>
        <w:t>2014;1:91</w:t>
      </w:r>
      <w:proofErr w:type="gramEnd"/>
      <w:r w:rsidRPr="0073645A">
        <w:rPr>
          <w:rFonts w:ascii="Times New Roman" w:hAnsi="Times New Roman" w:cs="Times New Roman"/>
          <w:sz w:val="24"/>
          <w:szCs w:val="24"/>
        </w:rPr>
        <w:t>-108. Asociación Española de Pediatría. Protocolos actualizados al año 2014.</w:t>
      </w:r>
    </w:p>
    <w:p w14:paraId="2670CF5E" w14:textId="77777777" w:rsidR="0073645A" w:rsidRPr="0073645A" w:rsidRDefault="0073645A" w:rsidP="0073645A">
      <w:pPr>
        <w:spacing w:after="0"/>
        <w:jc w:val="both"/>
        <w:rPr>
          <w:rFonts w:ascii="Times New Roman" w:hAnsi="Times New Roman" w:cs="Times New Roman"/>
          <w:sz w:val="24"/>
          <w:szCs w:val="24"/>
        </w:rPr>
      </w:pPr>
    </w:p>
    <w:p w14:paraId="50D018DF"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10.</w:t>
      </w:r>
      <w:r w:rsidRPr="0073645A">
        <w:rPr>
          <w:rFonts w:ascii="Times New Roman" w:hAnsi="Times New Roman" w:cs="Times New Roman"/>
          <w:sz w:val="24"/>
          <w:szCs w:val="24"/>
        </w:rPr>
        <w:tab/>
        <w:t>Hinojosa ME. Factores de riesgo para infección del tracto urinario recurrente en el servicio de pediatría del Centro Médico Naval entre 2010-2016 Tesis Para Optar al Título Profesional De Médico Cirujano. HNERM Asesora de Tesis Lima, Perú. 2018.</w:t>
      </w:r>
    </w:p>
    <w:p w14:paraId="5A57070A" w14:textId="77777777" w:rsidR="0073645A" w:rsidRPr="0073645A" w:rsidRDefault="0073645A" w:rsidP="0073645A">
      <w:pPr>
        <w:spacing w:after="0"/>
        <w:jc w:val="both"/>
        <w:rPr>
          <w:rFonts w:ascii="Times New Roman" w:hAnsi="Times New Roman" w:cs="Times New Roman"/>
          <w:sz w:val="24"/>
          <w:szCs w:val="24"/>
        </w:rPr>
      </w:pPr>
    </w:p>
    <w:p w14:paraId="57B5F747"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lastRenderedPageBreak/>
        <w:t>11.</w:t>
      </w:r>
      <w:r w:rsidRPr="0073645A">
        <w:rPr>
          <w:rFonts w:ascii="Times New Roman" w:hAnsi="Times New Roman" w:cs="Times New Roman"/>
          <w:sz w:val="24"/>
          <w:szCs w:val="24"/>
        </w:rPr>
        <w:tab/>
        <w:t xml:space="preserve">Jarvis </w:t>
      </w:r>
      <w:proofErr w:type="spellStart"/>
      <w:r w:rsidRPr="0073645A">
        <w:rPr>
          <w:rFonts w:ascii="Times New Roman" w:hAnsi="Times New Roman" w:cs="Times New Roman"/>
          <w:sz w:val="24"/>
          <w:szCs w:val="24"/>
        </w:rPr>
        <w:t>Raraz</w:t>
      </w:r>
      <w:proofErr w:type="spellEnd"/>
      <w:r w:rsidRPr="0073645A">
        <w:rPr>
          <w:rFonts w:ascii="Times New Roman" w:hAnsi="Times New Roman" w:cs="Times New Roman"/>
          <w:sz w:val="24"/>
          <w:szCs w:val="24"/>
        </w:rPr>
        <w:t xml:space="preserve"> Vidal y Col. Resistencia antibiótica de </w:t>
      </w:r>
      <w:proofErr w:type="spellStart"/>
      <w:r w:rsidRPr="0073645A">
        <w:rPr>
          <w:rFonts w:ascii="Times New Roman" w:hAnsi="Times New Roman" w:cs="Times New Roman"/>
          <w:sz w:val="24"/>
          <w:szCs w:val="24"/>
        </w:rPr>
        <w:t>Escherichia</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coliy</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Staphylococcus</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saprophyticusen</w:t>
      </w:r>
      <w:proofErr w:type="spellEnd"/>
      <w:r w:rsidRPr="0073645A">
        <w:rPr>
          <w:rFonts w:ascii="Times New Roman" w:hAnsi="Times New Roman" w:cs="Times New Roman"/>
          <w:sz w:val="24"/>
          <w:szCs w:val="24"/>
        </w:rPr>
        <w:t xml:space="preserve"> la infección urinaria de un hospital público Perú. Boletín de </w:t>
      </w:r>
      <w:proofErr w:type="spellStart"/>
      <w:r w:rsidRPr="0073645A">
        <w:rPr>
          <w:rFonts w:ascii="Times New Roman" w:hAnsi="Times New Roman" w:cs="Times New Roman"/>
          <w:sz w:val="24"/>
          <w:szCs w:val="24"/>
        </w:rPr>
        <w:t>Malariología</w:t>
      </w:r>
      <w:proofErr w:type="spellEnd"/>
      <w:r w:rsidRPr="0073645A">
        <w:rPr>
          <w:rFonts w:ascii="Times New Roman" w:hAnsi="Times New Roman" w:cs="Times New Roman"/>
          <w:sz w:val="24"/>
          <w:szCs w:val="24"/>
        </w:rPr>
        <w:t xml:space="preserve"> y Salud Ambiental. Volumen LXI. Octubre -</w:t>
      </w:r>
      <w:proofErr w:type="gramStart"/>
      <w:r w:rsidRPr="0073645A">
        <w:rPr>
          <w:rFonts w:ascii="Times New Roman" w:hAnsi="Times New Roman" w:cs="Times New Roman"/>
          <w:sz w:val="24"/>
          <w:szCs w:val="24"/>
        </w:rPr>
        <w:t>Diciembre</w:t>
      </w:r>
      <w:proofErr w:type="gramEnd"/>
      <w:r w:rsidRPr="0073645A">
        <w:rPr>
          <w:rFonts w:ascii="Times New Roman" w:hAnsi="Times New Roman" w:cs="Times New Roman"/>
          <w:sz w:val="24"/>
          <w:szCs w:val="24"/>
        </w:rPr>
        <w:t xml:space="preserve"> 2021. ISSN:1690-4648. Vol. LXI (4), 633-641.</w:t>
      </w:r>
    </w:p>
    <w:p w14:paraId="7ADC472A" w14:textId="77777777" w:rsidR="0073645A" w:rsidRPr="0073645A" w:rsidRDefault="0073645A" w:rsidP="0073645A">
      <w:pPr>
        <w:spacing w:after="0"/>
        <w:jc w:val="both"/>
        <w:rPr>
          <w:rFonts w:ascii="Times New Roman" w:hAnsi="Times New Roman" w:cs="Times New Roman"/>
          <w:sz w:val="24"/>
          <w:szCs w:val="24"/>
        </w:rPr>
      </w:pPr>
    </w:p>
    <w:p w14:paraId="6FA3176E"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12.</w:t>
      </w:r>
      <w:r w:rsidRPr="0073645A">
        <w:rPr>
          <w:rFonts w:ascii="Times New Roman" w:hAnsi="Times New Roman" w:cs="Times New Roman"/>
          <w:sz w:val="24"/>
          <w:szCs w:val="24"/>
        </w:rPr>
        <w:tab/>
      </w:r>
      <w:proofErr w:type="spellStart"/>
      <w:r w:rsidRPr="0073645A">
        <w:rPr>
          <w:rFonts w:ascii="Times New Roman" w:hAnsi="Times New Roman" w:cs="Times New Roman"/>
          <w:sz w:val="24"/>
          <w:szCs w:val="24"/>
        </w:rPr>
        <w:t>Latacela</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Buestán</w:t>
      </w:r>
      <w:proofErr w:type="spellEnd"/>
      <w:r w:rsidRPr="0073645A">
        <w:rPr>
          <w:rFonts w:ascii="Times New Roman" w:hAnsi="Times New Roman" w:cs="Times New Roman"/>
          <w:sz w:val="24"/>
          <w:szCs w:val="24"/>
        </w:rPr>
        <w:t xml:space="preserve"> Julia Jacinta. Factores de riesgo asociados a Infecciones de Vías Urinarias en población infantil, Trabajo de titulación previo a la obtención del título de Licenciada en Enfermería. Universidad Católica de Cuenca, Comunidad educativa al servicio del pueblo unidad académica de salud y bienestar, Carrera de Enfermería, Cuenca Ecuador, 2020.</w:t>
      </w:r>
    </w:p>
    <w:p w14:paraId="5EC6DCDB" w14:textId="77777777" w:rsidR="0073645A" w:rsidRPr="0073645A" w:rsidRDefault="0073645A" w:rsidP="0073645A">
      <w:pPr>
        <w:spacing w:after="0"/>
        <w:jc w:val="both"/>
        <w:rPr>
          <w:rFonts w:ascii="Times New Roman" w:hAnsi="Times New Roman" w:cs="Times New Roman"/>
          <w:sz w:val="24"/>
          <w:szCs w:val="24"/>
        </w:rPr>
      </w:pPr>
    </w:p>
    <w:p w14:paraId="0E13AE2E"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lang w:val="en-US"/>
        </w:rPr>
        <w:t>13.</w:t>
      </w:r>
      <w:r w:rsidRPr="0073645A">
        <w:rPr>
          <w:rFonts w:ascii="Times New Roman" w:hAnsi="Times New Roman" w:cs="Times New Roman"/>
          <w:sz w:val="24"/>
          <w:szCs w:val="24"/>
          <w:lang w:val="en-US"/>
        </w:rPr>
        <w:tab/>
        <w:t xml:space="preserve">Levison ME, Kaye D. Treatment of complicated urinary tract infections with an emphasis on drug-resistant gram-negative </w:t>
      </w:r>
      <w:proofErr w:type="spellStart"/>
      <w:r w:rsidRPr="0073645A">
        <w:rPr>
          <w:rFonts w:ascii="Times New Roman" w:hAnsi="Times New Roman" w:cs="Times New Roman"/>
          <w:sz w:val="24"/>
          <w:szCs w:val="24"/>
          <w:lang w:val="en-US"/>
        </w:rPr>
        <w:t>uropathogens</w:t>
      </w:r>
      <w:proofErr w:type="spellEnd"/>
      <w:r w:rsidRPr="0073645A">
        <w:rPr>
          <w:rFonts w:ascii="Times New Roman" w:hAnsi="Times New Roman" w:cs="Times New Roman"/>
          <w:sz w:val="24"/>
          <w:szCs w:val="24"/>
          <w:lang w:val="en-US"/>
        </w:rPr>
        <w:t xml:space="preserve">. </w:t>
      </w:r>
      <w:proofErr w:type="spellStart"/>
      <w:r w:rsidRPr="0073645A">
        <w:rPr>
          <w:rFonts w:ascii="Times New Roman" w:hAnsi="Times New Roman" w:cs="Times New Roman"/>
          <w:sz w:val="24"/>
          <w:szCs w:val="24"/>
        </w:rPr>
        <w:t>Curr</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Infect</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Dis</w:t>
      </w:r>
      <w:proofErr w:type="spellEnd"/>
      <w:r w:rsidRPr="0073645A">
        <w:rPr>
          <w:rFonts w:ascii="Times New Roman" w:hAnsi="Times New Roman" w:cs="Times New Roman"/>
          <w:sz w:val="24"/>
          <w:szCs w:val="24"/>
        </w:rPr>
        <w:t xml:space="preserve"> Rep. 2013 Apr;15(2):109-15.</w:t>
      </w:r>
    </w:p>
    <w:p w14:paraId="240DCE6A" w14:textId="77777777" w:rsidR="0073645A" w:rsidRPr="0073645A" w:rsidRDefault="0073645A" w:rsidP="0073645A">
      <w:pPr>
        <w:spacing w:after="0"/>
        <w:jc w:val="both"/>
        <w:rPr>
          <w:rFonts w:ascii="Times New Roman" w:hAnsi="Times New Roman" w:cs="Times New Roman"/>
          <w:sz w:val="24"/>
          <w:szCs w:val="24"/>
        </w:rPr>
      </w:pPr>
    </w:p>
    <w:p w14:paraId="40B478B9"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14.</w:t>
      </w:r>
      <w:r w:rsidRPr="0073645A">
        <w:rPr>
          <w:rFonts w:ascii="Times New Roman" w:hAnsi="Times New Roman" w:cs="Times New Roman"/>
          <w:sz w:val="24"/>
          <w:szCs w:val="24"/>
        </w:rPr>
        <w:tab/>
        <w:t>Mayorga Herrera, Gustavo Adolfo, Infección de tracto urinario en lactantes hospitalizados en el hospital Carlos Roberto Huembés en enero del 2017 a enero del 2019.  Tesis para optar al título de especialista en Pediatra.</w:t>
      </w:r>
    </w:p>
    <w:p w14:paraId="66881E3B" w14:textId="77777777" w:rsidR="0073645A" w:rsidRPr="0073645A" w:rsidRDefault="0073645A" w:rsidP="0073645A">
      <w:pPr>
        <w:spacing w:after="0"/>
        <w:jc w:val="both"/>
        <w:rPr>
          <w:rFonts w:ascii="Times New Roman" w:hAnsi="Times New Roman" w:cs="Times New Roman"/>
          <w:sz w:val="24"/>
          <w:szCs w:val="24"/>
        </w:rPr>
      </w:pPr>
    </w:p>
    <w:p w14:paraId="0EFCB326"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15.</w:t>
      </w:r>
      <w:r w:rsidRPr="0073645A">
        <w:rPr>
          <w:rFonts w:ascii="Times New Roman" w:hAnsi="Times New Roman" w:cs="Times New Roman"/>
          <w:sz w:val="24"/>
          <w:szCs w:val="24"/>
        </w:rPr>
        <w:tab/>
        <w:t>Montes Y, Tamayo A, Ceballos Y, Camejo Y, Villa M. Factores de riesgo de infección del tracto urinario en lactantes. Hospital Pediátrico General Milanés. Revista Multimed. 2019; 23(2).</w:t>
      </w:r>
    </w:p>
    <w:p w14:paraId="0F7179FF" w14:textId="77777777" w:rsidR="0073645A" w:rsidRPr="0073645A" w:rsidRDefault="0073645A" w:rsidP="0073645A">
      <w:pPr>
        <w:spacing w:after="0"/>
        <w:jc w:val="both"/>
        <w:rPr>
          <w:rFonts w:ascii="Times New Roman" w:hAnsi="Times New Roman" w:cs="Times New Roman"/>
          <w:sz w:val="24"/>
          <w:szCs w:val="24"/>
        </w:rPr>
      </w:pPr>
    </w:p>
    <w:p w14:paraId="0F61E02A"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16.</w:t>
      </w:r>
      <w:r w:rsidRPr="0073645A">
        <w:rPr>
          <w:rFonts w:ascii="Times New Roman" w:hAnsi="Times New Roman" w:cs="Times New Roman"/>
          <w:sz w:val="24"/>
          <w:szCs w:val="24"/>
        </w:rPr>
        <w:tab/>
        <w:t xml:space="preserve">Narváez Quiroz, Luisa del Socorro. “Comportamiento Clínico - Epidemiológico de la infección de vías urinarias en niños menores de 12 años ingresados en el servicio de medicina pediátrica, Julio 2013- </w:t>
      </w:r>
      <w:proofErr w:type="gramStart"/>
      <w:r w:rsidRPr="0073645A">
        <w:rPr>
          <w:rFonts w:ascii="Times New Roman" w:hAnsi="Times New Roman" w:cs="Times New Roman"/>
          <w:sz w:val="24"/>
          <w:szCs w:val="24"/>
        </w:rPr>
        <w:t>Agosto</w:t>
      </w:r>
      <w:proofErr w:type="gramEnd"/>
      <w:r w:rsidRPr="0073645A">
        <w:rPr>
          <w:rFonts w:ascii="Times New Roman" w:hAnsi="Times New Roman" w:cs="Times New Roman"/>
          <w:sz w:val="24"/>
          <w:szCs w:val="24"/>
        </w:rPr>
        <w:t xml:space="preserve"> 2014, HEODRA, León”. Tesis para optar al título de Pediatra. 2015.</w:t>
      </w:r>
    </w:p>
    <w:p w14:paraId="38E16B66" w14:textId="77777777" w:rsidR="0073645A" w:rsidRPr="0073645A" w:rsidRDefault="0073645A" w:rsidP="0073645A">
      <w:pPr>
        <w:spacing w:after="0"/>
        <w:jc w:val="both"/>
        <w:rPr>
          <w:rFonts w:ascii="Times New Roman" w:hAnsi="Times New Roman" w:cs="Times New Roman"/>
          <w:sz w:val="24"/>
          <w:szCs w:val="24"/>
        </w:rPr>
      </w:pPr>
    </w:p>
    <w:p w14:paraId="3AE1EE1D"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17.</w:t>
      </w:r>
      <w:r w:rsidRPr="0073645A">
        <w:rPr>
          <w:rFonts w:ascii="Times New Roman" w:hAnsi="Times New Roman" w:cs="Times New Roman"/>
          <w:sz w:val="24"/>
          <w:szCs w:val="24"/>
        </w:rPr>
        <w:tab/>
      </w:r>
      <w:proofErr w:type="spellStart"/>
      <w:r w:rsidRPr="0073645A">
        <w:rPr>
          <w:rFonts w:ascii="Times New Roman" w:hAnsi="Times New Roman" w:cs="Times New Roman"/>
          <w:sz w:val="24"/>
          <w:szCs w:val="24"/>
        </w:rPr>
        <w:t>Ocen</w:t>
      </w:r>
      <w:proofErr w:type="spellEnd"/>
      <w:r w:rsidRPr="0073645A">
        <w:rPr>
          <w:rFonts w:ascii="Times New Roman" w:hAnsi="Times New Roman" w:cs="Times New Roman"/>
          <w:sz w:val="24"/>
          <w:szCs w:val="24"/>
        </w:rPr>
        <w:t xml:space="preserve"> G. Daniela, Infección de Vías Urinarias en el Paciente Pediátrico Hospital de Bosa II nivel de </w:t>
      </w:r>
      <w:proofErr w:type="spellStart"/>
      <w:r w:rsidRPr="0073645A">
        <w:rPr>
          <w:rFonts w:ascii="Times New Roman" w:hAnsi="Times New Roman" w:cs="Times New Roman"/>
          <w:sz w:val="24"/>
          <w:szCs w:val="24"/>
        </w:rPr>
        <w:t>Bogota</w:t>
      </w:r>
      <w:proofErr w:type="spellEnd"/>
      <w:r w:rsidRPr="0073645A">
        <w:rPr>
          <w:rFonts w:ascii="Times New Roman" w:hAnsi="Times New Roman" w:cs="Times New Roman"/>
          <w:sz w:val="24"/>
          <w:szCs w:val="24"/>
        </w:rPr>
        <w:t>, Colombia en el año 2014.</w:t>
      </w:r>
    </w:p>
    <w:p w14:paraId="0878A202" w14:textId="77777777" w:rsidR="0073645A" w:rsidRPr="0073645A" w:rsidRDefault="0073645A" w:rsidP="0073645A">
      <w:pPr>
        <w:spacing w:after="0"/>
        <w:jc w:val="both"/>
        <w:rPr>
          <w:rFonts w:ascii="Times New Roman" w:hAnsi="Times New Roman" w:cs="Times New Roman"/>
          <w:sz w:val="24"/>
          <w:szCs w:val="24"/>
        </w:rPr>
      </w:pPr>
    </w:p>
    <w:p w14:paraId="16EBE78B"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18.</w:t>
      </w:r>
      <w:r w:rsidRPr="0073645A">
        <w:rPr>
          <w:rFonts w:ascii="Times New Roman" w:hAnsi="Times New Roman" w:cs="Times New Roman"/>
          <w:sz w:val="24"/>
          <w:szCs w:val="24"/>
        </w:rPr>
        <w:tab/>
        <w:t>Ortiz Vicencio, José. Infección de Vías Urinarias en el niño menor de 5 años, curso clínico y factores asociados. Tesis para obtener el diploma de Especialidad en Medicina Familiar. Facultad de Medicina Instituto Mexicano del Seguro Social, Unidad de Medicina Familiar, Tuxtla Gutiérrez Chiapas, puebla. Febrero 2018</w:t>
      </w:r>
    </w:p>
    <w:p w14:paraId="731E778A" w14:textId="77777777" w:rsidR="0073645A" w:rsidRPr="0073645A" w:rsidRDefault="0073645A" w:rsidP="0073645A">
      <w:pPr>
        <w:spacing w:after="0"/>
        <w:jc w:val="both"/>
        <w:rPr>
          <w:rFonts w:ascii="Times New Roman" w:hAnsi="Times New Roman" w:cs="Times New Roman"/>
          <w:sz w:val="24"/>
          <w:szCs w:val="24"/>
        </w:rPr>
      </w:pPr>
    </w:p>
    <w:p w14:paraId="72DCE43D"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19.</w:t>
      </w:r>
      <w:r w:rsidRPr="0073645A">
        <w:rPr>
          <w:rFonts w:ascii="Times New Roman" w:hAnsi="Times New Roman" w:cs="Times New Roman"/>
          <w:sz w:val="24"/>
          <w:szCs w:val="24"/>
        </w:rPr>
        <w:tab/>
        <w:t>Piñeiro et al. Recomendaciones sobre el diagnóstico y tratamiento de la infección urinaria. Anales de pediatría. 2019; 90.</w:t>
      </w:r>
    </w:p>
    <w:p w14:paraId="1F2CE2C9" w14:textId="77777777" w:rsidR="0073645A" w:rsidRPr="0073645A" w:rsidRDefault="0073645A" w:rsidP="0073645A">
      <w:pPr>
        <w:spacing w:after="0"/>
        <w:jc w:val="both"/>
        <w:rPr>
          <w:rFonts w:ascii="Times New Roman" w:hAnsi="Times New Roman" w:cs="Times New Roman"/>
          <w:sz w:val="24"/>
          <w:szCs w:val="24"/>
        </w:rPr>
      </w:pPr>
    </w:p>
    <w:p w14:paraId="1804FEC8"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t>20.</w:t>
      </w:r>
      <w:r w:rsidRPr="0073645A">
        <w:rPr>
          <w:rFonts w:ascii="Times New Roman" w:hAnsi="Times New Roman" w:cs="Times New Roman"/>
          <w:sz w:val="24"/>
          <w:szCs w:val="24"/>
        </w:rPr>
        <w:tab/>
        <w:t xml:space="preserve">Sánchez M, Lovera D, </w:t>
      </w:r>
      <w:proofErr w:type="spellStart"/>
      <w:r w:rsidRPr="0073645A">
        <w:rPr>
          <w:rFonts w:ascii="Times New Roman" w:hAnsi="Times New Roman" w:cs="Times New Roman"/>
          <w:sz w:val="24"/>
          <w:szCs w:val="24"/>
        </w:rPr>
        <w:t>Arbo</w:t>
      </w:r>
      <w:proofErr w:type="spellEnd"/>
      <w:r w:rsidRPr="0073645A">
        <w:rPr>
          <w:rFonts w:ascii="Times New Roman" w:hAnsi="Times New Roman" w:cs="Times New Roman"/>
          <w:sz w:val="24"/>
          <w:szCs w:val="24"/>
        </w:rPr>
        <w:t xml:space="preserve"> A. Infección Urinaria en Niños y Niñas internados: Características Clínicas y Microbiológicas. Revista del Instituto de Medicina Tropical. 2015; 10.</w:t>
      </w:r>
    </w:p>
    <w:p w14:paraId="12AEF642" w14:textId="77777777" w:rsidR="0073645A" w:rsidRPr="0073645A" w:rsidRDefault="0073645A" w:rsidP="0073645A">
      <w:pPr>
        <w:spacing w:after="0"/>
        <w:jc w:val="both"/>
        <w:rPr>
          <w:rFonts w:ascii="Times New Roman" w:hAnsi="Times New Roman" w:cs="Times New Roman"/>
          <w:sz w:val="24"/>
          <w:szCs w:val="24"/>
        </w:rPr>
      </w:pPr>
    </w:p>
    <w:p w14:paraId="5D29ECE9" w14:textId="77777777" w:rsidR="0073645A" w:rsidRPr="0073645A" w:rsidRDefault="0073645A" w:rsidP="0073645A">
      <w:pPr>
        <w:spacing w:after="0"/>
        <w:jc w:val="both"/>
        <w:rPr>
          <w:rFonts w:ascii="Times New Roman" w:hAnsi="Times New Roman" w:cs="Times New Roman"/>
          <w:sz w:val="24"/>
          <w:szCs w:val="24"/>
          <w:lang w:val="en-US"/>
        </w:rPr>
      </w:pPr>
      <w:r w:rsidRPr="0073645A">
        <w:rPr>
          <w:rFonts w:ascii="Times New Roman" w:hAnsi="Times New Roman" w:cs="Times New Roman"/>
          <w:sz w:val="24"/>
          <w:szCs w:val="24"/>
        </w:rPr>
        <w:t>21.</w:t>
      </w:r>
      <w:r w:rsidRPr="0073645A">
        <w:rPr>
          <w:rFonts w:ascii="Times New Roman" w:hAnsi="Times New Roman" w:cs="Times New Roman"/>
          <w:sz w:val="24"/>
          <w:szCs w:val="24"/>
        </w:rPr>
        <w:tab/>
      </w:r>
      <w:proofErr w:type="spellStart"/>
      <w:r w:rsidRPr="0073645A">
        <w:rPr>
          <w:rFonts w:ascii="Times New Roman" w:hAnsi="Times New Roman" w:cs="Times New Roman"/>
          <w:sz w:val="24"/>
          <w:szCs w:val="24"/>
        </w:rPr>
        <w:t>Simoes</w:t>
      </w:r>
      <w:proofErr w:type="spellEnd"/>
      <w:r w:rsidRPr="0073645A">
        <w:rPr>
          <w:rFonts w:ascii="Times New Roman" w:hAnsi="Times New Roman" w:cs="Times New Roman"/>
          <w:sz w:val="24"/>
          <w:szCs w:val="24"/>
        </w:rPr>
        <w:t xml:space="preserve"> e Silva EA. </w:t>
      </w:r>
      <w:r w:rsidRPr="0073645A">
        <w:rPr>
          <w:rFonts w:ascii="Times New Roman" w:hAnsi="Times New Roman" w:cs="Times New Roman"/>
          <w:sz w:val="24"/>
          <w:szCs w:val="24"/>
          <w:lang w:val="en-US"/>
        </w:rPr>
        <w:t xml:space="preserve">Update on the approach of urinary tract </w:t>
      </w:r>
      <w:proofErr w:type="spellStart"/>
      <w:r w:rsidRPr="0073645A">
        <w:rPr>
          <w:rFonts w:ascii="Times New Roman" w:hAnsi="Times New Roman" w:cs="Times New Roman"/>
          <w:sz w:val="24"/>
          <w:szCs w:val="24"/>
          <w:lang w:val="en-US"/>
        </w:rPr>
        <w:t>infecion</w:t>
      </w:r>
      <w:proofErr w:type="spellEnd"/>
      <w:r w:rsidRPr="0073645A">
        <w:rPr>
          <w:rFonts w:ascii="Times New Roman" w:hAnsi="Times New Roman" w:cs="Times New Roman"/>
          <w:sz w:val="24"/>
          <w:szCs w:val="24"/>
          <w:lang w:val="en-US"/>
        </w:rPr>
        <w:t xml:space="preserve"> in childhood. J. </w:t>
      </w:r>
      <w:proofErr w:type="spellStart"/>
      <w:r w:rsidRPr="0073645A">
        <w:rPr>
          <w:rFonts w:ascii="Times New Roman" w:hAnsi="Times New Roman" w:cs="Times New Roman"/>
          <w:sz w:val="24"/>
          <w:szCs w:val="24"/>
          <w:lang w:val="en-US"/>
        </w:rPr>
        <w:t>Pediatr</w:t>
      </w:r>
      <w:proofErr w:type="spellEnd"/>
      <w:r w:rsidRPr="0073645A">
        <w:rPr>
          <w:rFonts w:ascii="Times New Roman" w:hAnsi="Times New Roman" w:cs="Times New Roman"/>
          <w:sz w:val="24"/>
          <w:szCs w:val="24"/>
          <w:lang w:val="en-US"/>
        </w:rPr>
        <w:t xml:space="preserve"> (Rio J) 2015;91: S2-10.</w:t>
      </w:r>
    </w:p>
    <w:p w14:paraId="2C72838F" w14:textId="77777777" w:rsidR="0073645A" w:rsidRPr="0073645A" w:rsidRDefault="0073645A" w:rsidP="0073645A">
      <w:pPr>
        <w:spacing w:after="0"/>
        <w:jc w:val="both"/>
        <w:rPr>
          <w:rFonts w:ascii="Times New Roman" w:hAnsi="Times New Roman" w:cs="Times New Roman"/>
          <w:sz w:val="24"/>
          <w:szCs w:val="24"/>
          <w:lang w:val="en-US"/>
        </w:rPr>
      </w:pPr>
    </w:p>
    <w:p w14:paraId="402DC16B" w14:textId="77777777" w:rsidR="0073645A"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lang w:val="en-US"/>
        </w:rPr>
        <w:t>22.</w:t>
      </w:r>
      <w:r w:rsidRPr="0073645A">
        <w:rPr>
          <w:rFonts w:ascii="Times New Roman" w:hAnsi="Times New Roman" w:cs="Times New Roman"/>
          <w:sz w:val="24"/>
          <w:szCs w:val="24"/>
          <w:lang w:val="en-US"/>
        </w:rPr>
        <w:tab/>
        <w:t xml:space="preserve">Stein R et al. Urinary Tract Infections in Children: EAU/ESPU Guidelines. </w:t>
      </w:r>
      <w:proofErr w:type="spellStart"/>
      <w:r w:rsidRPr="0073645A">
        <w:rPr>
          <w:rFonts w:ascii="Times New Roman" w:hAnsi="Times New Roman" w:cs="Times New Roman"/>
          <w:sz w:val="24"/>
          <w:szCs w:val="24"/>
        </w:rPr>
        <w:t>Eur</w:t>
      </w:r>
      <w:proofErr w:type="spellEnd"/>
      <w:r w:rsidRPr="0073645A">
        <w:rPr>
          <w:rFonts w:ascii="Times New Roman" w:hAnsi="Times New Roman" w:cs="Times New Roman"/>
          <w:sz w:val="24"/>
          <w:szCs w:val="24"/>
        </w:rPr>
        <w:t xml:space="preserve"> </w:t>
      </w:r>
      <w:proofErr w:type="spellStart"/>
      <w:r w:rsidRPr="0073645A">
        <w:rPr>
          <w:rFonts w:ascii="Times New Roman" w:hAnsi="Times New Roman" w:cs="Times New Roman"/>
          <w:sz w:val="24"/>
          <w:szCs w:val="24"/>
        </w:rPr>
        <w:t>Urol</w:t>
      </w:r>
      <w:proofErr w:type="spellEnd"/>
      <w:r w:rsidRPr="0073645A">
        <w:rPr>
          <w:rFonts w:ascii="Times New Roman" w:hAnsi="Times New Roman" w:cs="Times New Roman"/>
          <w:sz w:val="24"/>
          <w:szCs w:val="24"/>
        </w:rPr>
        <w:t xml:space="preserve"> (2014).</w:t>
      </w:r>
    </w:p>
    <w:p w14:paraId="3661EFC0" w14:textId="77777777" w:rsidR="0073645A" w:rsidRPr="0073645A" w:rsidRDefault="0073645A" w:rsidP="0073645A">
      <w:pPr>
        <w:spacing w:after="0"/>
        <w:jc w:val="both"/>
        <w:rPr>
          <w:rFonts w:ascii="Times New Roman" w:hAnsi="Times New Roman" w:cs="Times New Roman"/>
          <w:sz w:val="24"/>
          <w:szCs w:val="24"/>
        </w:rPr>
      </w:pPr>
    </w:p>
    <w:p w14:paraId="5CD009A0" w14:textId="66377655" w:rsidR="00F21220" w:rsidRPr="0073645A" w:rsidRDefault="0073645A" w:rsidP="0073645A">
      <w:pPr>
        <w:spacing w:after="0"/>
        <w:jc w:val="both"/>
        <w:rPr>
          <w:rFonts w:ascii="Times New Roman" w:hAnsi="Times New Roman" w:cs="Times New Roman"/>
          <w:sz w:val="24"/>
          <w:szCs w:val="24"/>
        </w:rPr>
      </w:pPr>
      <w:r w:rsidRPr="0073645A">
        <w:rPr>
          <w:rFonts w:ascii="Times New Roman" w:hAnsi="Times New Roman" w:cs="Times New Roman"/>
          <w:sz w:val="24"/>
          <w:szCs w:val="24"/>
        </w:rPr>
        <w:lastRenderedPageBreak/>
        <w:t>23.</w:t>
      </w:r>
      <w:r w:rsidRPr="0073645A">
        <w:rPr>
          <w:rFonts w:ascii="Times New Roman" w:hAnsi="Times New Roman" w:cs="Times New Roman"/>
          <w:sz w:val="24"/>
          <w:szCs w:val="24"/>
        </w:rPr>
        <w:tab/>
        <w:t>Troche A, Araya S. Infección urinaria: un problema frecuente en Pediatría. Revisión de la literatura. Revista de Pediatría. 2018; 45(2).</w:t>
      </w:r>
    </w:p>
    <w:p w14:paraId="340E16A4" w14:textId="77777777" w:rsidR="00F21220" w:rsidRDefault="00F21220" w:rsidP="00F21220">
      <w:pPr>
        <w:spacing w:after="0"/>
        <w:jc w:val="both"/>
        <w:rPr>
          <w:rFonts w:ascii="Times New Roman" w:hAnsi="Times New Roman"/>
          <w:sz w:val="24"/>
          <w:szCs w:val="24"/>
        </w:rPr>
      </w:pPr>
    </w:p>
    <w:p w14:paraId="1DA581AD" w14:textId="77777777" w:rsidR="0064158D" w:rsidRDefault="0064158D" w:rsidP="00F21220">
      <w:pPr>
        <w:spacing w:after="0"/>
        <w:jc w:val="both"/>
        <w:rPr>
          <w:rFonts w:ascii="Times New Roman" w:hAnsi="Times New Roman"/>
          <w:sz w:val="24"/>
          <w:szCs w:val="24"/>
        </w:rPr>
      </w:pPr>
    </w:p>
    <w:p w14:paraId="6DA5A191" w14:textId="06342D3E" w:rsidR="0064158D" w:rsidRDefault="0064158D">
      <w:pPr>
        <w:spacing w:after="0" w:line="240" w:lineRule="auto"/>
        <w:rPr>
          <w:rFonts w:ascii="Times New Roman" w:hAnsi="Times New Roman"/>
          <w:sz w:val="24"/>
          <w:szCs w:val="24"/>
        </w:rPr>
      </w:pPr>
      <w:r>
        <w:rPr>
          <w:rFonts w:ascii="Times New Roman" w:hAnsi="Times New Roman"/>
          <w:sz w:val="24"/>
          <w:szCs w:val="24"/>
        </w:rPr>
        <w:br w:type="page"/>
      </w:r>
    </w:p>
    <w:p w14:paraId="01698E6D" w14:textId="77777777" w:rsidR="0064158D" w:rsidRDefault="0064158D" w:rsidP="0064158D">
      <w:pPr>
        <w:spacing w:after="0" w:line="360" w:lineRule="auto"/>
        <w:jc w:val="center"/>
        <w:rPr>
          <w:rFonts w:ascii="Times New Roman" w:hAnsi="Times New Roman" w:cs="Times New Roman"/>
          <w:b/>
          <w:bCs/>
          <w:sz w:val="60"/>
          <w:szCs w:val="60"/>
        </w:rPr>
      </w:pPr>
    </w:p>
    <w:p w14:paraId="406904E9" w14:textId="77777777" w:rsidR="0064158D" w:rsidRDefault="0064158D" w:rsidP="0064158D">
      <w:pPr>
        <w:spacing w:after="0" w:line="360" w:lineRule="auto"/>
        <w:jc w:val="center"/>
        <w:rPr>
          <w:rFonts w:ascii="Times New Roman" w:hAnsi="Times New Roman" w:cs="Times New Roman"/>
          <w:b/>
          <w:bCs/>
          <w:sz w:val="60"/>
          <w:szCs w:val="60"/>
        </w:rPr>
      </w:pPr>
    </w:p>
    <w:p w14:paraId="297DF8C5" w14:textId="77777777" w:rsidR="0064158D" w:rsidRDefault="0064158D" w:rsidP="0064158D">
      <w:pPr>
        <w:spacing w:after="0" w:line="360" w:lineRule="auto"/>
        <w:jc w:val="center"/>
        <w:rPr>
          <w:rFonts w:ascii="Times New Roman" w:hAnsi="Times New Roman" w:cs="Times New Roman"/>
          <w:b/>
          <w:bCs/>
          <w:sz w:val="60"/>
          <w:szCs w:val="60"/>
        </w:rPr>
      </w:pPr>
    </w:p>
    <w:p w14:paraId="5FDF9F59" w14:textId="77777777" w:rsidR="0064158D" w:rsidRDefault="0064158D" w:rsidP="0064158D">
      <w:pPr>
        <w:spacing w:after="0" w:line="360" w:lineRule="auto"/>
        <w:jc w:val="center"/>
        <w:rPr>
          <w:rFonts w:ascii="Times New Roman" w:hAnsi="Times New Roman" w:cs="Times New Roman"/>
          <w:b/>
          <w:bCs/>
          <w:sz w:val="60"/>
          <w:szCs w:val="60"/>
        </w:rPr>
      </w:pPr>
    </w:p>
    <w:p w14:paraId="5909557F" w14:textId="77777777" w:rsidR="0064158D" w:rsidRDefault="0064158D" w:rsidP="0064158D">
      <w:pPr>
        <w:spacing w:after="0" w:line="360" w:lineRule="auto"/>
        <w:jc w:val="center"/>
        <w:rPr>
          <w:rFonts w:ascii="Times New Roman" w:hAnsi="Times New Roman" w:cs="Times New Roman"/>
          <w:b/>
          <w:bCs/>
          <w:sz w:val="60"/>
          <w:szCs w:val="60"/>
        </w:rPr>
      </w:pPr>
    </w:p>
    <w:p w14:paraId="6ABA260A" w14:textId="77777777" w:rsidR="0064158D" w:rsidRDefault="0064158D" w:rsidP="0064158D">
      <w:pPr>
        <w:spacing w:after="0" w:line="360" w:lineRule="auto"/>
        <w:jc w:val="center"/>
        <w:rPr>
          <w:rFonts w:ascii="Times New Roman" w:hAnsi="Times New Roman" w:cs="Times New Roman"/>
          <w:b/>
          <w:bCs/>
          <w:sz w:val="60"/>
          <w:szCs w:val="60"/>
        </w:rPr>
      </w:pPr>
    </w:p>
    <w:p w14:paraId="2CE8ACEF" w14:textId="5621D375" w:rsidR="0064158D" w:rsidRPr="0064158D" w:rsidRDefault="0064158D" w:rsidP="0064158D">
      <w:pPr>
        <w:spacing w:after="0" w:line="360" w:lineRule="auto"/>
        <w:jc w:val="center"/>
        <w:rPr>
          <w:b/>
          <w:bCs/>
          <w:sz w:val="60"/>
          <w:szCs w:val="60"/>
        </w:rPr>
      </w:pPr>
      <w:r w:rsidRPr="0064158D">
        <w:rPr>
          <w:rFonts w:ascii="Times New Roman" w:hAnsi="Times New Roman" w:cs="Times New Roman"/>
          <w:b/>
          <w:bCs/>
          <w:sz w:val="60"/>
          <w:szCs w:val="60"/>
        </w:rPr>
        <w:t>XIII. Anexos</w:t>
      </w:r>
    </w:p>
    <w:p w14:paraId="1AB856DA" w14:textId="77777777" w:rsidR="0064158D" w:rsidRPr="0017470E" w:rsidRDefault="0064158D" w:rsidP="00F21220">
      <w:pPr>
        <w:spacing w:after="0"/>
        <w:jc w:val="both"/>
        <w:rPr>
          <w:rFonts w:ascii="Times New Roman" w:hAnsi="Times New Roman"/>
          <w:sz w:val="24"/>
          <w:szCs w:val="24"/>
        </w:rPr>
      </w:pPr>
    </w:p>
    <w:p w14:paraId="1B87716A" w14:textId="24F83781" w:rsidR="0073645A" w:rsidRDefault="0073645A">
      <w:pPr>
        <w:spacing w:after="0" w:line="240" w:lineRule="auto"/>
        <w:rPr>
          <w:rFonts w:cs="Times New Roman"/>
          <w:sz w:val="24"/>
          <w:szCs w:val="24"/>
        </w:rPr>
      </w:pPr>
      <w:r>
        <w:rPr>
          <w:rFonts w:cs="Times New Roman"/>
          <w:sz w:val="24"/>
          <w:szCs w:val="24"/>
        </w:rPr>
        <w:br w:type="page"/>
      </w:r>
    </w:p>
    <w:p w14:paraId="617622A8" w14:textId="77777777" w:rsidR="00F21220" w:rsidRPr="0017470E" w:rsidRDefault="00F21220" w:rsidP="00F21220">
      <w:pPr>
        <w:spacing w:after="0"/>
        <w:jc w:val="both"/>
        <w:rPr>
          <w:rFonts w:cs="Times New Roman"/>
          <w:sz w:val="24"/>
          <w:szCs w:val="24"/>
        </w:rPr>
      </w:pPr>
    </w:p>
    <w:p w14:paraId="6B126A8B" w14:textId="77777777" w:rsidR="00F21220" w:rsidRDefault="00F21220" w:rsidP="00F21220">
      <w:pPr>
        <w:spacing w:after="0" w:line="360" w:lineRule="auto"/>
        <w:rPr>
          <w:rFonts w:ascii="Times New Roman" w:hAnsi="Times New Roman" w:cs="Times New Roman"/>
        </w:rPr>
      </w:pPr>
      <w:r>
        <w:rPr>
          <w:rFonts w:ascii="Times New Roman" w:hAnsi="Times New Roman" w:cs="Times New Roman"/>
          <w:noProof/>
        </w:rPr>
        <w:drawing>
          <wp:anchor distT="0" distB="0" distL="0" distR="0" simplePos="0" relativeHeight="251663360" behindDoc="0" locked="0" layoutInCell="1" allowOverlap="1" wp14:anchorId="5468350E" wp14:editId="3CC84589">
            <wp:simplePos x="0" y="0"/>
            <wp:positionH relativeFrom="column">
              <wp:posOffset>737870</wp:posOffset>
            </wp:positionH>
            <wp:positionV relativeFrom="paragraph">
              <wp:posOffset>49530</wp:posOffset>
            </wp:positionV>
            <wp:extent cx="3752850" cy="1150620"/>
            <wp:effectExtent l="0" t="0" r="0" b="0"/>
            <wp:wrapSquare wrapText="largest"/>
            <wp:docPr id="4" name="Imagen4" descr="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Texto, Correo electrónico&#10;&#10;El contenido generado por IA puede ser incorrecto."/>
                    <pic:cNvPicPr>
                      <a:picLocks noChangeAspect="1" noChangeArrowheads="1"/>
                    </pic:cNvPicPr>
                  </pic:nvPicPr>
                  <pic:blipFill>
                    <a:blip r:embed="rId8"/>
                    <a:srcRect b="5639"/>
                    <a:stretch>
                      <a:fillRect/>
                    </a:stretch>
                  </pic:blipFill>
                  <pic:spPr bwMode="auto">
                    <a:xfrm>
                      <a:off x="0" y="0"/>
                      <a:ext cx="3752850" cy="1150620"/>
                    </a:xfrm>
                    <a:prstGeom prst="rect">
                      <a:avLst/>
                    </a:prstGeom>
                  </pic:spPr>
                </pic:pic>
              </a:graphicData>
            </a:graphic>
          </wp:anchor>
        </w:drawing>
      </w:r>
    </w:p>
    <w:p w14:paraId="3C8E35F5" w14:textId="77777777" w:rsidR="00F21220" w:rsidRDefault="00F21220" w:rsidP="00F21220">
      <w:pPr>
        <w:spacing w:after="0" w:line="360" w:lineRule="auto"/>
        <w:rPr>
          <w:rFonts w:ascii="Times New Roman" w:hAnsi="Times New Roman" w:cs="Times New Roman"/>
        </w:rPr>
      </w:pPr>
    </w:p>
    <w:p w14:paraId="36B8BB5E" w14:textId="77777777" w:rsidR="00F21220" w:rsidRDefault="00F21220" w:rsidP="00F21220">
      <w:pPr>
        <w:spacing w:after="0" w:line="360" w:lineRule="auto"/>
        <w:rPr>
          <w:rFonts w:ascii="Times New Roman" w:hAnsi="Times New Roman" w:cs="Times New Roman"/>
        </w:rPr>
      </w:pPr>
    </w:p>
    <w:p w14:paraId="67F8C3F0" w14:textId="77777777" w:rsidR="00F21220" w:rsidRDefault="00F21220" w:rsidP="00F21220">
      <w:pPr>
        <w:spacing w:after="0" w:line="360" w:lineRule="auto"/>
        <w:rPr>
          <w:rFonts w:ascii="Times New Roman" w:hAnsi="Times New Roman" w:cs="Times New Roman"/>
        </w:rPr>
      </w:pPr>
    </w:p>
    <w:p w14:paraId="4D81B045" w14:textId="77777777" w:rsidR="00F21220" w:rsidRDefault="00F21220" w:rsidP="00F21220">
      <w:pPr>
        <w:spacing w:after="0" w:line="360" w:lineRule="auto"/>
        <w:rPr>
          <w:rFonts w:ascii="Times New Roman" w:hAnsi="Times New Roman" w:cs="Times New Roman"/>
        </w:rPr>
      </w:pPr>
    </w:p>
    <w:p w14:paraId="035417FE" w14:textId="77777777" w:rsidR="00F21220" w:rsidRDefault="00F21220" w:rsidP="00F21220">
      <w:pPr>
        <w:spacing w:after="0" w:line="240" w:lineRule="auto"/>
        <w:jc w:val="center"/>
        <w:rPr>
          <w:rFonts w:ascii="Times New Roman" w:hAnsi="Times New Roman" w:cs="Times New Roman"/>
        </w:rPr>
      </w:pPr>
      <w:r>
        <w:rPr>
          <w:rFonts w:ascii="Times New Roman" w:hAnsi="Times New Roman" w:cs="Times New Roman"/>
          <w:b/>
          <w:bCs/>
        </w:rPr>
        <w:t xml:space="preserve">“Comportamiento Clínico de la infección de vías urinarias en Pacientes ingresados en el Servicio de Pediatría del Hospital SERMESA Masaya en el período de enero a diciembre del año 2024”. </w:t>
      </w:r>
    </w:p>
    <w:p w14:paraId="4C292558" w14:textId="77777777" w:rsidR="00F21220" w:rsidRDefault="00F21220" w:rsidP="00F21220">
      <w:pPr>
        <w:spacing w:after="0"/>
        <w:jc w:val="both"/>
      </w:pPr>
    </w:p>
    <w:p w14:paraId="618A720B" w14:textId="77777777" w:rsidR="00F21220" w:rsidRDefault="00F21220" w:rsidP="00F21220">
      <w:pPr>
        <w:spacing w:after="0" w:line="360" w:lineRule="auto"/>
        <w:jc w:val="center"/>
      </w:pPr>
      <w:r>
        <w:rPr>
          <w:rFonts w:ascii="Times New Roman" w:hAnsi="Times New Roman" w:cs="Times New Roman"/>
          <w:b/>
          <w:bCs/>
          <w:sz w:val="28"/>
          <w:szCs w:val="28"/>
        </w:rPr>
        <w:t xml:space="preserve">Instrumento de Recolección de información. </w:t>
      </w:r>
    </w:p>
    <w:p w14:paraId="1745EF02" w14:textId="77777777" w:rsidR="00F21220" w:rsidRDefault="00F21220" w:rsidP="00F21220">
      <w:pPr>
        <w:spacing w:after="0"/>
        <w:jc w:val="both"/>
      </w:pPr>
    </w:p>
    <w:p w14:paraId="70EEDF7D" w14:textId="77777777" w:rsidR="00F21220" w:rsidRDefault="00F21220" w:rsidP="00F21220">
      <w:pPr>
        <w:spacing w:after="0"/>
        <w:jc w:val="both"/>
        <w:rPr>
          <w:rFonts w:ascii="Times New Roman" w:hAnsi="Times New Roman" w:cs="Times New Roman"/>
          <w:b/>
          <w:bCs/>
        </w:rPr>
      </w:pPr>
      <w:r>
        <w:rPr>
          <w:rFonts w:ascii="Times New Roman" w:hAnsi="Times New Roman" w:cs="Times New Roman"/>
          <w:b/>
          <w:bCs/>
        </w:rPr>
        <w:t>I.- Características sociodemográficas de los pacientes en estudio.</w:t>
      </w:r>
    </w:p>
    <w:p w14:paraId="1700AE5B"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 Edad: _____</w:t>
      </w:r>
    </w:p>
    <w:p w14:paraId="102D9AEC"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 Sexo: a) Hombre</w:t>
      </w:r>
      <w:r>
        <w:rPr>
          <w:rFonts w:ascii="Times New Roman" w:hAnsi="Times New Roman" w:cs="Times New Roman"/>
        </w:rPr>
        <w:tab/>
        <w:t>b) Mujer</w:t>
      </w:r>
    </w:p>
    <w:p w14:paraId="409D1C9C"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3. Antecedentes patológicos personales: a) Si</w:t>
      </w:r>
      <w:r>
        <w:rPr>
          <w:rFonts w:ascii="Times New Roman" w:hAnsi="Times New Roman" w:cs="Times New Roman"/>
        </w:rPr>
        <w:tab/>
        <w:t>b) No</w:t>
      </w:r>
    </w:p>
    <w:p w14:paraId="665F7472"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4. Cuales: _______________, _______________, _______________</w:t>
      </w:r>
    </w:p>
    <w:p w14:paraId="77032934"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5. Estado nutricional: a) Bajo peso__</w:t>
      </w:r>
      <w:proofErr w:type="gramStart"/>
      <w:r>
        <w:rPr>
          <w:rFonts w:ascii="Times New Roman" w:hAnsi="Times New Roman" w:cs="Times New Roman"/>
        </w:rPr>
        <w:t>_  b</w:t>
      </w:r>
      <w:proofErr w:type="gramEnd"/>
      <w:r>
        <w:rPr>
          <w:rFonts w:ascii="Times New Roman" w:hAnsi="Times New Roman" w:cs="Times New Roman"/>
        </w:rPr>
        <w:t>) Eutrófico___ Sobrepeso___ Obeso___</w:t>
      </w:r>
    </w:p>
    <w:p w14:paraId="4F50B064"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6. Manifestaciones clínicas:</w:t>
      </w:r>
    </w:p>
    <w:p w14:paraId="658BD9F2"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ab/>
        <w:t>_______________, _______________, _______________, _______________</w:t>
      </w:r>
    </w:p>
    <w:p w14:paraId="41350F27"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7. Hospitalizaciones previas: a) Si</w:t>
      </w:r>
      <w:r>
        <w:rPr>
          <w:rFonts w:ascii="Times New Roman" w:hAnsi="Times New Roman" w:cs="Times New Roman"/>
        </w:rPr>
        <w:tab/>
        <w:t>b) No</w:t>
      </w:r>
    </w:p>
    <w:p w14:paraId="2B9316C6"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8. Causas: _______________, _______________, _______________</w:t>
      </w:r>
    </w:p>
    <w:p w14:paraId="44DD67F8"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9. Lactancia Materna: a) Si</w:t>
      </w:r>
      <w:r>
        <w:rPr>
          <w:rFonts w:ascii="Times New Roman" w:hAnsi="Times New Roman" w:cs="Times New Roman"/>
        </w:rPr>
        <w:tab/>
        <w:t>b) No</w:t>
      </w:r>
    </w:p>
    <w:p w14:paraId="7CEA7E37"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10. Malformaciones: a) Si</w:t>
      </w:r>
      <w:r>
        <w:rPr>
          <w:rFonts w:ascii="Times New Roman" w:hAnsi="Times New Roman" w:cs="Times New Roman"/>
        </w:rPr>
        <w:tab/>
        <w:t>b) No</w:t>
      </w:r>
    </w:p>
    <w:p w14:paraId="4AF8FE1D" w14:textId="77777777" w:rsidR="00F21220" w:rsidRDefault="00F21220" w:rsidP="00F21220">
      <w:pPr>
        <w:spacing w:after="0" w:line="360" w:lineRule="auto"/>
        <w:jc w:val="both"/>
        <w:rPr>
          <w:rFonts w:ascii="Times New Roman" w:hAnsi="Times New Roman" w:cs="Times New Roman"/>
        </w:rPr>
      </w:pPr>
    </w:p>
    <w:p w14:paraId="4D397B5F" w14:textId="77777777" w:rsidR="00F21220" w:rsidRDefault="00F21220" w:rsidP="00F21220">
      <w:pPr>
        <w:spacing w:after="0" w:line="240" w:lineRule="auto"/>
        <w:jc w:val="both"/>
        <w:rPr>
          <w:rFonts w:ascii="Times New Roman" w:hAnsi="Times New Roman" w:cs="Times New Roman"/>
          <w:b/>
          <w:bCs/>
        </w:rPr>
      </w:pPr>
      <w:r>
        <w:rPr>
          <w:rFonts w:ascii="Times New Roman" w:hAnsi="Times New Roman" w:cs="Times New Roman"/>
          <w:b/>
          <w:bCs/>
        </w:rPr>
        <w:t>II.- Identificar las características clínicas y manejo de los pacientes pediátricos en estudio.</w:t>
      </w:r>
    </w:p>
    <w:p w14:paraId="313EC760"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11. Diagnóstico de ingreso:</w:t>
      </w:r>
    </w:p>
    <w:p w14:paraId="50737BE0"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__________________________________________________________</w:t>
      </w:r>
    </w:p>
    <w:p w14:paraId="79641D95"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__________________________________________________________</w:t>
      </w:r>
    </w:p>
    <w:p w14:paraId="10CFDBD6"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__________________________________________________________</w:t>
      </w:r>
    </w:p>
    <w:p w14:paraId="11315A37"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12. Clasificación de gravedad: a) Leve_</w:t>
      </w:r>
      <w:proofErr w:type="gramStart"/>
      <w:r>
        <w:rPr>
          <w:rFonts w:ascii="Times New Roman" w:hAnsi="Times New Roman" w:cs="Times New Roman"/>
        </w:rPr>
        <w:t>_  b</w:t>
      </w:r>
      <w:proofErr w:type="gramEnd"/>
      <w:r>
        <w:rPr>
          <w:rFonts w:ascii="Times New Roman" w:hAnsi="Times New Roman" w:cs="Times New Roman"/>
        </w:rPr>
        <w:t>) Moderado__  c) Grave__  Muy grave__</w:t>
      </w:r>
    </w:p>
    <w:p w14:paraId="2D5EAFAC"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13.- Datos de Laboratorio:</w:t>
      </w:r>
    </w:p>
    <w:p w14:paraId="24861C19"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BHC: ____________________________________________________________</w:t>
      </w:r>
    </w:p>
    <w:p w14:paraId="47F0B0EA"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EGO: ____________________________________________________________</w:t>
      </w:r>
    </w:p>
    <w:p w14:paraId="77BFE5EF"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Otros: ____________________________________________________________</w:t>
      </w:r>
    </w:p>
    <w:p w14:paraId="17E4F55E"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14. Datos de Imagenología</w:t>
      </w:r>
    </w:p>
    <w:p w14:paraId="45A5CE39"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US: ____________________________________________________________</w:t>
      </w:r>
    </w:p>
    <w:p w14:paraId="04E52798"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lastRenderedPageBreak/>
        <w:t>TAC: ____________________________________________________________</w:t>
      </w:r>
    </w:p>
    <w:p w14:paraId="662C9F40"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Otros: ____________________________________________________________</w:t>
      </w:r>
    </w:p>
    <w:p w14:paraId="58E63A75" w14:textId="77777777" w:rsidR="00F21220" w:rsidRDefault="00F21220" w:rsidP="00F21220">
      <w:pPr>
        <w:spacing w:after="0" w:line="360" w:lineRule="auto"/>
        <w:jc w:val="both"/>
        <w:rPr>
          <w:rFonts w:ascii="Times New Roman" w:hAnsi="Times New Roman" w:cs="Times New Roman"/>
        </w:rPr>
      </w:pPr>
    </w:p>
    <w:p w14:paraId="135D7D0A"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15. Estancia Hospitalaria: ______</w:t>
      </w:r>
    </w:p>
    <w:p w14:paraId="049296A5"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16. Patologías asociadas intrahospitalaria: a) Si</w:t>
      </w:r>
      <w:r>
        <w:rPr>
          <w:rFonts w:ascii="Times New Roman" w:hAnsi="Times New Roman" w:cs="Times New Roman"/>
        </w:rPr>
        <w:tab/>
        <w:t>b) No</w:t>
      </w:r>
    </w:p>
    <w:p w14:paraId="06A9D94A"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17. Cuales: _______________, _______________, _______________</w:t>
      </w:r>
    </w:p>
    <w:p w14:paraId="3D0198D7"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 xml:space="preserve">18. Resultado microbiológico: </w:t>
      </w:r>
    </w:p>
    <w:p w14:paraId="01514959"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ab/>
        <w:t>a) Positivo_____</w:t>
      </w:r>
      <w:r>
        <w:rPr>
          <w:rFonts w:ascii="Times New Roman" w:hAnsi="Times New Roman" w:cs="Times New Roman"/>
        </w:rPr>
        <w:tab/>
        <w:t>b) Negativo_____</w:t>
      </w:r>
    </w:p>
    <w:p w14:paraId="26779B9F"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19. Bacteria: ______________________________</w:t>
      </w:r>
    </w:p>
    <w:p w14:paraId="5599F6C2"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20. Sensible: ______________, ______________, ______________, ______________</w:t>
      </w:r>
    </w:p>
    <w:p w14:paraId="0E9C4736"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21. Resistente: ______________, ______________, ______________, ______________</w:t>
      </w:r>
    </w:p>
    <w:p w14:paraId="1C648C6E"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22. Tratamiento</w:t>
      </w:r>
    </w:p>
    <w:p w14:paraId="586C1913"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ab/>
        <w:t>Alimentación: a) Parenteral____</w:t>
      </w:r>
      <w:proofErr w:type="gramStart"/>
      <w:r>
        <w:rPr>
          <w:rFonts w:ascii="Times New Roman" w:hAnsi="Times New Roman" w:cs="Times New Roman"/>
        </w:rPr>
        <w:t>_  b</w:t>
      </w:r>
      <w:proofErr w:type="gramEnd"/>
      <w:r>
        <w:rPr>
          <w:rFonts w:ascii="Times New Roman" w:hAnsi="Times New Roman" w:cs="Times New Roman"/>
        </w:rPr>
        <w:t>) General_____  c) Especial_____</w:t>
      </w:r>
    </w:p>
    <w:p w14:paraId="460AC1D2" w14:textId="77777777" w:rsidR="00F21220" w:rsidRDefault="00F21220" w:rsidP="00F21220">
      <w:pPr>
        <w:spacing w:after="0" w:line="360" w:lineRule="auto"/>
        <w:ind w:firstLine="720"/>
        <w:jc w:val="both"/>
        <w:rPr>
          <w:rFonts w:ascii="Times New Roman" w:hAnsi="Times New Roman" w:cs="Times New Roman"/>
        </w:rPr>
      </w:pPr>
      <w:r>
        <w:rPr>
          <w:rFonts w:ascii="Times New Roman" w:hAnsi="Times New Roman" w:cs="Times New Roman"/>
        </w:rPr>
        <w:t>Medicamento: ____________, ____________, ____________, ____________</w:t>
      </w:r>
    </w:p>
    <w:p w14:paraId="25BA7FEA" w14:textId="77777777" w:rsidR="00F21220" w:rsidRDefault="00F21220" w:rsidP="00F21220">
      <w:pPr>
        <w:spacing w:after="0" w:line="360" w:lineRule="auto"/>
        <w:ind w:firstLine="720"/>
        <w:jc w:val="both"/>
        <w:rPr>
          <w:rFonts w:ascii="Times New Roman" w:hAnsi="Times New Roman" w:cs="Times New Roman"/>
        </w:rPr>
      </w:pPr>
      <w:r>
        <w:rPr>
          <w:rFonts w:ascii="Times New Roman" w:hAnsi="Times New Roman" w:cs="Times New Roman"/>
        </w:rPr>
        <w:t>Líquidos: a) PO ____</w:t>
      </w:r>
      <w:proofErr w:type="gramStart"/>
      <w:r>
        <w:rPr>
          <w:rFonts w:ascii="Times New Roman" w:hAnsi="Times New Roman" w:cs="Times New Roman"/>
        </w:rPr>
        <w:t>_  b</w:t>
      </w:r>
      <w:proofErr w:type="gramEnd"/>
      <w:r>
        <w:rPr>
          <w:rFonts w:ascii="Times New Roman" w:hAnsi="Times New Roman" w:cs="Times New Roman"/>
        </w:rPr>
        <w:t>) IV_____</w:t>
      </w:r>
    </w:p>
    <w:p w14:paraId="7EC9F9B0" w14:textId="77777777" w:rsidR="00F21220" w:rsidRDefault="00F21220" w:rsidP="00F21220">
      <w:pPr>
        <w:spacing w:after="0" w:line="360" w:lineRule="auto"/>
        <w:ind w:firstLine="720"/>
        <w:jc w:val="both"/>
        <w:rPr>
          <w:rFonts w:ascii="Times New Roman" w:hAnsi="Times New Roman" w:cs="Times New Roman"/>
        </w:rPr>
      </w:pPr>
      <w:r>
        <w:rPr>
          <w:rFonts w:ascii="Times New Roman" w:hAnsi="Times New Roman" w:cs="Times New Roman"/>
        </w:rPr>
        <w:t>Otros: ____________, ____________, ____________, ____________</w:t>
      </w:r>
    </w:p>
    <w:p w14:paraId="257CD24B"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23. Cambio de terapias de tratamiento: a) Si</w:t>
      </w:r>
      <w:r>
        <w:rPr>
          <w:rFonts w:ascii="Times New Roman" w:hAnsi="Times New Roman" w:cs="Times New Roman"/>
        </w:rPr>
        <w:tab/>
        <w:t xml:space="preserve"> b) No</w:t>
      </w:r>
    </w:p>
    <w:p w14:paraId="409C5CBD"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24. Motivos: _______________, _______________, _______________</w:t>
      </w:r>
    </w:p>
    <w:p w14:paraId="499EA22A"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 xml:space="preserve">25. Terapias adicionales: a) </w:t>
      </w:r>
      <w:proofErr w:type="gramStart"/>
      <w:r>
        <w:rPr>
          <w:rFonts w:ascii="Times New Roman" w:hAnsi="Times New Roman" w:cs="Times New Roman"/>
        </w:rPr>
        <w:t>Si  b</w:t>
      </w:r>
      <w:proofErr w:type="gramEnd"/>
      <w:r>
        <w:rPr>
          <w:rFonts w:ascii="Times New Roman" w:hAnsi="Times New Roman" w:cs="Times New Roman"/>
        </w:rPr>
        <w:t>) No</w:t>
      </w:r>
    </w:p>
    <w:p w14:paraId="65C0077D"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26. Cuales: _______________, _______________, _______________</w:t>
      </w:r>
    </w:p>
    <w:p w14:paraId="12EC2546" w14:textId="77777777" w:rsidR="00F21220" w:rsidRDefault="00F21220" w:rsidP="00F21220">
      <w:pPr>
        <w:spacing w:after="0" w:line="360" w:lineRule="auto"/>
        <w:jc w:val="both"/>
        <w:rPr>
          <w:rFonts w:ascii="Times New Roman" w:hAnsi="Times New Roman" w:cs="Times New Roman"/>
        </w:rPr>
      </w:pPr>
    </w:p>
    <w:p w14:paraId="085EA043" w14:textId="77777777" w:rsidR="00F21220" w:rsidRDefault="00F21220" w:rsidP="00F21220">
      <w:pPr>
        <w:spacing w:after="0" w:line="360" w:lineRule="auto"/>
        <w:jc w:val="both"/>
        <w:rPr>
          <w:rFonts w:ascii="Times New Roman" w:hAnsi="Times New Roman" w:cs="Times New Roman"/>
          <w:b/>
          <w:bCs/>
        </w:rPr>
      </w:pPr>
      <w:r>
        <w:rPr>
          <w:rFonts w:ascii="Times New Roman" w:hAnsi="Times New Roman" w:cs="Times New Roman"/>
          <w:b/>
          <w:bCs/>
        </w:rPr>
        <w:t>O3. Describir la evolución clínica de los pacientes en estudio.</w:t>
      </w:r>
    </w:p>
    <w:p w14:paraId="3136D5CD"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 xml:space="preserve">27. Complicaciones: a) </w:t>
      </w:r>
      <w:proofErr w:type="gramStart"/>
      <w:r>
        <w:rPr>
          <w:rFonts w:ascii="Times New Roman" w:hAnsi="Times New Roman" w:cs="Times New Roman"/>
        </w:rPr>
        <w:t>Si  b</w:t>
      </w:r>
      <w:proofErr w:type="gramEnd"/>
      <w:r>
        <w:rPr>
          <w:rFonts w:ascii="Times New Roman" w:hAnsi="Times New Roman" w:cs="Times New Roman"/>
        </w:rPr>
        <w:t>) No</w:t>
      </w:r>
    </w:p>
    <w:p w14:paraId="1FB4DA70"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28. Cuales: _______________, _______________, _______________</w:t>
      </w:r>
    </w:p>
    <w:p w14:paraId="782CC0AB"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29. Condiciones del egreso:</w:t>
      </w:r>
    </w:p>
    <w:p w14:paraId="67E852FC" w14:textId="77777777" w:rsidR="00F21220" w:rsidRDefault="00F21220" w:rsidP="00F21220">
      <w:pPr>
        <w:spacing w:after="0" w:line="360" w:lineRule="auto"/>
        <w:jc w:val="both"/>
        <w:rPr>
          <w:rFonts w:ascii="Times New Roman" w:hAnsi="Times New Roman" w:cs="Times New Roman"/>
        </w:rPr>
      </w:pPr>
      <w:r>
        <w:rPr>
          <w:rFonts w:ascii="Times New Roman" w:hAnsi="Times New Roman" w:cs="Times New Roman"/>
        </w:rPr>
        <w:tab/>
        <w:t>a) Vivo_____</w:t>
      </w:r>
      <w:r>
        <w:rPr>
          <w:rFonts w:ascii="Times New Roman" w:hAnsi="Times New Roman" w:cs="Times New Roman"/>
        </w:rPr>
        <w:tab/>
      </w:r>
      <w:r>
        <w:rPr>
          <w:rFonts w:ascii="Times New Roman" w:hAnsi="Times New Roman" w:cs="Times New Roman"/>
        </w:rPr>
        <w:tab/>
        <w:t>b) Traslado_____</w:t>
      </w:r>
      <w:r>
        <w:rPr>
          <w:rFonts w:ascii="Times New Roman" w:hAnsi="Times New Roman" w:cs="Times New Roman"/>
        </w:rPr>
        <w:tab/>
        <w:t>c) Fallecido_____</w:t>
      </w:r>
    </w:p>
    <w:p w14:paraId="56C478EB" w14:textId="77777777" w:rsidR="00F21220" w:rsidRDefault="00F21220" w:rsidP="00F21220">
      <w:pPr>
        <w:spacing w:after="0" w:line="360" w:lineRule="auto"/>
        <w:jc w:val="both"/>
        <w:rPr>
          <w:rFonts w:ascii="Times New Roman" w:hAnsi="Times New Roman" w:cs="Times New Roman"/>
        </w:rPr>
      </w:pPr>
    </w:p>
    <w:p w14:paraId="4A5FB460" w14:textId="77777777" w:rsidR="00F21220" w:rsidRDefault="00F21220" w:rsidP="00F21220">
      <w:pPr>
        <w:spacing w:after="0" w:line="360" w:lineRule="auto"/>
        <w:jc w:val="both"/>
      </w:pPr>
    </w:p>
    <w:p w14:paraId="6553D3EF" w14:textId="0252351D" w:rsidR="0064158D" w:rsidRDefault="0064158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6CC4718" w14:textId="03441AFA" w:rsidR="00F21220" w:rsidRPr="0064158D" w:rsidRDefault="0064158D" w:rsidP="008067AD">
      <w:pPr>
        <w:spacing w:after="0" w:line="360" w:lineRule="auto"/>
        <w:jc w:val="both"/>
        <w:rPr>
          <w:rFonts w:ascii="Times New Roman" w:hAnsi="Times New Roman" w:cs="Times New Roman"/>
          <w:b/>
          <w:bCs/>
          <w:sz w:val="32"/>
          <w:szCs w:val="32"/>
        </w:rPr>
      </w:pPr>
      <w:r w:rsidRPr="0064158D">
        <w:rPr>
          <w:rFonts w:ascii="Times New Roman" w:hAnsi="Times New Roman" w:cs="Times New Roman"/>
          <w:b/>
          <w:bCs/>
          <w:sz w:val="32"/>
          <w:szCs w:val="32"/>
        </w:rPr>
        <w:lastRenderedPageBreak/>
        <w:t>Gráficos</w:t>
      </w:r>
    </w:p>
    <w:p w14:paraId="5E8C4692" w14:textId="77777777" w:rsidR="0064158D" w:rsidRDefault="0064158D" w:rsidP="008067AD">
      <w:pPr>
        <w:spacing w:after="0" w:line="360" w:lineRule="auto"/>
        <w:jc w:val="both"/>
        <w:rPr>
          <w:rFonts w:ascii="Times New Roman" w:hAnsi="Times New Roman" w:cs="Times New Roman"/>
          <w:sz w:val="24"/>
          <w:szCs w:val="24"/>
        </w:rPr>
      </w:pPr>
    </w:p>
    <w:p w14:paraId="2A40D7EB" w14:textId="6102A8CE" w:rsidR="0064158D"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3E12CE2A" wp14:editId="1B7867A3">
            <wp:extent cx="4934857" cy="3701142"/>
            <wp:effectExtent l="0" t="0" r="0" b="0"/>
            <wp:docPr id="197625061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5061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940074" cy="3705054"/>
                    </a:xfrm>
                    <a:prstGeom prst="rect">
                      <a:avLst/>
                    </a:prstGeom>
                  </pic:spPr>
                </pic:pic>
              </a:graphicData>
            </a:graphic>
          </wp:inline>
        </w:drawing>
      </w:r>
    </w:p>
    <w:p w14:paraId="3FBA9093" w14:textId="6D7BD0DF" w:rsidR="00345E45"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4208DB98" wp14:editId="6FAD4F12">
            <wp:extent cx="5109027" cy="3831771"/>
            <wp:effectExtent l="0" t="0" r="0" b="0"/>
            <wp:docPr id="21461072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0723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116083" cy="3837063"/>
                    </a:xfrm>
                    <a:prstGeom prst="rect">
                      <a:avLst/>
                    </a:prstGeom>
                  </pic:spPr>
                </pic:pic>
              </a:graphicData>
            </a:graphic>
          </wp:inline>
        </w:drawing>
      </w:r>
    </w:p>
    <w:p w14:paraId="6FE5E2EA" w14:textId="63921237" w:rsidR="00345E45" w:rsidRDefault="00345E45" w:rsidP="008067AD">
      <w:pPr>
        <w:spacing w:after="0" w:line="360" w:lineRule="auto"/>
        <w:jc w:val="both"/>
        <w:rPr>
          <w:rFonts w:ascii="Times New Roman" w:hAnsi="Times New Roman" w:cs="Times New Roman"/>
          <w:sz w:val="24"/>
          <w:szCs w:val="24"/>
        </w:rPr>
      </w:pPr>
      <w:r>
        <w:rPr>
          <w:noProof/>
        </w:rPr>
        <w:lastRenderedPageBreak/>
        <w:drawing>
          <wp:inline distT="0" distB="0" distL="0" distR="0" wp14:anchorId="75D1C58F" wp14:editId="4DE88DBC">
            <wp:extent cx="5708952" cy="4281714"/>
            <wp:effectExtent l="0" t="0" r="6350" b="5080"/>
            <wp:docPr id="45730230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0230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2512" cy="4284384"/>
                    </a:xfrm>
                    <a:prstGeom prst="rect">
                      <a:avLst/>
                    </a:prstGeom>
                  </pic:spPr>
                </pic:pic>
              </a:graphicData>
            </a:graphic>
          </wp:inline>
        </w:drawing>
      </w:r>
    </w:p>
    <w:p w14:paraId="7FB0B94F" w14:textId="0C119B97" w:rsidR="00345E45"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1A8A96F8" wp14:editId="402EB644">
            <wp:extent cx="5070324" cy="3802743"/>
            <wp:effectExtent l="0" t="0" r="0" b="7620"/>
            <wp:docPr id="201862101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2101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073772" cy="3805329"/>
                    </a:xfrm>
                    <a:prstGeom prst="rect">
                      <a:avLst/>
                    </a:prstGeom>
                  </pic:spPr>
                </pic:pic>
              </a:graphicData>
            </a:graphic>
          </wp:inline>
        </w:drawing>
      </w:r>
    </w:p>
    <w:p w14:paraId="0A9C7BF0" w14:textId="3C611B5D" w:rsidR="00345E45" w:rsidRDefault="00345E45" w:rsidP="008067AD">
      <w:pPr>
        <w:spacing w:after="0" w:line="360" w:lineRule="auto"/>
        <w:jc w:val="both"/>
        <w:rPr>
          <w:rFonts w:ascii="Times New Roman" w:hAnsi="Times New Roman" w:cs="Times New Roman"/>
          <w:sz w:val="24"/>
          <w:szCs w:val="24"/>
        </w:rPr>
      </w:pPr>
      <w:r>
        <w:rPr>
          <w:noProof/>
        </w:rPr>
        <w:lastRenderedPageBreak/>
        <w:drawing>
          <wp:inline distT="0" distB="0" distL="0" distR="0" wp14:anchorId="7463831E" wp14:editId="2E273AD1">
            <wp:extent cx="5341257" cy="4005943"/>
            <wp:effectExtent l="0" t="0" r="0" b="0"/>
            <wp:docPr id="200892115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2115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349351" cy="4012014"/>
                    </a:xfrm>
                    <a:prstGeom prst="rect">
                      <a:avLst/>
                    </a:prstGeom>
                  </pic:spPr>
                </pic:pic>
              </a:graphicData>
            </a:graphic>
          </wp:inline>
        </w:drawing>
      </w:r>
    </w:p>
    <w:p w14:paraId="01A394F7" w14:textId="77777777" w:rsidR="00345E45" w:rsidRDefault="00345E45" w:rsidP="008067AD">
      <w:pPr>
        <w:spacing w:after="0" w:line="360" w:lineRule="auto"/>
        <w:jc w:val="both"/>
        <w:rPr>
          <w:rFonts w:ascii="Times New Roman" w:hAnsi="Times New Roman" w:cs="Times New Roman"/>
          <w:sz w:val="24"/>
          <w:szCs w:val="24"/>
        </w:rPr>
      </w:pPr>
    </w:p>
    <w:p w14:paraId="56777822" w14:textId="4DFEA4F8" w:rsidR="00345E45"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3D0B8F04" wp14:editId="4E5BB8EA">
            <wp:extent cx="5186437" cy="3889828"/>
            <wp:effectExtent l="0" t="0" r="0" b="0"/>
            <wp:docPr id="352031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3194"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192314" cy="3894236"/>
                    </a:xfrm>
                    <a:prstGeom prst="rect">
                      <a:avLst/>
                    </a:prstGeom>
                  </pic:spPr>
                </pic:pic>
              </a:graphicData>
            </a:graphic>
          </wp:inline>
        </w:drawing>
      </w:r>
    </w:p>
    <w:p w14:paraId="1EE77C97" w14:textId="788D1196" w:rsidR="00345E45" w:rsidRDefault="00345E45" w:rsidP="008067AD">
      <w:pPr>
        <w:spacing w:after="0" w:line="360" w:lineRule="auto"/>
        <w:jc w:val="both"/>
        <w:rPr>
          <w:rFonts w:ascii="Times New Roman" w:hAnsi="Times New Roman" w:cs="Times New Roman"/>
          <w:sz w:val="24"/>
          <w:szCs w:val="24"/>
        </w:rPr>
      </w:pPr>
      <w:r>
        <w:rPr>
          <w:noProof/>
        </w:rPr>
        <w:lastRenderedPageBreak/>
        <w:drawing>
          <wp:inline distT="0" distB="0" distL="0" distR="0" wp14:anchorId="56E88F91" wp14:editId="5DC05D8B">
            <wp:extent cx="5031619" cy="3773714"/>
            <wp:effectExtent l="0" t="0" r="0" b="0"/>
            <wp:docPr id="18017446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44673"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036518" cy="3777389"/>
                    </a:xfrm>
                    <a:prstGeom prst="rect">
                      <a:avLst/>
                    </a:prstGeom>
                  </pic:spPr>
                </pic:pic>
              </a:graphicData>
            </a:graphic>
          </wp:inline>
        </w:drawing>
      </w:r>
    </w:p>
    <w:p w14:paraId="7EC13786" w14:textId="77777777" w:rsidR="00345E45" w:rsidRDefault="00345E45" w:rsidP="008067AD">
      <w:pPr>
        <w:spacing w:after="0" w:line="360" w:lineRule="auto"/>
        <w:jc w:val="both"/>
        <w:rPr>
          <w:rFonts w:ascii="Times New Roman" w:hAnsi="Times New Roman" w:cs="Times New Roman"/>
          <w:sz w:val="24"/>
          <w:szCs w:val="24"/>
        </w:rPr>
      </w:pPr>
    </w:p>
    <w:p w14:paraId="145A58C4" w14:textId="07F7C91D" w:rsidR="00345E45"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47EB16DB" wp14:editId="6411D09B">
            <wp:extent cx="4688114" cy="3516086"/>
            <wp:effectExtent l="0" t="0" r="0" b="8255"/>
            <wp:docPr id="118705770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57709"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701438" cy="3526079"/>
                    </a:xfrm>
                    <a:prstGeom prst="rect">
                      <a:avLst/>
                    </a:prstGeom>
                  </pic:spPr>
                </pic:pic>
              </a:graphicData>
            </a:graphic>
          </wp:inline>
        </w:drawing>
      </w:r>
    </w:p>
    <w:p w14:paraId="3B0B3378" w14:textId="77777777" w:rsidR="00345E45" w:rsidRDefault="00345E45" w:rsidP="008067AD">
      <w:pPr>
        <w:spacing w:after="0" w:line="360" w:lineRule="auto"/>
        <w:jc w:val="both"/>
        <w:rPr>
          <w:rFonts w:ascii="Times New Roman" w:hAnsi="Times New Roman" w:cs="Times New Roman"/>
          <w:sz w:val="24"/>
          <w:szCs w:val="24"/>
        </w:rPr>
      </w:pPr>
    </w:p>
    <w:p w14:paraId="3469D6A1" w14:textId="77777777" w:rsidR="00345E45" w:rsidRDefault="00345E45" w:rsidP="008067AD">
      <w:pPr>
        <w:spacing w:after="0" w:line="360" w:lineRule="auto"/>
        <w:jc w:val="both"/>
        <w:rPr>
          <w:rFonts w:ascii="Times New Roman" w:hAnsi="Times New Roman" w:cs="Times New Roman"/>
          <w:sz w:val="24"/>
          <w:szCs w:val="24"/>
        </w:rPr>
      </w:pPr>
    </w:p>
    <w:p w14:paraId="6781EE48" w14:textId="21C568C8" w:rsidR="00345E45" w:rsidRDefault="00345E45" w:rsidP="008067AD">
      <w:pPr>
        <w:spacing w:after="0" w:line="360" w:lineRule="auto"/>
        <w:jc w:val="both"/>
        <w:rPr>
          <w:rFonts w:ascii="Times New Roman" w:hAnsi="Times New Roman" w:cs="Times New Roman"/>
          <w:sz w:val="24"/>
          <w:szCs w:val="24"/>
        </w:rPr>
      </w:pPr>
      <w:r>
        <w:rPr>
          <w:noProof/>
        </w:rPr>
        <w:lastRenderedPageBreak/>
        <w:drawing>
          <wp:inline distT="0" distB="0" distL="0" distR="0" wp14:anchorId="2D517BC7" wp14:editId="4F8D0053">
            <wp:extent cx="5186437" cy="3889828"/>
            <wp:effectExtent l="0" t="0" r="0" b="0"/>
            <wp:docPr id="782903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031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190397" cy="3892798"/>
                    </a:xfrm>
                    <a:prstGeom prst="rect">
                      <a:avLst/>
                    </a:prstGeom>
                  </pic:spPr>
                </pic:pic>
              </a:graphicData>
            </a:graphic>
          </wp:inline>
        </w:drawing>
      </w:r>
    </w:p>
    <w:p w14:paraId="465FDF3E" w14:textId="77777777" w:rsidR="00345E45" w:rsidRDefault="00345E45" w:rsidP="008067AD">
      <w:pPr>
        <w:spacing w:after="0" w:line="360" w:lineRule="auto"/>
        <w:jc w:val="both"/>
        <w:rPr>
          <w:rFonts w:ascii="Times New Roman" w:hAnsi="Times New Roman" w:cs="Times New Roman"/>
          <w:sz w:val="24"/>
          <w:szCs w:val="24"/>
        </w:rPr>
      </w:pPr>
    </w:p>
    <w:p w14:paraId="25782BAF" w14:textId="3C0B674F" w:rsidR="00345E45"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1C870FED" wp14:editId="79651134">
            <wp:extent cx="4954209" cy="3715657"/>
            <wp:effectExtent l="0" t="0" r="0" b="0"/>
            <wp:docPr id="167983544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35447"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4959713" cy="3719785"/>
                    </a:xfrm>
                    <a:prstGeom prst="rect">
                      <a:avLst/>
                    </a:prstGeom>
                  </pic:spPr>
                </pic:pic>
              </a:graphicData>
            </a:graphic>
          </wp:inline>
        </w:drawing>
      </w:r>
    </w:p>
    <w:p w14:paraId="2371106F" w14:textId="77777777" w:rsidR="00345E45" w:rsidRDefault="00345E45" w:rsidP="008067AD">
      <w:pPr>
        <w:spacing w:after="0" w:line="360" w:lineRule="auto"/>
        <w:jc w:val="both"/>
        <w:rPr>
          <w:rFonts w:ascii="Times New Roman" w:hAnsi="Times New Roman" w:cs="Times New Roman"/>
          <w:sz w:val="24"/>
          <w:szCs w:val="24"/>
        </w:rPr>
      </w:pPr>
    </w:p>
    <w:p w14:paraId="10766810" w14:textId="34A601B6" w:rsidR="00345E45" w:rsidRDefault="00345E45" w:rsidP="008067AD">
      <w:pPr>
        <w:spacing w:after="0" w:line="360" w:lineRule="auto"/>
        <w:jc w:val="both"/>
        <w:rPr>
          <w:rFonts w:ascii="Times New Roman" w:hAnsi="Times New Roman" w:cs="Times New Roman"/>
          <w:sz w:val="24"/>
          <w:szCs w:val="24"/>
        </w:rPr>
      </w:pPr>
      <w:r>
        <w:rPr>
          <w:noProof/>
        </w:rPr>
        <w:lastRenderedPageBreak/>
        <w:drawing>
          <wp:inline distT="0" distB="0" distL="0" distR="0" wp14:anchorId="5F9C7816" wp14:editId="4C937F65">
            <wp:extent cx="5167085" cy="3875314"/>
            <wp:effectExtent l="0" t="0" r="0" b="0"/>
            <wp:docPr id="149342858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28583"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171499" cy="3878624"/>
                    </a:xfrm>
                    <a:prstGeom prst="rect">
                      <a:avLst/>
                    </a:prstGeom>
                  </pic:spPr>
                </pic:pic>
              </a:graphicData>
            </a:graphic>
          </wp:inline>
        </w:drawing>
      </w:r>
    </w:p>
    <w:p w14:paraId="636D5D3F" w14:textId="77777777" w:rsidR="00345E45" w:rsidRDefault="00345E45" w:rsidP="008067AD">
      <w:pPr>
        <w:spacing w:after="0" w:line="360" w:lineRule="auto"/>
        <w:jc w:val="both"/>
        <w:rPr>
          <w:rFonts w:ascii="Times New Roman" w:hAnsi="Times New Roman" w:cs="Times New Roman"/>
          <w:sz w:val="24"/>
          <w:szCs w:val="24"/>
        </w:rPr>
      </w:pPr>
    </w:p>
    <w:p w14:paraId="74DB402F" w14:textId="27C6B714" w:rsidR="00345E45"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0D6A4845" wp14:editId="357EFFCA">
            <wp:extent cx="5036457" cy="3777343"/>
            <wp:effectExtent l="0" t="0" r="0" b="0"/>
            <wp:docPr id="4370809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80973"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040759" cy="3780569"/>
                    </a:xfrm>
                    <a:prstGeom prst="rect">
                      <a:avLst/>
                    </a:prstGeom>
                  </pic:spPr>
                </pic:pic>
              </a:graphicData>
            </a:graphic>
          </wp:inline>
        </w:drawing>
      </w:r>
    </w:p>
    <w:p w14:paraId="65724972" w14:textId="77777777" w:rsidR="00345E45" w:rsidRDefault="00345E45" w:rsidP="008067AD">
      <w:pPr>
        <w:spacing w:after="0" w:line="360" w:lineRule="auto"/>
        <w:jc w:val="both"/>
        <w:rPr>
          <w:rFonts w:ascii="Times New Roman" w:hAnsi="Times New Roman" w:cs="Times New Roman"/>
          <w:sz w:val="24"/>
          <w:szCs w:val="24"/>
        </w:rPr>
      </w:pPr>
    </w:p>
    <w:p w14:paraId="657AE2FD" w14:textId="78AF5450" w:rsidR="00345E45" w:rsidRDefault="00345E45" w:rsidP="008067AD">
      <w:pPr>
        <w:spacing w:after="0" w:line="360" w:lineRule="auto"/>
        <w:jc w:val="both"/>
        <w:rPr>
          <w:rFonts w:ascii="Times New Roman" w:hAnsi="Times New Roman" w:cs="Times New Roman"/>
          <w:sz w:val="24"/>
          <w:szCs w:val="24"/>
        </w:rPr>
      </w:pPr>
      <w:r>
        <w:rPr>
          <w:noProof/>
        </w:rPr>
        <w:drawing>
          <wp:inline distT="0" distB="0" distL="0" distR="0" wp14:anchorId="79427B44" wp14:editId="01422753">
            <wp:extent cx="5592837" cy="4194628"/>
            <wp:effectExtent l="0" t="0" r="8255" b="0"/>
            <wp:docPr id="15615004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0046"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595943" cy="4196957"/>
                    </a:xfrm>
                    <a:prstGeom prst="rect">
                      <a:avLst/>
                    </a:prstGeom>
                  </pic:spPr>
                </pic:pic>
              </a:graphicData>
            </a:graphic>
          </wp:inline>
        </w:drawing>
      </w:r>
    </w:p>
    <w:sectPr w:rsidR="00345E45" w:rsidSect="00F21220">
      <w:pgSz w:w="12240" w:h="15840"/>
      <w:pgMar w:top="1418" w:right="1418" w:bottom="1418" w:left="1418" w:header="0" w:footer="0"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2DD99" w14:textId="77777777" w:rsidR="00F35098" w:rsidRDefault="00F35098" w:rsidP="00D17403">
      <w:pPr>
        <w:spacing w:after="0" w:line="240" w:lineRule="auto"/>
      </w:pPr>
      <w:r>
        <w:separator/>
      </w:r>
    </w:p>
  </w:endnote>
  <w:endnote w:type="continuationSeparator" w:id="0">
    <w:p w14:paraId="2CD86507" w14:textId="77777777" w:rsidR="00F35098" w:rsidRDefault="00F35098" w:rsidP="00D17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RotisSemiSans Light">
    <w:altName w:val="Cambria"/>
    <w:charset w:val="01"/>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793237"/>
      <w:docPartObj>
        <w:docPartGallery w:val="Page Numbers (Bottom of Page)"/>
        <w:docPartUnique/>
      </w:docPartObj>
    </w:sdtPr>
    <w:sdtEndPr/>
    <w:sdtContent>
      <w:p w14:paraId="3AAACE35" w14:textId="57CF46D6" w:rsidR="00DD1A23" w:rsidRDefault="00DD1A23">
        <w:pPr>
          <w:pStyle w:val="Piedepgina"/>
          <w:jc w:val="right"/>
        </w:pPr>
        <w:r>
          <w:fldChar w:fldCharType="begin"/>
        </w:r>
        <w:r>
          <w:instrText>PAGE   \* MERGEFORMAT</w:instrText>
        </w:r>
        <w:r>
          <w:fldChar w:fldCharType="separate"/>
        </w:r>
        <w:r w:rsidR="00845132" w:rsidRPr="00845132">
          <w:rPr>
            <w:noProof/>
            <w:lang w:val="es-ES"/>
          </w:rPr>
          <w:t>58</w:t>
        </w:r>
        <w:r>
          <w:fldChar w:fldCharType="end"/>
        </w:r>
      </w:p>
    </w:sdtContent>
  </w:sdt>
  <w:p w14:paraId="45B5A3CA" w14:textId="77777777" w:rsidR="00DD1A23" w:rsidRDefault="00DD1A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3B674" w14:textId="77777777" w:rsidR="00F35098" w:rsidRDefault="00F35098" w:rsidP="00D17403">
      <w:pPr>
        <w:spacing w:after="0" w:line="240" w:lineRule="auto"/>
      </w:pPr>
      <w:r>
        <w:separator/>
      </w:r>
    </w:p>
  </w:footnote>
  <w:footnote w:type="continuationSeparator" w:id="0">
    <w:p w14:paraId="4AF7A8E6" w14:textId="77777777" w:rsidR="00F35098" w:rsidRDefault="00F35098" w:rsidP="00D17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DC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235620"/>
    <w:multiLevelType w:val="multilevel"/>
    <w:tmpl w:val="833C25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49E6012"/>
    <w:multiLevelType w:val="multilevel"/>
    <w:tmpl w:val="BAF4A414"/>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8607A94"/>
    <w:multiLevelType w:val="multilevel"/>
    <w:tmpl w:val="A6601F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C8B689D"/>
    <w:multiLevelType w:val="multilevel"/>
    <w:tmpl w:val="257EB9F0"/>
    <w:lvl w:ilvl="0">
      <w:start w:val="1"/>
      <w:numFmt w:val="decimal"/>
      <w:lvlText w:val="%1.2"/>
      <w:lvlJc w:val="left"/>
      <w:pPr>
        <w:ind w:left="720" w:hanging="360"/>
      </w:pPr>
      <w:rPr>
        <w:rFonts w:hint="default"/>
      </w:rPr>
    </w:lvl>
    <w:lvl w:ilvl="1">
      <w:start w:val="1"/>
      <w:numFmt w:val="decimal"/>
      <w:lvlText w:val="%2.6"/>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E24FF5"/>
    <w:multiLevelType w:val="multilevel"/>
    <w:tmpl w:val="45DC556A"/>
    <w:lvl w:ilvl="0">
      <w:start w:val="1"/>
      <w:numFmt w:val="bullet"/>
      <w:lvlText w:val=""/>
      <w:lvlJc w:val="left"/>
      <w:pPr>
        <w:ind w:left="1500" w:hanging="360"/>
      </w:pPr>
      <w:rPr>
        <w:rFonts w:ascii="Symbol" w:hAnsi="Symbol" w:cs="Symbol" w:hint="default"/>
        <w:sz w:val="24"/>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6" w15:restartNumberingAfterBreak="0">
    <w:nsid w:val="12126678"/>
    <w:multiLevelType w:val="multilevel"/>
    <w:tmpl w:val="A92C775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22674D1"/>
    <w:multiLevelType w:val="hybridMultilevel"/>
    <w:tmpl w:val="6A48BA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697496B"/>
    <w:multiLevelType w:val="multilevel"/>
    <w:tmpl w:val="BAA85164"/>
    <w:lvl w:ilvl="0">
      <w:start w:val="1"/>
      <w:numFmt w:val="bullet"/>
      <w:lvlText w:val=""/>
      <w:lvlJc w:val="left"/>
      <w:pPr>
        <w:ind w:left="0" w:hanging="360"/>
      </w:pPr>
      <w:rPr>
        <w:rFonts w:ascii="Symbol" w:hAnsi="Symbol" w:cs="Symbol" w:hint="default"/>
        <w:sz w:val="24"/>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cs="Wingdings" w:hint="default"/>
      </w:rPr>
    </w:lvl>
    <w:lvl w:ilvl="6">
      <w:start w:val="1"/>
      <w:numFmt w:val="bullet"/>
      <w:lvlText w:val=""/>
      <w:lvlJc w:val="left"/>
      <w:pPr>
        <w:ind w:left="4320" w:hanging="360"/>
      </w:pPr>
      <w:rPr>
        <w:rFonts w:ascii="Symbol" w:hAnsi="Symbol" w:cs="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cs="Wingdings" w:hint="default"/>
      </w:rPr>
    </w:lvl>
  </w:abstractNum>
  <w:abstractNum w:abstractNumId="9" w15:restartNumberingAfterBreak="0">
    <w:nsid w:val="18B9380F"/>
    <w:multiLevelType w:val="multilevel"/>
    <w:tmpl w:val="CE1CAAA8"/>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15:restartNumberingAfterBreak="0">
    <w:nsid w:val="1EC93BD1"/>
    <w:multiLevelType w:val="multilevel"/>
    <w:tmpl w:val="101A12B0"/>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31C2973"/>
    <w:multiLevelType w:val="multilevel"/>
    <w:tmpl w:val="DD00F9A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6774C09"/>
    <w:multiLevelType w:val="hybridMultilevel"/>
    <w:tmpl w:val="6A50EC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A0E052D"/>
    <w:multiLevelType w:val="multilevel"/>
    <w:tmpl w:val="A44A5D14"/>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2B4B1EC5"/>
    <w:multiLevelType w:val="hybridMultilevel"/>
    <w:tmpl w:val="34668D48"/>
    <w:lvl w:ilvl="0" w:tplc="5138240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B86CFB"/>
    <w:multiLevelType w:val="hybridMultilevel"/>
    <w:tmpl w:val="72EAE4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23F58C4"/>
    <w:multiLevelType w:val="multilevel"/>
    <w:tmpl w:val="9ED24E38"/>
    <w:lvl w:ilvl="0">
      <w:start w:val="1"/>
      <w:numFmt w:val="decimal"/>
      <w:lvlText w:val="%1.1"/>
      <w:lvlJc w:val="left"/>
      <w:pPr>
        <w:ind w:left="720" w:hanging="360"/>
      </w:pPr>
      <w:rPr>
        <w:rFonts w:hint="default"/>
      </w:rPr>
    </w:lvl>
    <w:lvl w:ilvl="1">
      <w:start w:val="1"/>
      <w:numFmt w:val="none"/>
      <w:lvlText w:val="2.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40906B2"/>
    <w:multiLevelType w:val="multilevel"/>
    <w:tmpl w:val="32E4BA04"/>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344B6002"/>
    <w:multiLevelType w:val="hybridMultilevel"/>
    <w:tmpl w:val="11B236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75317AF"/>
    <w:multiLevelType w:val="multilevel"/>
    <w:tmpl w:val="79D6717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3B086D3C"/>
    <w:multiLevelType w:val="multilevel"/>
    <w:tmpl w:val="566E4C98"/>
    <w:lvl w:ilvl="0">
      <w:start w:val="1"/>
      <w:numFmt w:val="decimal"/>
      <w:lvlText w:val="%1.2"/>
      <w:lvlJc w:val="left"/>
      <w:pPr>
        <w:ind w:left="720" w:hanging="360"/>
      </w:pPr>
      <w:rPr>
        <w:rFonts w:hint="default"/>
      </w:rPr>
    </w:lvl>
    <w:lvl w:ilvl="1">
      <w:start w:val="1"/>
      <w:numFmt w:val="decimal"/>
      <w:lvlText w:val="%2.5"/>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40B1784"/>
    <w:multiLevelType w:val="multilevel"/>
    <w:tmpl w:val="C2F2473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450B0639"/>
    <w:multiLevelType w:val="multilevel"/>
    <w:tmpl w:val="E30E451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46B316A3"/>
    <w:multiLevelType w:val="multilevel"/>
    <w:tmpl w:val="426C7C78"/>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C9D711D"/>
    <w:multiLevelType w:val="multilevel"/>
    <w:tmpl w:val="8F86A6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50DE127B"/>
    <w:multiLevelType w:val="multilevel"/>
    <w:tmpl w:val="78CEF1A8"/>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2128EC"/>
    <w:multiLevelType w:val="hybridMultilevel"/>
    <w:tmpl w:val="650865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2F8296E"/>
    <w:multiLevelType w:val="multilevel"/>
    <w:tmpl w:val="A44A25C0"/>
    <w:lvl w:ilvl="0">
      <w:start w:val="1"/>
      <w:numFmt w:val="decimal"/>
      <w:lvlText w:val="%1.2"/>
      <w:lvlJc w:val="left"/>
      <w:pPr>
        <w:ind w:left="720" w:hanging="360"/>
      </w:pPr>
      <w:rPr>
        <w:rFonts w:hint="default"/>
      </w:rPr>
    </w:lvl>
    <w:lvl w:ilvl="1">
      <w:start w:val="1"/>
      <w:numFmt w:val="decimal"/>
      <w:lvlText w:val="%2.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3B74A6B"/>
    <w:multiLevelType w:val="multilevel"/>
    <w:tmpl w:val="3C18CC70"/>
    <w:lvl w:ilvl="0">
      <w:start w:val="1"/>
      <w:numFmt w:val="bullet"/>
      <w:lvlText w:val=""/>
      <w:lvlJc w:val="left"/>
      <w:pPr>
        <w:ind w:left="0" w:hanging="360"/>
      </w:pPr>
      <w:rPr>
        <w:rFonts w:ascii="Symbol" w:hAnsi="Symbol" w:cs="Symbol" w:hint="default"/>
        <w:sz w:val="24"/>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cs="Wingdings" w:hint="default"/>
      </w:rPr>
    </w:lvl>
    <w:lvl w:ilvl="6">
      <w:start w:val="1"/>
      <w:numFmt w:val="bullet"/>
      <w:lvlText w:val=""/>
      <w:lvlJc w:val="left"/>
      <w:pPr>
        <w:ind w:left="4320" w:hanging="360"/>
      </w:pPr>
      <w:rPr>
        <w:rFonts w:ascii="Symbol" w:hAnsi="Symbol" w:cs="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cs="Wingdings" w:hint="default"/>
      </w:rPr>
    </w:lvl>
  </w:abstractNum>
  <w:abstractNum w:abstractNumId="29" w15:restartNumberingAfterBreak="0">
    <w:nsid w:val="552F233A"/>
    <w:multiLevelType w:val="multilevel"/>
    <w:tmpl w:val="FA3A30CE"/>
    <w:lvl w:ilvl="0">
      <w:start w:val="1"/>
      <w:numFmt w:val="decimal"/>
      <w:lvlText w:val="%1.2"/>
      <w:lvlJc w:val="left"/>
      <w:pPr>
        <w:ind w:left="720" w:hanging="360"/>
      </w:pPr>
      <w:rPr>
        <w:rFonts w:hint="default"/>
      </w:rPr>
    </w:lvl>
    <w:lvl w:ilvl="1">
      <w:start w:val="1"/>
      <w:numFmt w:val="decimal"/>
      <w:lvlText w:val="%2.4"/>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B2C777B"/>
    <w:multiLevelType w:val="hybridMultilevel"/>
    <w:tmpl w:val="0332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AD5644"/>
    <w:multiLevelType w:val="multilevel"/>
    <w:tmpl w:val="88408344"/>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62DC5955"/>
    <w:multiLevelType w:val="multilevel"/>
    <w:tmpl w:val="B0C8922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65052C24"/>
    <w:multiLevelType w:val="multilevel"/>
    <w:tmpl w:val="15B04C5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90F43E5"/>
    <w:multiLevelType w:val="hybridMultilevel"/>
    <w:tmpl w:val="F3B615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6E35356F"/>
    <w:multiLevelType w:val="multilevel"/>
    <w:tmpl w:val="5E5C54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72242349"/>
    <w:multiLevelType w:val="hybridMultilevel"/>
    <w:tmpl w:val="DABE61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DD1C52"/>
    <w:multiLevelType w:val="hybridMultilevel"/>
    <w:tmpl w:val="4314CB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7C3252A6"/>
    <w:multiLevelType w:val="multilevel"/>
    <w:tmpl w:val="BF0CD94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7C63234B"/>
    <w:multiLevelType w:val="multilevel"/>
    <w:tmpl w:val="7E2868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CEC4B58"/>
    <w:multiLevelType w:val="multilevel"/>
    <w:tmpl w:val="8CBA51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7E2B7D8F"/>
    <w:multiLevelType w:val="multilevel"/>
    <w:tmpl w:val="37CAC52A"/>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
  </w:num>
  <w:num w:numId="2">
    <w:abstractNumId w:val="28"/>
  </w:num>
  <w:num w:numId="3">
    <w:abstractNumId w:val="21"/>
  </w:num>
  <w:num w:numId="4">
    <w:abstractNumId w:val="8"/>
  </w:num>
  <w:num w:numId="5">
    <w:abstractNumId w:val="38"/>
  </w:num>
  <w:num w:numId="6">
    <w:abstractNumId w:val="0"/>
  </w:num>
  <w:num w:numId="7">
    <w:abstractNumId w:val="32"/>
  </w:num>
  <w:num w:numId="8">
    <w:abstractNumId w:val="33"/>
  </w:num>
  <w:num w:numId="9">
    <w:abstractNumId w:val="9"/>
  </w:num>
  <w:num w:numId="10">
    <w:abstractNumId w:val="41"/>
  </w:num>
  <w:num w:numId="11">
    <w:abstractNumId w:val="1"/>
  </w:num>
  <w:num w:numId="12">
    <w:abstractNumId w:val="6"/>
  </w:num>
  <w:num w:numId="13">
    <w:abstractNumId w:val="39"/>
  </w:num>
  <w:num w:numId="14">
    <w:abstractNumId w:val="5"/>
  </w:num>
  <w:num w:numId="15">
    <w:abstractNumId w:val="2"/>
  </w:num>
  <w:num w:numId="16">
    <w:abstractNumId w:val="31"/>
  </w:num>
  <w:num w:numId="17">
    <w:abstractNumId w:val="23"/>
  </w:num>
  <w:num w:numId="18">
    <w:abstractNumId w:val="17"/>
  </w:num>
  <w:num w:numId="19">
    <w:abstractNumId w:val="10"/>
  </w:num>
  <w:num w:numId="20">
    <w:abstractNumId w:val="13"/>
  </w:num>
  <w:num w:numId="21">
    <w:abstractNumId w:val="40"/>
  </w:num>
  <w:num w:numId="22">
    <w:abstractNumId w:val="24"/>
  </w:num>
  <w:num w:numId="23">
    <w:abstractNumId w:val="35"/>
  </w:num>
  <w:num w:numId="24">
    <w:abstractNumId w:val="12"/>
  </w:num>
  <w:num w:numId="25">
    <w:abstractNumId w:val="15"/>
  </w:num>
  <w:num w:numId="26">
    <w:abstractNumId w:val="34"/>
  </w:num>
  <w:num w:numId="27">
    <w:abstractNumId w:val="26"/>
  </w:num>
  <w:num w:numId="28">
    <w:abstractNumId w:val="7"/>
  </w:num>
  <w:num w:numId="29">
    <w:abstractNumId w:val="37"/>
  </w:num>
  <w:num w:numId="30">
    <w:abstractNumId w:val="18"/>
  </w:num>
  <w:num w:numId="31">
    <w:abstractNumId w:val="36"/>
  </w:num>
  <w:num w:numId="32">
    <w:abstractNumId w:val="14"/>
  </w:num>
  <w:num w:numId="33">
    <w:abstractNumId w:val="27"/>
  </w:num>
  <w:num w:numId="34">
    <w:abstractNumId w:val="29"/>
  </w:num>
  <w:num w:numId="35">
    <w:abstractNumId w:val="20"/>
  </w:num>
  <w:num w:numId="36">
    <w:abstractNumId w:val="4"/>
  </w:num>
  <w:num w:numId="37">
    <w:abstractNumId w:val="16"/>
  </w:num>
  <w:num w:numId="38">
    <w:abstractNumId w:val="25"/>
  </w:num>
  <w:num w:numId="39">
    <w:abstractNumId w:val="19"/>
  </w:num>
  <w:num w:numId="40">
    <w:abstractNumId w:val="22"/>
  </w:num>
  <w:num w:numId="41">
    <w:abstractNumId w:val="11"/>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927"/>
    <w:rsid w:val="00042D76"/>
    <w:rsid w:val="00082CA8"/>
    <w:rsid w:val="000840C9"/>
    <w:rsid w:val="00092D03"/>
    <w:rsid w:val="00093A90"/>
    <w:rsid w:val="000C3FFA"/>
    <w:rsid w:val="000E0B55"/>
    <w:rsid w:val="00117ADF"/>
    <w:rsid w:val="001618F0"/>
    <w:rsid w:val="00171081"/>
    <w:rsid w:val="0017470E"/>
    <w:rsid w:val="001B0EE0"/>
    <w:rsid w:val="00241311"/>
    <w:rsid w:val="00270953"/>
    <w:rsid w:val="002835BA"/>
    <w:rsid w:val="002C3E63"/>
    <w:rsid w:val="002E0DD4"/>
    <w:rsid w:val="002E39D2"/>
    <w:rsid w:val="00337CA6"/>
    <w:rsid w:val="00345E45"/>
    <w:rsid w:val="003A14BD"/>
    <w:rsid w:val="003D6313"/>
    <w:rsid w:val="003F3927"/>
    <w:rsid w:val="00433FD2"/>
    <w:rsid w:val="004504CF"/>
    <w:rsid w:val="00467754"/>
    <w:rsid w:val="0049335C"/>
    <w:rsid w:val="004D2B90"/>
    <w:rsid w:val="00525D71"/>
    <w:rsid w:val="0054074C"/>
    <w:rsid w:val="005839FD"/>
    <w:rsid w:val="00587930"/>
    <w:rsid w:val="005B5D69"/>
    <w:rsid w:val="005C2E4F"/>
    <w:rsid w:val="005F475F"/>
    <w:rsid w:val="0060307C"/>
    <w:rsid w:val="0064158D"/>
    <w:rsid w:val="00654579"/>
    <w:rsid w:val="00664DAC"/>
    <w:rsid w:val="00684A8A"/>
    <w:rsid w:val="006E6F0A"/>
    <w:rsid w:val="006F19FF"/>
    <w:rsid w:val="00723BD2"/>
    <w:rsid w:val="0073645A"/>
    <w:rsid w:val="00752FF8"/>
    <w:rsid w:val="00765F36"/>
    <w:rsid w:val="007770C2"/>
    <w:rsid w:val="007A18E3"/>
    <w:rsid w:val="007A19EC"/>
    <w:rsid w:val="007A1B83"/>
    <w:rsid w:val="007C72E1"/>
    <w:rsid w:val="007E0378"/>
    <w:rsid w:val="007E509D"/>
    <w:rsid w:val="008067AD"/>
    <w:rsid w:val="00837BA5"/>
    <w:rsid w:val="00845132"/>
    <w:rsid w:val="00853C72"/>
    <w:rsid w:val="008859D5"/>
    <w:rsid w:val="008937E6"/>
    <w:rsid w:val="008D17D1"/>
    <w:rsid w:val="0096063D"/>
    <w:rsid w:val="009721D1"/>
    <w:rsid w:val="00975144"/>
    <w:rsid w:val="009A2279"/>
    <w:rsid w:val="009A785D"/>
    <w:rsid w:val="009C5A0B"/>
    <w:rsid w:val="00AB2EC5"/>
    <w:rsid w:val="00AC5C7D"/>
    <w:rsid w:val="00AE5622"/>
    <w:rsid w:val="00B5077F"/>
    <w:rsid w:val="00B74009"/>
    <w:rsid w:val="00B7742D"/>
    <w:rsid w:val="00B933C5"/>
    <w:rsid w:val="00C16304"/>
    <w:rsid w:val="00C2411A"/>
    <w:rsid w:val="00C348B4"/>
    <w:rsid w:val="00C73660"/>
    <w:rsid w:val="00CA2E96"/>
    <w:rsid w:val="00CA695B"/>
    <w:rsid w:val="00D17403"/>
    <w:rsid w:val="00D43E32"/>
    <w:rsid w:val="00DB3CA0"/>
    <w:rsid w:val="00DD1A23"/>
    <w:rsid w:val="00DF4498"/>
    <w:rsid w:val="00E172CF"/>
    <w:rsid w:val="00E3117B"/>
    <w:rsid w:val="00E3267A"/>
    <w:rsid w:val="00E3472D"/>
    <w:rsid w:val="00E713B7"/>
    <w:rsid w:val="00E73673"/>
    <w:rsid w:val="00EB138E"/>
    <w:rsid w:val="00EC036C"/>
    <w:rsid w:val="00ED0855"/>
    <w:rsid w:val="00EE44A2"/>
    <w:rsid w:val="00EF4EDC"/>
    <w:rsid w:val="00F1557E"/>
    <w:rsid w:val="00F21220"/>
    <w:rsid w:val="00F35098"/>
    <w:rsid w:val="00F57617"/>
    <w:rsid w:val="00F7315C"/>
    <w:rsid w:val="00F97DF0"/>
    <w:rsid w:val="00FB4771"/>
    <w:rsid w:val="00FB57B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D0624"/>
  <w15:docId w15:val="{D7883876-1B88-4B1D-89D8-D2A5C063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Cs w:val="22"/>
        <w:lang w:val="es-N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rPr>
  </w:style>
  <w:style w:type="paragraph" w:styleId="Ttulo1">
    <w:name w:val="heading 1"/>
    <w:basedOn w:val="Normal"/>
    <w:next w:val="Normal"/>
    <w:uiPriority w:val="9"/>
    <w:qFormat/>
    <w:pPr>
      <w:keepNext/>
      <w:keepLines/>
      <w:spacing w:before="240" w:after="0"/>
      <w:outlineLvl w:val="0"/>
    </w:pPr>
    <w:rPr>
      <w:rFonts w:ascii="Calibri Light" w:eastAsia="SimSun" w:hAnsi="Calibri Light"/>
      <w:color w:val="2F5496"/>
      <w:sz w:val="32"/>
      <w:szCs w:val="32"/>
    </w:rPr>
  </w:style>
  <w:style w:type="paragraph" w:styleId="Ttulo2">
    <w:name w:val="heading 2"/>
    <w:basedOn w:val="Normal"/>
    <w:next w:val="Normal"/>
    <w:uiPriority w:val="9"/>
    <w:unhideWhenUsed/>
    <w:qFormat/>
    <w:rsid w:val="00C15076"/>
    <w:pPr>
      <w:keepNext/>
      <w:keepLines/>
      <w:spacing w:before="40" w:after="0"/>
      <w:outlineLvl w:val="1"/>
    </w:pPr>
    <w:rPr>
      <w:rFonts w:ascii="Times New Roman" w:eastAsia="SimSun" w:hAnsi="Times New Roman"/>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qFormat/>
    <w:rPr>
      <w:rFonts w:ascii="Calibri Light" w:eastAsia="SimSun" w:hAnsi="Calibri Light" w:cs="SimSun"/>
      <w:color w:val="2F5496"/>
      <w:sz w:val="32"/>
      <w:szCs w:val="32"/>
    </w:rPr>
  </w:style>
  <w:style w:type="character" w:customStyle="1" w:styleId="Ttulo2Car">
    <w:name w:val="Título 2 Car"/>
    <w:basedOn w:val="Fuentedeprrafopredeter"/>
    <w:qFormat/>
    <w:rPr>
      <w:rFonts w:ascii="Calibri Light" w:eastAsia="SimSun" w:hAnsi="Calibri Light" w:cs="SimSun"/>
      <w:color w:val="2F5496"/>
      <w:sz w:val="26"/>
      <w:szCs w:val="26"/>
    </w:rPr>
  </w:style>
  <w:style w:type="character" w:customStyle="1" w:styleId="EnlacedeInternet">
    <w:name w:val="Enlace de Internet"/>
    <w:basedOn w:val="Fuentedeprrafopredeter"/>
    <w:rPr>
      <w:color w:val="0563C1"/>
      <w:u w:val="single"/>
    </w:rPr>
  </w:style>
  <w:style w:type="character" w:customStyle="1" w:styleId="Mencinsinresolver1">
    <w:name w:val="Mención sin resolver1"/>
    <w:basedOn w:val="Fuentedeprrafopredeter"/>
    <w:qFormat/>
    <w:rPr>
      <w:color w:val="605E5C"/>
      <w:highlight w:val="lightGray"/>
    </w:rPr>
  </w:style>
  <w:style w:type="character" w:styleId="Hipervnculovisitado">
    <w:name w:val="FollowedHyperlink"/>
    <w:basedOn w:val="Fuentedeprrafopredeter"/>
    <w:qFormat/>
    <w:rPr>
      <w:color w:val="954F72"/>
      <w:u w:val="single"/>
    </w:rPr>
  </w:style>
  <w:style w:type="character" w:customStyle="1" w:styleId="Titulo1">
    <w:name w:val="Titulo 1"/>
    <w:qFormat/>
    <w:rsid w:val="00DD1A23"/>
    <w:rPr>
      <w:rFonts w:ascii="Times New Roman" w:hAnsi="Times New Roman" w:cs="Courier New"/>
      <w:b/>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Titulo10">
    <w:name w:val="Titulo1"/>
    <w:qFormat/>
    <w:rsid w:val="00DD1A23"/>
    <w:rPr>
      <w:rFonts w:ascii="Times New Roman" w:hAnsi="Times New Roman" w:cs="Courier New"/>
      <w:b/>
      <w:color w:val="auto"/>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ascii="Times New Roman" w:hAnsi="Times New Roman" w:cs="Symbol"/>
      <w:sz w:val="24"/>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cs="Symbol"/>
      <w:sz w:val="24"/>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ascii="Times New Roman" w:hAnsi="Times New Roman" w:cs="Symbol"/>
      <w:sz w:val="24"/>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Times New Roman" w:hAnsi="Times New Roman" w:cs="Symbol"/>
      <w:sz w:val="24"/>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ascii="Times New Roman" w:hAnsi="Times New Roman" w:cs="Symbol"/>
      <w:sz w:val="24"/>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Times New Roman" w:hAnsi="Times New Roman" w:cs="Symbol"/>
      <w:sz w:val="24"/>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ascii="Times New Roman" w:hAnsi="Times New Roman" w:cs="Symbol"/>
      <w:sz w:val="24"/>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Times New Roman" w:hAnsi="Times New Roman" w:cs="Symbol"/>
      <w:sz w:val="24"/>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ascii="Times New Roman" w:hAnsi="Times New Roman" w:cs="Symbol"/>
      <w:sz w:val="24"/>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ascii="Times New Roman" w:hAnsi="Times New Roman" w:cs="Symbol"/>
      <w:sz w:val="24"/>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ascii="Times New Roman" w:hAnsi="Times New Roman" w:cs="Symbol"/>
      <w:sz w:val="24"/>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ascii="Times New Roman" w:hAnsi="Times New Roman" w:cs="Symbol"/>
      <w:sz w:val="24"/>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ascii="Times New Roman" w:hAnsi="Times New Roman" w:cs="Symbol"/>
      <w:sz w:val="24"/>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ascii="Times New Roman" w:hAnsi="Times New Roman" w:cs="Wingdings"/>
      <w:sz w:val="24"/>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ascii="Times New Roman" w:hAnsi="Times New Roman" w:cs="Symbol"/>
      <w:sz w:val="24"/>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ascii="Times New Roman" w:hAnsi="Times New Roman" w:cs="Symbol"/>
      <w:sz w:val="24"/>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ascii="Times New Roman" w:hAnsi="Times New Roman" w:cs="Symbol"/>
      <w:sz w:val="24"/>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ascii="Times New Roman" w:hAnsi="Times New Roman" w:cs="Symbol"/>
      <w:sz w:val="24"/>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ascii="Times New Roman" w:hAnsi="Times New Roman" w:cs="Symbol"/>
      <w:sz w:val="24"/>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ascii="Times New Roman" w:hAnsi="Times New Roman" w:cs="Symbol"/>
      <w:sz w:val="24"/>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ascii="Times New Roman" w:hAnsi="Times New Roman" w:cs="Symbol"/>
      <w:sz w:val="24"/>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ascii="Times New Roman" w:hAnsi="Times New Roman" w:cs="Symbol"/>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ascii="Times New Roman" w:hAnsi="Times New Roman" w:cs="Symbol"/>
      <w:sz w:val="24"/>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ascii="Times New Roman" w:hAnsi="Times New Roman" w:cs="Symbol"/>
      <w:sz w:val="24"/>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ascii="Times New Roman" w:hAnsi="Times New Roman" w:cs="Symbol"/>
      <w:sz w:val="24"/>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ascii="Times New Roman" w:hAnsi="Times New Roman" w:cs="Symbol"/>
      <w:sz w:val="24"/>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ascii="Times New Roman" w:hAnsi="Times New Roman" w:cs="Symbol"/>
      <w:sz w:val="24"/>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Times New Roman" w:hAnsi="Times New Roman" w:cs="Wingdings"/>
      <w:sz w:val="24"/>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Vietas">
    <w:name w:val="Viñetas"/>
    <w:qFormat/>
    <w:rPr>
      <w:rFonts w:ascii="OpenSymbol" w:eastAsia="OpenSymbol" w:hAnsi="OpenSymbol" w:cs="OpenSymbol"/>
    </w:rPr>
  </w:style>
  <w:style w:type="character" w:customStyle="1" w:styleId="ListLabel313">
    <w:name w:val="ListLabel 313"/>
    <w:qFormat/>
    <w:rPr>
      <w:rFonts w:ascii="Times New Roman" w:hAnsi="Times New Roman" w:cs="Symbol"/>
      <w:sz w:val="24"/>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ascii="Times New Roman" w:hAnsi="Times New Roman" w:cs="Symbol"/>
      <w:sz w:val="24"/>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ascii="Times New Roman" w:hAnsi="Times New Roman" w:cs="Symbol"/>
      <w:sz w:val="24"/>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ascii="Times New Roman" w:hAnsi="Times New Roman" w:cs="Symbol"/>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ascii="Times New Roman" w:hAnsi="Times New Roman" w:cs="Symbol"/>
      <w:sz w:val="24"/>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ascii="Times New Roman" w:hAnsi="Times New Roman" w:cs="Symbol"/>
      <w:sz w:val="24"/>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ascii="Times New Roman" w:hAnsi="Times New Roman" w:cs="Symbol"/>
      <w:sz w:val="24"/>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ascii="Times New Roman" w:hAnsi="Times New Roman" w:cs="Symbol"/>
      <w:sz w:val="24"/>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ascii="Times New Roman" w:hAnsi="Times New Roman" w:cs="Symbol"/>
      <w:sz w:val="24"/>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Times New Roman" w:hAnsi="Times New Roman" w:cs="Symbol"/>
      <w:sz w:val="24"/>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ascii="Times New Roman" w:hAnsi="Times New Roman" w:cs="Symbol"/>
      <w:sz w:val="24"/>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ascii="Times New Roman" w:hAnsi="Times New Roman" w:cs="Symbol"/>
      <w:sz w:val="24"/>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ascii="Times New Roman" w:hAnsi="Times New Roman" w:cs="Symbol"/>
      <w:sz w:val="24"/>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ascii="Times New Roman" w:hAnsi="Times New Roman" w:cs="Wingdings"/>
      <w:sz w:val="24"/>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ascii="Times New Roman" w:hAnsi="Times New Roman" w:cs="OpenSymbol"/>
      <w:sz w:val="24"/>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ascii="Times New Roman" w:hAnsi="Times New Roman" w:cs="OpenSymbol"/>
      <w:sz w:val="24"/>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ascii="Times New Roman" w:hAnsi="Times New Roman" w:cs="OpenSymbol"/>
      <w:sz w:val="24"/>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ascii="Times New Roman" w:hAnsi="Times New Roman" w:cs="OpenSymbol"/>
      <w:sz w:val="24"/>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ascii="Times New Roman" w:hAnsi="Times New Roman" w:cs="OpenSymbol"/>
      <w:sz w:val="24"/>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Smbolosdenumeracin">
    <w:name w:val="Símbolos de numeración"/>
    <w:qFormat/>
  </w:style>
  <w:style w:type="character" w:customStyle="1" w:styleId="ListLabel493">
    <w:name w:val="ListLabel 493"/>
    <w:qFormat/>
    <w:rPr>
      <w:rFonts w:ascii="Times New Roman" w:hAnsi="Times New Roman" w:cs="Symbol"/>
      <w:sz w:val="24"/>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ascii="Times New Roman" w:hAnsi="Times New Roman" w:cs="Symbol"/>
      <w:sz w:val="24"/>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ascii="Times New Roman" w:hAnsi="Times New Roman" w:cs="Symbol"/>
      <w:sz w:val="24"/>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ascii="Times New Roman" w:hAnsi="Times New Roman" w:cs="Symbol"/>
      <w:sz w:val="24"/>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ascii="Times New Roman" w:hAnsi="Times New Roman" w:cs="Symbol"/>
      <w:sz w:val="24"/>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ascii="Times New Roman" w:hAnsi="Times New Roman" w:cs="Symbol"/>
      <w:sz w:val="24"/>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ascii="Times New Roman" w:hAnsi="Times New Roman" w:cs="Symbol"/>
      <w:sz w:val="24"/>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ascii="Times New Roman" w:hAnsi="Times New Roman" w:cs="Symbol"/>
      <w:sz w:val="24"/>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ascii="Times New Roman" w:hAnsi="Times New Roman" w:cs="Symbol"/>
      <w:sz w:val="24"/>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rFonts w:ascii="Times New Roman" w:hAnsi="Times New Roman" w:cs="Symbol"/>
      <w:sz w:val="24"/>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ascii="Times New Roman" w:hAnsi="Times New Roman" w:cs="Symbol"/>
      <w:sz w:val="24"/>
    </w:rPr>
  </w:style>
  <w:style w:type="character" w:customStyle="1" w:styleId="ListLabel584">
    <w:name w:val="ListLabel 584"/>
    <w:qFormat/>
    <w:rPr>
      <w:rFonts w:cs="Courier New"/>
    </w:rPr>
  </w:style>
  <w:style w:type="character" w:customStyle="1" w:styleId="ListLabel585">
    <w:name w:val="ListLabel 585"/>
    <w:qFormat/>
    <w:rPr>
      <w:rFonts w:cs="Wingdings"/>
    </w:rPr>
  </w:style>
  <w:style w:type="character" w:customStyle="1" w:styleId="ListLabel586">
    <w:name w:val="ListLabel 586"/>
    <w:qFormat/>
    <w:rPr>
      <w:rFonts w:cs="Symbol"/>
    </w:rPr>
  </w:style>
  <w:style w:type="character" w:customStyle="1" w:styleId="ListLabel587">
    <w:name w:val="ListLabel 587"/>
    <w:qFormat/>
    <w:rPr>
      <w:rFonts w:cs="Courier New"/>
    </w:rPr>
  </w:style>
  <w:style w:type="character" w:customStyle="1" w:styleId="ListLabel588">
    <w:name w:val="ListLabel 588"/>
    <w:qFormat/>
    <w:rPr>
      <w:rFonts w:cs="Wingdings"/>
    </w:rPr>
  </w:style>
  <w:style w:type="character" w:customStyle="1" w:styleId="ListLabel589">
    <w:name w:val="ListLabel 589"/>
    <w:qFormat/>
    <w:rPr>
      <w:rFonts w:cs="Symbol"/>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ascii="Times New Roman" w:hAnsi="Times New Roman" w:cs="Symbol"/>
      <w:sz w:val="24"/>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ascii="Times New Roman" w:hAnsi="Times New Roman" w:cs="Symbol"/>
      <w:sz w:val="24"/>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ascii="Times New Roman" w:hAnsi="Times New Roman" w:cs="Wingdings"/>
      <w:sz w:val="24"/>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ascii="Times New Roman" w:hAnsi="Times New Roman" w:cs="OpenSymbol"/>
      <w:sz w:val="24"/>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ascii="Times New Roman" w:hAnsi="Times New Roman" w:cs="OpenSymbol"/>
      <w:sz w:val="24"/>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ascii="Times New Roman" w:hAnsi="Times New Roman" w:cs="OpenSymbol"/>
      <w:sz w:val="24"/>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ascii="Times New Roman" w:hAnsi="Times New Roman" w:cs="OpenSymbol"/>
      <w:sz w:val="24"/>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ascii="Times New Roman" w:hAnsi="Times New Roman" w:cs="OpenSymbol"/>
      <w:sz w:val="24"/>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ascii="Times New Roman" w:hAnsi="Times New Roman" w:cs="Symbol"/>
      <w:sz w:val="24"/>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Symbol"/>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cs="Symbol"/>
    </w:rPr>
  </w:style>
  <w:style w:type="character" w:customStyle="1" w:styleId="ListLabel680">
    <w:name w:val="ListLabel 680"/>
    <w:qFormat/>
    <w:rPr>
      <w:rFonts w:cs="Courier New"/>
    </w:rPr>
  </w:style>
  <w:style w:type="character" w:customStyle="1" w:styleId="ListLabel681">
    <w:name w:val="ListLabel 681"/>
    <w:qFormat/>
    <w:rPr>
      <w:rFonts w:cs="Wingdings"/>
    </w:rPr>
  </w:style>
  <w:style w:type="character" w:customStyle="1" w:styleId="ListLabel682">
    <w:name w:val="ListLabel 682"/>
    <w:qFormat/>
    <w:rPr>
      <w:rFonts w:ascii="Times New Roman" w:hAnsi="Times New Roman" w:cs="Symbol"/>
      <w:sz w:val="24"/>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cs="Symbol"/>
    </w:rPr>
  </w:style>
  <w:style w:type="character" w:customStyle="1" w:styleId="ListLabel689">
    <w:name w:val="ListLabel 689"/>
    <w:qFormat/>
    <w:rPr>
      <w:rFonts w:cs="Courier New"/>
    </w:rPr>
  </w:style>
  <w:style w:type="character" w:customStyle="1" w:styleId="ListLabel690">
    <w:name w:val="ListLabel 690"/>
    <w:qFormat/>
    <w:rPr>
      <w:rFonts w:cs="Wingdings"/>
    </w:rPr>
  </w:style>
  <w:style w:type="character" w:customStyle="1" w:styleId="ListLabel691">
    <w:name w:val="ListLabel 691"/>
    <w:qFormat/>
    <w:rPr>
      <w:rFonts w:ascii="Times New Roman" w:hAnsi="Times New Roman" w:cs="Symbol"/>
      <w:sz w:val="24"/>
    </w:rPr>
  </w:style>
  <w:style w:type="character" w:customStyle="1" w:styleId="ListLabel692">
    <w:name w:val="ListLabel 692"/>
    <w:qFormat/>
    <w:rPr>
      <w:rFonts w:cs="Courier New"/>
    </w:rPr>
  </w:style>
  <w:style w:type="character" w:customStyle="1" w:styleId="ListLabel693">
    <w:name w:val="ListLabel 693"/>
    <w:qFormat/>
    <w:rPr>
      <w:rFonts w:cs="Wingdings"/>
    </w:rPr>
  </w:style>
  <w:style w:type="character" w:customStyle="1" w:styleId="ListLabel694">
    <w:name w:val="ListLabel 694"/>
    <w:qFormat/>
    <w:rPr>
      <w:rFonts w:cs="Symbol"/>
    </w:rPr>
  </w:style>
  <w:style w:type="character" w:customStyle="1" w:styleId="ListLabel695">
    <w:name w:val="ListLabel 695"/>
    <w:qFormat/>
    <w:rPr>
      <w:rFonts w:cs="Courier New"/>
    </w:rPr>
  </w:style>
  <w:style w:type="character" w:customStyle="1" w:styleId="ListLabel696">
    <w:name w:val="ListLabel 696"/>
    <w:qFormat/>
    <w:rPr>
      <w:rFonts w:cs="Wingdings"/>
    </w:rPr>
  </w:style>
  <w:style w:type="character" w:customStyle="1" w:styleId="ListLabel697">
    <w:name w:val="ListLabel 697"/>
    <w:qFormat/>
    <w:rPr>
      <w:rFonts w:cs="Symbol"/>
    </w:rPr>
  </w:style>
  <w:style w:type="character" w:customStyle="1" w:styleId="ListLabel698">
    <w:name w:val="ListLabel 698"/>
    <w:qFormat/>
    <w:rPr>
      <w:rFonts w:cs="Courier New"/>
    </w:rPr>
  </w:style>
  <w:style w:type="character" w:customStyle="1" w:styleId="ListLabel699">
    <w:name w:val="ListLabel 699"/>
    <w:qFormat/>
    <w:rPr>
      <w:rFonts w:cs="Wingdings"/>
    </w:rPr>
  </w:style>
  <w:style w:type="character" w:customStyle="1" w:styleId="ListLabel700">
    <w:name w:val="ListLabel 700"/>
    <w:qFormat/>
    <w:rPr>
      <w:rFonts w:ascii="Times New Roman" w:hAnsi="Times New Roman" w:cs="Symbol"/>
      <w:sz w:val="24"/>
    </w:rPr>
  </w:style>
  <w:style w:type="character" w:customStyle="1" w:styleId="ListLabel701">
    <w:name w:val="ListLabel 701"/>
    <w:qFormat/>
    <w:rPr>
      <w:rFonts w:cs="Courier New"/>
    </w:rPr>
  </w:style>
  <w:style w:type="character" w:customStyle="1" w:styleId="ListLabel702">
    <w:name w:val="ListLabel 702"/>
    <w:qFormat/>
    <w:rPr>
      <w:rFonts w:cs="Wingdings"/>
    </w:rPr>
  </w:style>
  <w:style w:type="character" w:customStyle="1" w:styleId="ListLabel703">
    <w:name w:val="ListLabel 703"/>
    <w:qFormat/>
    <w:rPr>
      <w:rFonts w:cs="Symbol"/>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ascii="Times New Roman" w:hAnsi="Times New Roman" w:cs="Symbol"/>
      <w:sz w:val="24"/>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cs="Symbol"/>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ascii="Times New Roman" w:hAnsi="Times New Roman" w:cs="Symbol"/>
      <w:sz w:val="24"/>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cs="Symbol"/>
    </w:rPr>
  </w:style>
  <w:style w:type="character" w:customStyle="1" w:styleId="ListLabel722">
    <w:name w:val="ListLabel 722"/>
    <w:qFormat/>
    <w:rPr>
      <w:rFonts w:cs="Courier New"/>
    </w:rPr>
  </w:style>
  <w:style w:type="character" w:customStyle="1" w:styleId="ListLabel723">
    <w:name w:val="ListLabel 723"/>
    <w:qFormat/>
    <w:rPr>
      <w:rFonts w:cs="Wingdings"/>
    </w:rPr>
  </w:style>
  <w:style w:type="character" w:customStyle="1" w:styleId="ListLabel724">
    <w:name w:val="ListLabel 724"/>
    <w:qFormat/>
    <w:rPr>
      <w:rFonts w:cs="Symbol"/>
    </w:rPr>
  </w:style>
  <w:style w:type="character" w:customStyle="1" w:styleId="ListLabel725">
    <w:name w:val="ListLabel 725"/>
    <w:qFormat/>
    <w:rPr>
      <w:rFonts w:cs="Courier New"/>
    </w:rPr>
  </w:style>
  <w:style w:type="character" w:customStyle="1" w:styleId="ListLabel726">
    <w:name w:val="ListLabel 726"/>
    <w:qFormat/>
    <w:rPr>
      <w:rFonts w:cs="Wingdings"/>
    </w:rPr>
  </w:style>
  <w:style w:type="character" w:customStyle="1" w:styleId="ListLabel727">
    <w:name w:val="ListLabel 727"/>
    <w:qFormat/>
    <w:rPr>
      <w:rFonts w:ascii="Times New Roman" w:hAnsi="Times New Roman" w:cs="Symbol"/>
      <w:sz w:val="24"/>
    </w:rPr>
  </w:style>
  <w:style w:type="character" w:customStyle="1" w:styleId="ListLabel728">
    <w:name w:val="ListLabel 728"/>
    <w:qFormat/>
    <w:rPr>
      <w:rFonts w:cs="Courier New"/>
    </w:rPr>
  </w:style>
  <w:style w:type="character" w:customStyle="1" w:styleId="ListLabel729">
    <w:name w:val="ListLabel 729"/>
    <w:qFormat/>
    <w:rPr>
      <w:rFonts w:cs="Wingdings"/>
    </w:rPr>
  </w:style>
  <w:style w:type="character" w:customStyle="1" w:styleId="ListLabel730">
    <w:name w:val="ListLabel 730"/>
    <w:qFormat/>
    <w:rPr>
      <w:rFonts w:cs="Symbol"/>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cs="Symbol"/>
    </w:rPr>
  </w:style>
  <w:style w:type="character" w:customStyle="1" w:styleId="ListLabel734">
    <w:name w:val="ListLabel 734"/>
    <w:qFormat/>
    <w:rPr>
      <w:rFonts w:cs="Courier New"/>
    </w:rPr>
  </w:style>
  <w:style w:type="character" w:customStyle="1" w:styleId="ListLabel735">
    <w:name w:val="ListLabel 735"/>
    <w:qFormat/>
    <w:rPr>
      <w:rFonts w:cs="Wingdings"/>
    </w:rPr>
  </w:style>
  <w:style w:type="character" w:customStyle="1" w:styleId="ListLabel736">
    <w:name w:val="ListLabel 736"/>
    <w:qFormat/>
    <w:rPr>
      <w:rFonts w:ascii="Times New Roman" w:hAnsi="Times New Roman" w:cs="Symbol"/>
      <w:sz w:val="24"/>
    </w:rPr>
  </w:style>
  <w:style w:type="character" w:customStyle="1" w:styleId="ListLabel737">
    <w:name w:val="ListLabel 737"/>
    <w:qFormat/>
    <w:rPr>
      <w:rFonts w:cs="Courier New"/>
    </w:rPr>
  </w:style>
  <w:style w:type="character" w:customStyle="1" w:styleId="ListLabel738">
    <w:name w:val="ListLabel 738"/>
    <w:qFormat/>
    <w:rPr>
      <w:rFonts w:cs="Wingdings"/>
    </w:rPr>
  </w:style>
  <w:style w:type="character" w:customStyle="1" w:styleId="ListLabel739">
    <w:name w:val="ListLabel 739"/>
    <w:qFormat/>
    <w:rPr>
      <w:rFonts w:cs="Symbol"/>
    </w:rPr>
  </w:style>
  <w:style w:type="character" w:customStyle="1" w:styleId="ListLabel740">
    <w:name w:val="ListLabel 740"/>
    <w:qFormat/>
    <w:rPr>
      <w:rFonts w:cs="Courier New"/>
    </w:rPr>
  </w:style>
  <w:style w:type="character" w:customStyle="1" w:styleId="ListLabel741">
    <w:name w:val="ListLabel 741"/>
    <w:qFormat/>
    <w:rPr>
      <w:rFonts w:cs="Wingdings"/>
    </w:rPr>
  </w:style>
  <w:style w:type="character" w:customStyle="1" w:styleId="ListLabel742">
    <w:name w:val="ListLabel 742"/>
    <w:qFormat/>
    <w:rPr>
      <w:rFonts w:cs="Symbol"/>
    </w:rPr>
  </w:style>
  <w:style w:type="character" w:customStyle="1" w:styleId="ListLabel743">
    <w:name w:val="ListLabel 743"/>
    <w:qFormat/>
    <w:rPr>
      <w:rFonts w:cs="Courier New"/>
    </w:rPr>
  </w:style>
  <w:style w:type="character" w:customStyle="1" w:styleId="ListLabel744">
    <w:name w:val="ListLabel 744"/>
    <w:qFormat/>
    <w:rPr>
      <w:rFonts w:cs="Wingdings"/>
    </w:rPr>
  </w:style>
  <w:style w:type="character" w:customStyle="1" w:styleId="ListLabel745">
    <w:name w:val="ListLabel 745"/>
    <w:qFormat/>
    <w:rPr>
      <w:rFonts w:ascii="Times New Roman" w:hAnsi="Times New Roman" w:cs="Symbol"/>
      <w:sz w:val="24"/>
    </w:rPr>
  </w:style>
  <w:style w:type="character" w:customStyle="1" w:styleId="ListLabel746">
    <w:name w:val="ListLabel 746"/>
    <w:qFormat/>
    <w:rPr>
      <w:rFonts w:cs="Courier New"/>
    </w:rPr>
  </w:style>
  <w:style w:type="character" w:customStyle="1" w:styleId="ListLabel747">
    <w:name w:val="ListLabel 747"/>
    <w:qFormat/>
    <w:rPr>
      <w:rFonts w:cs="Wingdings"/>
    </w:rPr>
  </w:style>
  <w:style w:type="character" w:customStyle="1" w:styleId="ListLabel748">
    <w:name w:val="ListLabel 748"/>
    <w:qFormat/>
    <w:rPr>
      <w:rFonts w:cs="Symbol"/>
    </w:rPr>
  </w:style>
  <w:style w:type="character" w:customStyle="1" w:styleId="ListLabel749">
    <w:name w:val="ListLabel 749"/>
    <w:qFormat/>
    <w:rPr>
      <w:rFonts w:cs="Courier New"/>
    </w:rPr>
  </w:style>
  <w:style w:type="character" w:customStyle="1" w:styleId="ListLabel750">
    <w:name w:val="ListLabel 750"/>
    <w:qFormat/>
    <w:rPr>
      <w:rFonts w:cs="Wingdings"/>
    </w:rPr>
  </w:style>
  <w:style w:type="character" w:customStyle="1" w:styleId="ListLabel751">
    <w:name w:val="ListLabel 751"/>
    <w:qFormat/>
    <w:rPr>
      <w:rFonts w:cs="Symbol"/>
    </w:rPr>
  </w:style>
  <w:style w:type="character" w:customStyle="1" w:styleId="ListLabel752">
    <w:name w:val="ListLabel 752"/>
    <w:qFormat/>
    <w:rPr>
      <w:rFonts w:cs="Courier New"/>
    </w:rPr>
  </w:style>
  <w:style w:type="character" w:customStyle="1" w:styleId="ListLabel753">
    <w:name w:val="ListLabel 753"/>
    <w:qFormat/>
    <w:rPr>
      <w:rFonts w:cs="Wingdings"/>
    </w:rPr>
  </w:style>
  <w:style w:type="character" w:customStyle="1" w:styleId="ListLabel754">
    <w:name w:val="ListLabel 754"/>
    <w:qFormat/>
    <w:rPr>
      <w:rFonts w:ascii="Times New Roman" w:hAnsi="Times New Roman" w:cs="Symbol"/>
      <w:sz w:val="24"/>
    </w:rPr>
  </w:style>
  <w:style w:type="character" w:customStyle="1" w:styleId="ListLabel755">
    <w:name w:val="ListLabel 755"/>
    <w:qFormat/>
    <w:rPr>
      <w:rFonts w:cs="Courier New"/>
    </w:rPr>
  </w:style>
  <w:style w:type="character" w:customStyle="1" w:styleId="ListLabel756">
    <w:name w:val="ListLabel 756"/>
    <w:qFormat/>
    <w:rPr>
      <w:rFonts w:cs="Wingdings"/>
    </w:rPr>
  </w:style>
  <w:style w:type="character" w:customStyle="1" w:styleId="ListLabel757">
    <w:name w:val="ListLabel 757"/>
    <w:qFormat/>
    <w:rPr>
      <w:rFonts w:cs="Symbol"/>
    </w:rPr>
  </w:style>
  <w:style w:type="character" w:customStyle="1" w:styleId="ListLabel758">
    <w:name w:val="ListLabel 758"/>
    <w:qFormat/>
    <w:rPr>
      <w:rFonts w:cs="Courier New"/>
    </w:rPr>
  </w:style>
  <w:style w:type="character" w:customStyle="1" w:styleId="ListLabel759">
    <w:name w:val="ListLabel 759"/>
    <w:qFormat/>
    <w:rPr>
      <w:rFonts w:cs="Wingdings"/>
    </w:rPr>
  </w:style>
  <w:style w:type="character" w:customStyle="1" w:styleId="ListLabel760">
    <w:name w:val="ListLabel 760"/>
    <w:qFormat/>
    <w:rPr>
      <w:rFonts w:cs="Symbol"/>
    </w:rPr>
  </w:style>
  <w:style w:type="character" w:customStyle="1" w:styleId="ListLabel761">
    <w:name w:val="ListLabel 761"/>
    <w:qFormat/>
    <w:rPr>
      <w:rFonts w:cs="Courier New"/>
    </w:rPr>
  </w:style>
  <w:style w:type="character" w:customStyle="1" w:styleId="ListLabel762">
    <w:name w:val="ListLabel 762"/>
    <w:qFormat/>
    <w:rPr>
      <w:rFonts w:cs="Wingdings"/>
    </w:rPr>
  </w:style>
  <w:style w:type="character" w:customStyle="1" w:styleId="ListLabel763">
    <w:name w:val="ListLabel 763"/>
    <w:qFormat/>
    <w:rPr>
      <w:rFonts w:ascii="Times New Roman" w:hAnsi="Times New Roman" w:cs="Symbol"/>
      <w:sz w:val="24"/>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rFonts w:cs="Symbol"/>
    </w:rPr>
  </w:style>
  <w:style w:type="character" w:customStyle="1" w:styleId="ListLabel770">
    <w:name w:val="ListLabel 770"/>
    <w:qFormat/>
    <w:rPr>
      <w:rFonts w:cs="Courier New"/>
    </w:rPr>
  </w:style>
  <w:style w:type="character" w:customStyle="1" w:styleId="ListLabel771">
    <w:name w:val="ListLabel 771"/>
    <w:qFormat/>
    <w:rPr>
      <w:rFonts w:cs="Wingdings"/>
    </w:rPr>
  </w:style>
  <w:style w:type="character" w:customStyle="1" w:styleId="ListLabel772">
    <w:name w:val="ListLabel 772"/>
    <w:qFormat/>
    <w:rPr>
      <w:rFonts w:ascii="Times New Roman" w:hAnsi="Times New Roman" w:cs="Symbol"/>
      <w:sz w:val="24"/>
    </w:rPr>
  </w:style>
  <w:style w:type="character" w:customStyle="1" w:styleId="ListLabel773">
    <w:name w:val="ListLabel 773"/>
    <w:qFormat/>
    <w:rPr>
      <w:rFonts w:cs="Courier New"/>
    </w:rPr>
  </w:style>
  <w:style w:type="character" w:customStyle="1" w:styleId="ListLabel774">
    <w:name w:val="ListLabel 774"/>
    <w:qFormat/>
    <w:rPr>
      <w:rFonts w:cs="Wingdings"/>
    </w:rPr>
  </w:style>
  <w:style w:type="character" w:customStyle="1" w:styleId="ListLabel775">
    <w:name w:val="ListLabel 775"/>
    <w:qFormat/>
    <w:rPr>
      <w:rFonts w:cs="Symbol"/>
    </w:rPr>
  </w:style>
  <w:style w:type="character" w:customStyle="1" w:styleId="ListLabel776">
    <w:name w:val="ListLabel 776"/>
    <w:qFormat/>
    <w:rPr>
      <w:rFonts w:cs="Courier New"/>
    </w:rPr>
  </w:style>
  <w:style w:type="character" w:customStyle="1" w:styleId="ListLabel777">
    <w:name w:val="ListLabel 777"/>
    <w:qFormat/>
    <w:rPr>
      <w:rFonts w:cs="Wingdings"/>
    </w:rPr>
  </w:style>
  <w:style w:type="character" w:customStyle="1" w:styleId="ListLabel778">
    <w:name w:val="ListLabel 778"/>
    <w:qFormat/>
    <w:rPr>
      <w:rFonts w:cs="Symbol"/>
    </w:rPr>
  </w:style>
  <w:style w:type="character" w:customStyle="1" w:styleId="ListLabel779">
    <w:name w:val="ListLabel 779"/>
    <w:qFormat/>
    <w:rPr>
      <w:rFonts w:cs="Courier New"/>
    </w:rPr>
  </w:style>
  <w:style w:type="character" w:customStyle="1" w:styleId="ListLabel780">
    <w:name w:val="ListLabel 780"/>
    <w:qFormat/>
    <w:rPr>
      <w:rFonts w:cs="Wingdings"/>
    </w:rPr>
  </w:style>
  <w:style w:type="character" w:customStyle="1" w:styleId="ListLabel781">
    <w:name w:val="ListLabel 781"/>
    <w:qFormat/>
    <w:rPr>
      <w:rFonts w:ascii="Times New Roman" w:hAnsi="Times New Roman" w:cs="Symbol"/>
      <w:sz w:val="24"/>
    </w:rPr>
  </w:style>
  <w:style w:type="character" w:customStyle="1" w:styleId="ListLabel782">
    <w:name w:val="ListLabel 782"/>
    <w:qFormat/>
    <w:rPr>
      <w:rFonts w:cs="Courier New"/>
    </w:rPr>
  </w:style>
  <w:style w:type="character" w:customStyle="1" w:styleId="ListLabel783">
    <w:name w:val="ListLabel 783"/>
    <w:qFormat/>
    <w:rPr>
      <w:rFonts w:cs="Wingdings"/>
    </w:rPr>
  </w:style>
  <w:style w:type="character" w:customStyle="1" w:styleId="ListLabel784">
    <w:name w:val="ListLabel 784"/>
    <w:qFormat/>
    <w:rPr>
      <w:rFonts w:cs="Symbol"/>
    </w:rPr>
  </w:style>
  <w:style w:type="character" w:customStyle="1" w:styleId="ListLabel785">
    <w:name w:val="ListLabel 785"/>
    <w:qFormat/>
    <w:rPr>
      <w:rFonts w:cs="Courier New"/>
    </w:rPr>
  </w:style>
  <w:style w:type="character" w:customStyle="1" w:styleId="ListLabel786">
    <w:name w:val="ListLabel 786"/>
    <w:qFormat/>
    <w:rPr>
      <w:rFonts w:cs="Wingdings"/>
    </w:rPr>
  </w:style>
  <w:style w:type="character" w:customStyle="1" w:styleId="ListLabel787">
    <w:name w:val="ListLabel 787"/>
    <w:qFormat/>
    <w:rPr>
      <w:rFonts w:cs="Symbol"/>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rFonts w:ascii="Times New Roman" w:hAnsi="Times New Roman" w:cs="Wingdings"/>
      <w:sz w:val="24"/>
    </w:rPr>
  </w:style>
  <w:style w:type="character" w:customStyle="1" w:styleId="ListLabel791">
    <w:name w:val="ListLabel 791"/>
    <w:qFormat/>
    <w:rPr>
      <w:rFonts w:cs="Courier New"/>
    </w:rPr>
  </w:style>
  <w:style w:type="character" w:customStyle="1" w:styleId="ListLabel792">
    <w:name w:val="ListLabel 792"/>
    <w:qFormat/>
    <w:rPr>
      <w:rFonts w:cs="Wingdings"/>
    </w:rPr>
  </w:style>
  <w:style w:type="character" w:customStyle="1" w:styleId="ListLabel793">
    <w:name w:val="ListLabel 793"/>
    <w:qFormat/>
    <w:rPr>
      <w:rFonts w:cs="Symbol"/>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rFonts w:cs="Symbol"/>
    </w:rPr>
  </w:style>
  <w:style w:type="character" w:customStyle="1" w:styleId="ListLabel797">
    <w:name w:val="ListLabel 797"/>
    <w:qFormat/>
    <w:rPr>
      <w:rFonts w:cs="Courier New"/>
    </w:rPr>
  </w:style>
  <w:style w:type="character" w:customStyle="1" w:styleId="ListLabel798">
    <w:name w:val="ListLabel 798"/>
    <w:qFormat/>
    <w:rPr>
      <w:rFonts w:cs="Wingdings"/>
    </w:rPr>
  </w:style>
  <w:style w:type="character" w:customStyle="1" w:styleId="ListLabel799">
    <w:name w:val="ListLabel 799"/>
    <w:qFormat/>
    <w:rPr>
      <w:rFonts w:ascii="Times New Roman" w:hAnsi="Times New Roman" w:cs="OpenSymbol"/>
      <w:sz w:val="24"/>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ascii="Times New Roman" w:hAnsi="Times New Roman" w:cs="OpenSymbol"/>
      <w:sz w:val="24"/>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ascii="Times New Roman" w:hAnsi="Times New Roman" w:cs="OpenSymbol"/>
      <w:sz w:val="24"/>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ascii="Times New Roman" w:hAnsi="Times New Roman" w:cs="OpenSymbol"/>
      <w:sz w:val="24"/>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ascii="Times New Roman" w:hAnsi="Times New Roman" w:cs="OpenSymbol"/>
      <w:sz w:val="24"/>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ascii="Times New Roman" w:hAnsi="Times New Roman" w:cs="Symbol"/>
      <w:sz w:val="24"/>
    </w:rPr>
  </w:style>
  <w:style w:type="character" w:customStyle="1" w:styleId="ListLabel854">
    <w:name w:val="ListLabel 854"/>
    <w:qFormat/>
    <w:rPr>
      <w:rFonts w:cs="Courier New"/>
    </w:rPr>
  </w:style>
  <w:style w:type="character" w:customStyle="1" w:styleId="ListLabel855">
    <w:name w:val="ListLabel 855"/>
    <w:qFormat/>
    <w:rPr>
      <w:rFonts w:cs="Wingdings"/>
    </w:rPr>
  </w:style>
  <w:style w:type="character" w:customStyle="1" w:styleId="ListLabel856">
    <w:name w:val="ListLabel 856"/>
    <w:qFormat/>
    <w:rPr>
      <w:rFonts w:cs="Symbol"/>
    </w:rPr>
  </w:style>
  <w:style w:type="character" w:customStyle="1" w:styleId="ListLabel857">
    <w:name w:val="ListLabel 857"/>
    <w:qFormat/>
    <w:rPr>
      <w:rFonts w:cs="Courier New"/>
    </w:rPr>
  </w:style>
  <w:style w:type="character" w:customStyle="1" w:styleId="ListLabel858">
    <w:name w:val="ListLabel 858"/>
    <w:qFormat/>
    <w:rPr>
      <w:rFonts w:cs="Wingdings"/>
    </w:rPr>
  </w:style>
  <w:style w:type="character" w:customStyle="1" w:styleId="ListLabel859">
    <w:name w:val="ListLabel 859"/>
    <w:qFormat/>
    <w:rPr>
      <w:rFonts w:cs="Symbol"/>
    </w:rPr>
  </w:style>
  <w:style w:type="character" w:customStyle="1" w:styleId="ListLabel860">
    <w:name w:val="ListLabel 860"/>
    <w:qFormat/>
    <w:rPr>
      <w:rFonts w:cs="Courier New"/>
    </w:rPr>
  </w:style>
  <w:style w:type="character" w:customStyle="1" w:styleId="ListLabel861">
    <w:name w:val="ListLabel 861"/>
    <w:qFormat/>
    <w:rPr>
      <w:rFonts w:cs="Wingdings"/>
    </w:rPr>
  </w:style>
  <w:style w:type="character" w:customStyle="1" w:styleId="ListLabel862">
    <w:name w:val="ListLabel 862"/>
    <w:qFormat/>
    <w:rPr>
      <w:rFonts w:ascii="Times New Roman" w:hAnsi="Times New Roman" w:cs="Symbol"/>
      <w:sz w:val="24"/>
    </w:rPr>
  </w:style>
  <w:style w:type="character" w:customStyle="1" w:styleId="ListLabel863">
    <w:name w:val="ListLabel 863"/>
    <w:qFormat/>
    <w:rPr>
      <w:rFonts w:cs="Courier New"/>
    </w:rPr>
  </w:style>
  <w:style w:type="character" w:customStyle="1" w:styleId="ListLabel864">
    <w:name w:val="ListLabel 864"/>
    <w:qFormat/>
    <w:rPr>
      <w:rFonts w:cs="Wingdings"/>
    </w:rPr>
  </w:style>
  <w:style w:type="character" w:customStyle="1" w:styleId="ListLabel865">
    <w:name w:val="ListLabel 865"/>
    <w:qFormat/>
    <w:rPr>
      <w:rFonts w:cs="Symbol"/>
    </w:rPr>
  </w:style>
  <w:style w:type="character" w:customStyle="1" w:styleId="ListLabel866">
    <w:name w:val="ListLabel 866"/>
    <w:qFormat/>
    <w:rPr>
      <w:rFonts w:cs="Courier New"/>
    </w:rPr>
  </w:style>
  <w:style w:type="character" w:customStyle="1" w:styleId="ListLabel867">
    <w:name w:val="ListLabel 867"/>
    <w:qFormat/>
    <w:rPr>
      <w:rFonts w:cs="Wingdings"/>
    </w:rPr>
  </w:style>
  <w:style w:type="character" w:customStyle="1" w:styleId="ListLabel868">
    <w:name w:val="ListLabel 868"/>
    <w:qFormat/>
    <w:rPr>
      <w:rFonts w:cs="Symbol"/>
    </w:rPr>
  </w:style>
  <w:style w:type="character" w:customStyle="1" w:styleId="ListLabel869">
    <w:name w:val="ListLabel 869"/>
    <w:qFormat/>
    <w:rPr>
      <w:rFonts w:cs="Courier New"/>
    </w:rPr>
  </w:style>
  <w:style w:type="character" w:customStyle="1" w:styleId="ListLabel870">
    <w:name w:val="ListLabel 870"/>
    <w:qFormat/>
    <w:rPr>
      <w:rFonts w:cs="Wingdings"/>
    </w:rPr>
  </w:style>
  <w:style w:type="character" w:customStyle="1" w:styleId="ListLabel871">
    <w:name w:val="ListLabel 871"/>
    <w:qFormat/>
    <w:rPr>
      <w:rFonts w:ascii="Times New Roman" w:hAnsi="Times New Roman" w:cs="Symbol"/>
      <w:sz w:val="24"/>
    </w:rPr>
  </w:style>
  <w:style w:type="character" w:customStyle="1" w:styleId="ListLabel872">
    <w:name w:val="ListLabel 872"/>
    <w:qFormat/>
    <w:rPr>
      <w:rFonts w:cs="Courier New"/>
    </w:rPr>
  </w:style>
  <w:style w:type="character" w:customStyle="1" w:styleId="ListLabel873">
    <w:name w:val="ListLabel 873"/>
    <w:qFormat/>
    <w:rPr>
      <w:rFonts w:cs="Wingdings"/>
    </w:rPr>
  </w:style>
  <w:style w:type="character" w:customStyle="1" w:styleId="ListLabel874">
    <w:name w:val="ListLabel 874"/>
    <w:qFormat/>
    <w:rPr>
      <w:rFonts w:cs="Symbol"/>
    </w:rPr>
  </w:style>
  <w:style w:type="character" w:customStyle="1" w:styleId="ListLabel875">
    <w:name w:val="ListLabel 875"/>
    <w:qFormat/>
    <w:rPr>
      <w:rFonts w:cs="Courier New"/>
    </w:rPr>
  </w:style>
  <w:style w:type="character" w:customStyle="1" w:styleId="ListLabel876">
    <w:name w:val="ListLabel 876"/>
    <w:qFormat/>
    <w:rPr>
      <w:rFonts w:cs="Wingdings"/>
    </w:rPr>
  </w:style>
  <w:style w:type="character" w:customStyle="1" w:styleId="ListLabel877">
    <w:name w:val="ListLabel 877"/>
    <w:qFormat/>
    <w:rPr>
      <w:rFonts w:cs="Symbol"/>
    </w:rPr>
  </w:style>
  <w:style w:type="character" w:customStyle="1" w:styleId="ListLabel878">
    <w:name w:val="ListLabel 878"/>
    <w:qFormat/>
    <w:rPr>
      <w:rFonts w:cs="Courier New"/>
    </w:rPr>
  </w:style>
  <w:style w:type="character" w:customStyle="1" w:styleId="ListLabel879">
    <w:name w:val="ListLabel 879"/>
    <w:qFormat/>
    <w:rPr>
      <w:rFonts w:cs="Wingdings"/>
    </w:rPr>
  </w:style>
  <w:style w:type="character" w:customStyle="1" w:styleId="ListLabel880">
    <w:name w:val="ListLabel 880"/>
    <w:qFormat/>
    <w:rPr>
      <w:rFonts w:ascii="Times New Roman" w:hAnsi="Times New Roman" w:cs="Symbol"/>
      <w:sz w:val="24"/>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cs="Symbol"/>
    </w:rPr>
  </w:style>
  <w:style w:type="character" w:customStyle="1" w:styleId="ListLabel887">
    <w:name w:val="ListLabel 887"/>
    <w:qFormat/>
    <w:rPr>
      <w:rFonts w:cs="Courier New"/>
    </w:rPr>
  </w:style>
  <w:style w:type="character" w:customStyle="1" w:styleId="ListLabel888">
    <w:name w:val="ListLabel 888"/>
    <w:qFormat/>
    <w:rPr>
      <w:rFonts w:cs="Wingdings"/>
    </w:rPr>
  </w:style>
  <w:style w:type="character" w:customStyle="1" w:styleId="ListLabel889">
    <w:name w:val="ListLabel 889"/>
    <w:qFormat/>
    <w:rPr>
      <w:rFonts w:ascii="Times New Roman" w:hAnsi="Times New Roman" w:cs="Symbol"/>
      <w:sz w:val="24"/>
    </w:rPr>
  </w:style>
  <w:style w:type="character" w:customStyle="1" w:styleId="ListLabel890">
    <w:name w:val="ListLabel 890"/>
    <w:qFormat/>
    <w:rPr>
      <w:rFonts w:cs="Courier New"/>
    </w:rPr>
  </w:style>
  <w:style w:type="character" w:customStyle="1" w:styleId="ListLabel891">
    <w:name w:val="ListLabel 891"/>
    <w:qFormat/>
    <w:rPr>
      <w:rFonts w:cs="Wingdings"/>
    </w:rPr>
  </w:style>
  <w:style w:type="character" w:customStyle="1" w:styleId="ListLabel892">
    <w:name w:val="ListLabel 892"/>
    <w:qFormat/>
    <w:rPr>
      <w:rFonts w:cs="Symbol"/>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Symbol"/>
    </w:rPr>
  </w:style>
  <w:style w:type="character" w:customStyle="1" w:styleId="ListLabel896">
    <w:name w:val="ListLabel 896"/>
    <w:qFormat/>
    <w:rPr>
      <w:rFonts w:cs="Courier New"/>
    </w:rPr>
  </w:style>
  <w:style w:type="character" w:customStyle="1" w:styleId="ListLabel897">
    <w:name w:val="ListLabel 897"/>
    <w:qFormat/>
    <w:rPr>
      <w:rFonts w:cs="Wingdings"/>
    </w:rPr>
  </w:style>
  <w:style w:type="character" w:customStyle="1" w:styleId="ListLabel898">
    <w:name w:val="ListLabel 898"/>
    <w:qFormat/>
    <w:rPr>
      <w:rFonts w:ascii="Times New Roman" w:hAnsi="Times New Roman" w:cs="Symbol"/>
      <w:sz w:val="24"/>
    </w:rPr>
  </w:style>
  <w:style w:type="character" w:customStyle="1" w:styleId="ListLabel899">
    <w:name w:val="ListLabel 899"/>
    <w:qFormat/>
    <w:rPr>
      <w:rFonts w:cs="Courier New"/>
    </w:rPr>
  </w:style>
  <w:style w:type="character" w:customStyle="1" w:styleId="ListLabel900">
    <w:name w:val="ListLabel 900"/>
    <w:qFormat/>
    <w:rPr>
      <w:rFonts w:cs="Wingdings"/>
    </w:rPr>
  </w:style>
  <w:style w:type="character" w:customStyle="1" w:styleId="ListLabel901">
    <w:name w:val="ListLabel 901"/>
    <w:qFormat/>
    <w:rPr>
      <w:rFonts w:cs="Symbol"/>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rFonts w:cs="Symbol"/>
    </w:rPr>
  </w:style>
  <w:style w:type="character" w:customStyle="1" w:styleId="ListLabel905">
    <w:name w:val="ListLabel 905"/>
    <w:qFormat/>
    <w:rPr>
      <w:rFonts w:cs="Courier New"/>
    </w:rPr>
  </w:style>
  <w:style w:type="character" w:customStyle="1" w:styleId="ListLabel906">
    <w:name w:val="ListLabel 906"/>
    <w:qFormat/>
    <w:rPr>
      <w:rFonts w:cs="Wingdings"/>
    </w:rPr>
  </w:style>
  <w:style w:type="character" w:customStyle="1" w:styleId="ListLabel907">
    <w:name w:val="ListLabel 907"/>
    <w:qFormat/>
    <w:rPr>
      <w:rFonts w:ascii="Times New Roman" w:hAnsi="Times New Roman" w:cs="Symbol"/>
      <w:sz w:val="24"/>
    </w:rPr>
  </w:style>
  <w:style w:type="character" w:customStyle="1" w:styleId="ListLabel908">
    <w:name w:val="ListLabel 908"/>
    <w:qFormat/>
    <w:rPr>
      <w:rFonts w:cs="Courier New"/>
    </w:rPr>
  </w:style>
  <w:style w:type="character" w:customStyle="1" w:styleId="ListLabel909">
    <w:name w:val="ListLabel 909"/>
    <w:qFormat/>
    <w:rPr>
      <w:rFonts w:cs="Wingdings"/>
    </w:rPr>
  </w:style>
  <w:style w:type="character" w:customStyle="1" w:styleId="ListLabel910">
    <w:name w:val="ListLabel 910"/>
    <w:qFormat/>
    <w:rPr>
      <w:rFonts w:cs="Symbol"/>
    </w:rPr>
  </w:style>
  <w:style w:type="character" w:customStyle="1" w:styleId="ListLabel911">
    <w:name w:val="ListLabel 911"/>
    <w:qFormat/>
    <w:rPr>
      <w:rFonts w:cs="Courier New"/>
    </w:rPr>
  </w:style>
  <w:style w:type="character" w:customStyle="1" w:styleId="ListLabel912">
    <w:name w:val="ListLabel 912"/>
    <w:qFormat/>
    <w:rPr>
      <w:rFonts w:cs="Wingdings"/>
    </w:rPr>
  </w:style>
  <w:style w:type="character" w:customStyle="1" w:styleId="ListLabel913">
    <w:name w:val="ListLabel 913"/>
    <w:qFormat/>
    <w:rPr>
      <w:rFonts w:cs="Symbol"/>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ascii="Times New Roman" w:hAnsi="Times New Roman" w:cs="Symbol"/>
      <w:sz w:val="24"/>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Symbol"/>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cs="Symbol"/>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ascii="Times New Roman" w:hAnsi="Times New Roman" w:cs="Symbol"/>
      <w:sz w:val="24"/>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cs="Symbol"/>
    </w:rPr>
  </w:style>
  <w:style w:type="character" w:customStyle="1" w:styleId="ListLabel929">
    <w:name w:val="ListLabel 929"/>
    <w:qFormat/>
    <w:rPr>
      <w:rFonts w:cs="Courier New"/>
    </w:rPr>
  </w:style>
  <w:style w:type="character" w:customStyle="1" w:styleId="ListLabel930">
    <w:name w:val="ListLabel 930"/>
    <w:qFormat/>
    <w:rPr>
      <w:rFonts w:cs="Wingdings"/>
    </w:rPr>
  </w:style>
  <w:style w:type="character" w:customStyle="1" w:styleId="ListLabel931">
    <w:name w:val="ListLabel 931"/>
    <w:qFormat/>
    <w:rPr>
      <w:rFonts w:cs="Symbol"/>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ascii="Times New Roman" w:hAnsi="Times New Roman" w:cs="Symbol"/>
      <w:sz w:val="24"/>
    </w:rPr>
  </w:style>
  <w:style w:type="character" w:customStyle="1" w:styleId="ListLabel935">
    <w:name w:val="ListLabel 935"/>
    <w:qFormat/>
    <w:rPr>
      <w:rFonts w:cs="Courier New"/>
    </w:rPr>
  </w:style>
  <w:style w:type="character" w:customStyle="1" w:styleId="ListLabel936">
    <w:name w:val="ListLabel 936"/>
    <w:qFormat/>
    <w:rPr>
      <w:rFonts w:cs="Wingdings"/>
    </w:rPr>
  </w:style>
  <w:style w:type="character" w:customStyle="1" w:styleId="ListLabel937">
    <w:name w:val="ListLabel 937"/>
    <w:qFormat/>
    <w:rPr>
      <w:rFonts w:cs="Symbol"/>
    </w:rPr>
  </w:style>
  <w:style w:type="character" w:customStyle="1" w:styleId="ListLabel938">
    <w:name w:val="ListLabel 938"/>
    <w:qFormat/>
    <w:rPr>
      <w:rFonts w:cs="Courier New"/>
    </w:rPr>
  </w:style>
  <w:style w:type="character" w:customStyle="1" w:styleId="ListLabel939">
    <w:name w:val="ListLabel 939"/>
    <w:qFormat/>
    <w:rPr>
      <w:rFonts w:cs="Wingdings"/>
    </w:rPr>
  </w:style>
  <w:style w:type="character" w:customStyle="1" w:styleId="ListLabel940">
    <w:name w:val="ListLabel 940"/>
    <w:qFormat/>
    <w:rPr>
      <w:rFonts w:cs="Symbol"/>
    </w:rPr>
  </w:style>
  <w:style w:type="character" w:customStyle="1" w:styleId="ListLabel941">
    <w:name w:val="ListLabel 941"/>
    <w:qFormat/>
    <w:rPr>
      <w:rFonts w:cs="Courier New"/>
    </w:rPr>
  </w:style>
  <w:style w:type="character" w:customStyle="1" w:styleId="ListLabel942">
    <w:name w:val="ListLabel 942"/>
    <w:qFormat/>
    <w:rPr>
      <w:rFonts w:cs="Wingdings"/>
    </w:rPr>
  </w:style>
  <w:style w:type="character" w:customStyle="1" w:styleId="ListLabel943">
    <w:name w:val="ListLabel 943"/>
    <w:qFormat/>
    <w:rPr>
      <w:rFonts w:ascii="Times New Roman" w:hAnsi="Times New Roman" w:cs="Symbol"/>
      <w:sz w:val="24"/>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rPr>
  </w:style>
  <w:style w:type="character" w:customStyle="1" w:styleId="ListLabel950">
    <w:name w:val="ListLabel 950"/>
    <w:qFormat/>
    <w:rPr>
      <w:rFonts w:cs="Courier New"/>
    </w:rPr>
  </w:style>
  <w:style w:type="character" w:customStyle="1" w:styleId="ListLabel951">
    <w:name w:val="ListLabel 951"/>
    <w:qFormat/>
    <w:rPr>
      <w:rFonts w:cs="Wingdings"/>
    </w:rPr>
  </w:style>
  <w:style w:type="character" w:customStyle="1" w:styleId="ListLabel952">
    <w:name w:val="ListLabel 952"/>
    <w:qFormat/>
    <w:rPr>
      <w:rFonts w:ascii="Times New Roman" w:hAnsi="Times New Roman" w:cs="Symbol"/>
      <w:sz w:val="24"/>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ascii="Times New Roman" w:hAnsi="Times New Roman" w:cs="Symbol"/>
      <w:sz w:val="24"/>
    </w:rPr>
  </w:style>
  <w:style w:type="character" w:customStyle="1" w:styleId="ListLabel962">
    <w:name w:val="ListLabel 962"/>
    <w:qFormat/>
    <w:rPr>
      <w:rFonts w:cs="Courier New"/>
    </w:rPr>
  </w:style>
  <w:style w:type="character" w:customStyle="1" w:styleId="ListLabel963">
    <w:name w:val="ListLabel 963"/>
    <w:qFormat/>
    <w:rPr>
      <w:rFonts w:cs="Wingdings"/>
    </w:rPr>
  </w:style>
  <w:style w:type="character" w:customStyle="1" w:styleId="ListLabel964">
    <w:name w:val="ListLabel 964"/>
    <w:qFormat/>
    <w:rPr>
      <w:rFonts w:cs="Symbol"/>
    </w:rPr>
  </w:style>
  <w:style w:type="character" w:customStyle="1" w:styleId="ListLabel965">
    <w:name w:val="ListLabel 965"/>
    <w:qFormat/>
    <w:rPr>
      <w:rFonts w:cs="Courier New"/>
    </w:rPr>
  </w:style>
  <w:style w:type="character" w:customStyle="1" w:styleId="ListLabel966">
    <w:name w:val="ListLabel 966"/>
    <w:qFormat/>
    <w:rPr>
      <w:rFonts w:cs="Wingdings"/>
    </w:rPr>
  </w:style>
  <w:style w:type="character" w:customStyle="1" w:styleId="ListLabel967">
    <w:name w:val="ListLabel 967"/>
    <w:qFormat/>
    <w:rPr>
      <w:rFonts w:cs="Symbol"/>
    </w:rPr>
  </w:style>
  <w:style w:type="character" w:customStyle="1" w:styleId="ListLabel968">
    <w:name w:val="ListLabel 968"/>
    <w:qFormat/>
    <w:rPr>
      <w:rFonts w:cs="Courier New"/>
    </w:rPr>
  </w:style>
  <w:style w:type="character" w:customStyle="1" w:styleId="ListLabel969">
    <w:name w:val="ListLabel 969"/>
    <w:qFormat/>
    <w:rPr>
      <w:rFonts w:cs="Wingdings"/>
    </w:rPr>
  </w:style>
  <w:style w:type="character" w:customStyle="1" w:styleId="ListLabel970">
    <w:name w:val="ListLabel 970"/>
    <w:qFormat/>
    <w:rPr>
      <w:rFonts w:ascii="Times New Roman" w:hAnsi="Times New Roman" w:cs="Wingdings"/>
      <w:sz w:val="24"/>
    </w:rPr>
  </w:style>
  <w:style w:type="character" w:customStyle="1" w:styleId="ListLabel971">
    <w:name w:val="ListLabel 971"/>
    <w:qFormat/>
    <w:rPr>
      <w:rFonts w:cs="Courier New"/>
    </w:rPr>
  </w:style>
  <w:style w:type="character" w:customStyle="1" w:styleId="ListLabel972">
    <w:name w:val="ListLabel 972"/>
    <w:qFormat/>
    <w:rPr>
      <w:rFonts w:cs="Wingdings"/>
    </w:rPr>
  </w:style>
  <w:style w:type="character" w:customStyle="1" w:styleId="ListLabel973">
    <w:name w:val="ListLabel 973"/>
    <w:qFormat/>
    <w:rPr>
      <w:rFonts w:cs="Symbol"/>
    </w:rPr>
  </w:style>
  <w:style w:type="character" w:customStyle="1" w:styleId="ListLabel974">
    <w:name w:val="ListLabel 974"/>
    <w:qFormat/>
    <w:rPr>
      <w:rFonts w:cs="Courier New"/>
    </w:rPr>
  </w:style>
  <w:style w:type="character" w:customStyle="1" w:styleId="ListLabel975">
    <w:name w:val="ListLabel 975"/>
    <w:qFormat/>
    <w:rPr>
      <w:rFonts w:cs="Wingdings"/>
    </w:rPr>
  </w:style>
  <w:style w:type="character" w:customStyle="1" w:styleId="ListLabel976">
    <w:name w:val="ListLabel 976"/>
    <w:qFormat/>
    <w:rPr>
      <w:rFonts w:cs="Symbol"/>
    </w:rPr>
  </w:style>
  <w:style w:type="character" w:customStyle="1" w:styleId="ListLabel977">
    <w:name w:val="ListLabel 977"/>
    <w:qFormat/>
    <w:rPr>
      <w:rFonts w:cs="Courier New"/>
    </w:rPr>
  </w:style>
  <w:style w:type="character" w:customStyle="1" w:styleId="ListLabel978">
    <w:name w:val="ListLabel 978"/>
    <w:qFormat/>
    <w:rPr>
      <w:rFonts w:cs="Wingdings"/>
    </w:rPr>
  </w:style>
  <w:style w:type="character" w:customStyle="1" w:styleId="ListLabel979">
    <w:name w:val="ListLabel 979"/>
    <w:qFormat/>
    <w:rPr>
      <w:rFonts w:ascii="Times New Roman" w:hAnsi="Times New Roman" w:cs="OpenSymbol"/>
      <w:sz w:val="24"/>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ascii="Times New Roman" w:hAnsi="Times New Roman" w:cs="OpenSymbol"/>
      <w:sz w:val="24"/>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ascii="Times New Roman" w:hAnsi="Times New Roman" w:cs="OpenSymbol"/>
      <w:sz w:val="24"/>
    </w:rPr>
  </w:style>
  <w:style w:type="character" w:customStyle="1" w:styleId="ListLabel998">
    <w:name w:val="ListLabel 998"/>
    <w:qFormat/>
    <w:rPr>
      <w:rFonts w:cs="OpenSymbol"/>
    </w:rPr>
  </w:style>
  <w:style w:type="character" w:customStyle="1" w:styleId="ListLabel999">
    <w:name w:val="ListLabel 999"/>
    <w:qFormat/>
    <w:rPr>
      <w:rFonts w:cs="OpenSymbol"/>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ascii="Times New Roman" w:hAnsi="Times New Roman" w:cs="OpenSymbol"/>
      <w:sz w:val="24"/>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ascii="Times New Roman" w:hAnsi="Times New Roman" w:cs="OpenSymbol"/>
      <w:sz w:val="24"/>
    </w:rPr>
  </w:style>
  <w:style w:type="character" w:customStyle="1" w:styleId="ListLabel1016">
    <w:name w:val="ListLabel 1016"/>
    <w:qFormat/>
    <w:rPr>
      <w:rFonts w:cs="OpenSymbol"/>
    </w:rPr>
  </w:style>
  <w:style w:type="character" w:customStyle="1" w:styleId="ListLabel1017">
    <w:name w:val="ListLabel 1017"/>
    <w:qFormat/>
    <w:rPr>
      <w:rFonts w:cs="OpenSymbol"/>
    </w:rPr>
  </w:style>
  <w:style w:type="character" w:customStyle="1" w:styleId="ListLabel1018">
    <w:name w:val="ListLabel 1018"/>
    <w:qFormat/>
    <w:rPr>
      <w:rFonts w:cs="OpenSymbol"/>
    </w:rPr>
  </w:style>
  <w:style w:type="character" w:customStyle="1" w:styleId="ListLabel1019">
    <w:name w:val="ListLabel 1019"/>
    <w:qFormat/>
    <w:rPr>
      <w:rFonts w:cs="OpenSymbol"/>
    </w:rPr>
  </w:style>
  <w:style w:type="character" w:customStyle="1" w:styleId="ListLabel1020">
    <w:name w:val="ListLabel 1020"/>
    <w:qFormat/>
    <w:rPr>
      <w:rFonts w:cs="OpenSymbol"/>
    </w:rPr>
  </w:style>
  <w:style w:type="character" w:customStyle="1" w:styleId="ListLabel1021">
    <w:name w:val="ListLabel 1021"/>
    <w:qFormat/>
    <w:rPr>
      <w:rFonts w:cs="OpenSymbol"/>
    </w:rPr>
  </w:style>
  <w:style w:type="character" w:customStyle="1" w:styleId="ListLabel1022">
    <w:name w:val="ListLabel 1022"/>
    <w:qFormat/>
    <w:rPr>
      <w:rFonts w:cs="OpenSymbol"/>
    </w:rPr>
  </w:style>
  <w:style w:type="character" w:customStyle="1" w:styleId="ListLabel1023">
    <w:name w:val="ListLabel 1023"/>
    <w:qFormat/>
    <w:rPr>
      <w:rFonts w:cs="Open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ascii="Times New Roman" w:hAnsi="Times New Roman" w:cs="Symbol"/>
      <w:sz w:val="24"/>
    </w:rPr>
  </w:style>
  <w:style w:type="character" w:customStyle="1" w:styleId="ListLabel1034">
    <w:name w:val="ListLabel 1034"/>
    <w:qFormat/>
    <w:rPr>
      <w:rFonts w:cs="Courier New"/>
    </w:rPr>
  </w:style>
  <w:style w:type="character" w:customStyle="1" w:styleId="ListLabel1035">
    <w:name w:val="ListLabel 1035"/>
    <w:qFormat/>
    <w:rPr>
      <w:rFonts w:cs="Wingdings"/>
    </w:rPr>
  </w:style>
  <w:style w:type="character" w:customStyle="1" w:styleId="ListLabel1036">
    <w:name w:val="ListLabel 1036"/>
    <w:qFormat/>
    <w:rPr>
      <w:rFonts w:cs="Symbol"/>
    </w:rPr>
  </w:style>
  <w:style w:type="character" w:customStyle="1" w:styleId="ListLabel1037">
    <w:name w:val="ListLabel 1037"/>
    <w:qFormat/>
    <w:rPr>
      <w:rFonts w:cs="Courier New"/>
    </w:rPr>
  </w:style>
  <w:style w:type="character" w:customStyle="1" w:styleId="ListLabel1038">
    <w:name w:val="ListLabel 1038"/>
    <w:qFormat/>
    <w:rPr>
      <w:rFonts w:cs="Wingdings"/>
    </w:rPr>
  </w:style>
  <w:style w:type="character" w:customStyle="1" w:styleId="ListLabel1039">
    <w:name w:val="ListLabel 1039"/>
    <w:qFormat/>
    <w:rPr>
      <w:rFonts w:cs="Symbol"/>
    </w:rPr>
  </w:style>
  <w:style w:type="character" w:customStyle="1" w:styleId="ListLabel1040">
    <w:name w:val="ListLabel 1040"/>
    <w:qFormat/>
    <w:rPr>
      <w:rFonts w:cs="Courier New"/>
    </w:rPr>
  </w:style>
  <w:style w:type="character" w:customStyle="1" w:styleId="ListLabel1041">
    <w:name w:val="ListLabel 1041"/>
    <w:qFormat/>
    <w:rPr>
      <w:rFonts w:cs="Wingdings"/>
    </w:rPr>
  </w:style>
  <w:style w:type="character" w:customStyle="1" w:styleId="ListLabel1042">
    <w:name w:val="ListLabel 1042"/>
    <w:qFormat/>
    <w:rPr>
      <w:rFonts w:ascii="Times New Roman" w:hAnsi="Times New Roman" w:cs="Symbol"/>
      <w:sz w:val="24"/>
    </w:rPr>
  </w:style>
  <w:style w:type="character" w:customStyle="1" w:styleId="ListLabel1043">
    <w:name w:val="ListLabel 1043"/>
    <w:qFormat/>
    <w:rPr>
      <w:rFonts w:cs="Courier New"/>
    </w:rPr>
  </w:style>
  <w:style w:type="character" w:customStyle="1" w:styleId="ListLabel1044">
    <w:name w:val="ListLabel 1044"/>
    <w:qFormat/>
    <w:rPr>
      <w:rFonts w:cs="Wingdings"/>
    </w:rPr>
  </w:style>
  <w:style w:type="character" w:customStyle="1" w:styleId="ListLabel1045">
    <w:name w:val="ListLabel 1045"/>
    <w:qFormat/>
    <w:rPr>
      <w:rFonts w:cs="Symbol"/>
    </w:rPr>
  </w:style>
  <w:style w:type="character" w:customStyle="1" w:styleId="ListLabel1046">
    <w:name w:val="ListLabel 1046"/>
    <w:qFormat/>
    <w:rPr>
      <w:rFonts w:cs="Courier New"/>
    </w:rPr>
  </w:style>
  <w:style w:type="character" w:customStyle="1" w:styleId="ListLabel1047">
    <w:name w:val="ListLabel 1047"/>
    <w:qFormat/>
    <w:rPr>
      <w:rFonts w:cs="Wingdings"/>
    </w:rPr>
  </w:style>
  <w:style w:type="character" w:customStyle="1" w:styleId="ListLabel1048">
    <w:name w:val="ListLabel 1048"/>
    <w:qFormat/>
    <w:rPr>
      <w:rFonts w:cs="Symbol"/>
    </w:rPr>
  </w:style>
  <w:style w:type="character" w:customStyle="1" w:styleId="ListLabel1049">
    <w:name w:val="ListLabel 1049"/>
    <w:qFormat/>
    <w:rPr>
      <w:rFonts w:cs="Courier New"/>
    </w:rPr>
  </w:style>
  <w:style w:type="character" w:customStyle="1" w:styleId="ListLabel1050">
    <w:name w:val="ListLabel 1050"/>
    <w:qFormat/>
    <w:rPr>
      <w:rFonts w:cs="Wingdings"/>
    </w:rPr>
  </w:style>
  <w:style w:type="character" w:customStyle="1" w:styleId="ListLabel1051">
    <w:name w:val="ListLabel 1051"/>
    <w:qFormat/>
    <w:rPr>
      <w:rFonts w:ascii="Times New Roman" w:hAnsi="Times New Roman" w:cs="Symbol"/>
      <w:sz w:val="24"/>
    </w:rPr>
  </w:style>
  <w:style w:type="character" w:customStyle="1" w:styleId="ListLabel1052">
    <w:name w:val="ListLabel 1052"/>
    <w:qFormat/>
    <w:rPr>
      <w:rFonts w:cs="Courier New"/>
    </w:rPr>
  </w:style>
  <w:style w:type="character" w:customStyle="1" w:styleId="ListLabel1053">
    <w:name w:val="ListLabel 1053"/>
    <w:qFormat/>
    <w:rPr>
      <w:rFonts w:cs="Wingdings"/>
    </w:rPr>
  </w:style>
  <w:style w:type="character" w:customStyle="1" w:styleId="ListLabel1054">
    <w:name w:val="ListLabel 1054"/>
    <w:qFormat/>
    <w:rPr>
      <w:rFonts w:cs="Symbol"/>
    </w:rPr>
  </w:style>
  <w:style w:type="character" w:customStyle="1" w:styleId="ListLabel1055">
    <w:name w:val="ListLabel 1055"/>
    <w:qFormat/>
    <w:rPr>
      <w:rFonts w:cs="Courier New"/>
    </w:rPr>
  </w:style>
  <w:style w:type="character" w:customStyle="1" w:styleId="ListLabel1056">
    <w:name w:val="ListLabel 1056"/>
    <w:qFormat/>
    <w:rPr>
      <w:rFonts w:cs="Wingdings"/>
    </w:rPr>
  </w:style>
  <w:style w:type="character" w:customStyle="1" w:styleId="ListLabel1057">
    <w:name w:val="ListLabel 1057"/>
    <w:qFormat/>
    <w:rPr>
      <w:rFonts w:cs="Symbol"/>
    </w:rPr>
  </w:style>
  <w:style w:type="character" w:customStyle="1" w:styleId="ListLabel1058">
    <w:name w:val="ListLabel 1058"/>
    <w:qFormat/>
    <w:rPr>
      <w:rFonts w:cs="Courier New"/>
    </w:rPr>
  </w:style>
  <w:style w:type="character" w:customStyle="1" w:styleId="ListLabel1059">
    <w:name w:val="ListLabel 1059"/>
    <w:qFormat/>
    <w:rPr>
      <w:rFonts w:cs="Wingdings"/>
    </w:rPr>
  </w:style>
  <w:style w:type="character" w:customStyle="1" w:styleId="ListLabel1060">
    <w:name w:val="ListLabel 1060"/>
    <w:qFormat/>
    <w:rPr>
      <w:rFonts w:ascii="Times New Roman" w:hAnsi="Times New Roman" w:cs="Symbol"/>
      <w:sz w:val="24"/>
    </w:rPr>
  </w:style>
  <w:style w:type="character" w:customStyle="1" w:styleId="ListLabel1061">
    <w:name w:val="ListLabel 1061"/>
    <w:qFormat/>
    <w:rPr>
      <w:rFonts w:cs="Courier New"/>
    </w:rPr>
  </w:style>
  <w:style w:type="character" w:customStyle="1" w:styleId="ListLabel1062">
    <w:name w:val="ListLabel 1062"/>
    <w:qFormat/>
    <w:rPr>
      <w:rFonts w:cs="Wingdings"/>
    </w:rPr>
  </w:style>
  <w:style w:type="character" w:customStyle="1" w:styleId="ListLabel1063">
    <w:name w:val="ListLabel 1063"/>
    <w:qFormat/>
    <w:rPr>
      <w:rFonts w:cs="Symbol"/>
    </w:rPr>
  </w:style>
  <w:style w:type="character" w:customStyle="1" w:styleId="ListLabel1064">
    <w:name w:val="ListLabel 1064"/>
    <w:qFormat/>
    <w:rPr>
      <w:rFonts w:cs="Courier New"/>
    </w:rPr>
  </w:style>
  <w:style w:type="character" w:customStyle="1" w:styleId="ListLabel1065">
    <w:name w:val="ListLabel 1065"/>
    <w:qFormat/>
    <w:rPr>
      <w:rFonts w:cs="Wingdings"/>
    </w:rPr>
  </w:style>
  <w:style w:type="character" w:customStyle="1" w:styleId="ListLabel1066">
    <w:name w:val="ListLabel 1066"/>
    <w:qFormat/>
    <w:rPr>
      <w:rFonts w:cs="Symbol"/>
    </w:rPr>
  </w:style>
  <w:style w:type="character" w:customStyle="1" w:styleId="ListLabel1067">
    <w:name w:val="ListLabel 1067"/>
    <w:qFormat/>
    <w:rPr>
      <w:rFonts w:cs="Courier New"/>
    </w:rPr>
  </w:style>
  <w:style w:type="character" w:customStyle="1" w:styleId="ListLabel1068">
    <w:name w:val="ListLabel 1068"/>
    <w:qFormat/>
    <w:rPr>
      <w:rFonts w:cs="Wingdings"/>
    </w:rPr>
  </w:style>
  <w:style w:type="character" w:customStyle="1" w:styleId="ListLabel1069">
    <w:name w:val="ListLabel 1069"/>
    <w:qFormat/>
    <w:rPr>
      <w:rFonts w:ascii="Times New Roman" w:hAnsi="Times New Roman" w:cs="Symbol"/>
      <w:sz w:val="24"/>
    </w:rPr>
  </w:style>
  <w:style w:type="character" w:customStyle="1" w:styleId="ListLabel1070">
    <w:name w:val="ListLabel 1070"/>
    <w:qFormat/>
    <w:rPr>
      <w:rFonts w:cs="Courier New"/>
    </w:rPr>
  </w:style>
  <w:style w:type="character" w:customStyle="1" w:styleId="ListLabel1071">
    <w:name w:val="ListLabel 1071"/>
    <w:qFormat/>
    <w:rPr>
      <w:rFonts w:cs="Wingdings"/>
    </w:rPr>
  </w:style>
  <w:style w:type="character" w:customStyle="1" w:styleId="ListLabel1072">
    <w:name w:val="ListLabel 1072"/>
    <w:qFormat/>
    <w:rPr>
      <w:rFonts w:cs="Symbol"/>
    </w:rPr>
  </w:style>
  <w:style w:type="character" w:customStyle="1" w:styleId="ListLabel1073">
    <w:name w:val="ListLabel 1073"/>
    <w:qFormat/>
    <w:rPr>
      <w:rFonts w:cs="Courier New"/>
    </w:rPr>
  </w:style>
  <w:style w:type="character" w:customStyle="1" w:styleId="ListLabel1074">
    <w:name w:val="ListLabel 1074"/>
    <w:qFormat/>
    <w:rPr>
      <w:rFonts w:cs="Wingdings"/>
    </w:rPr>
  </w:style>
  <w:style w:type="character" w:customStyle="1" w:styleId="ListLabel1075">
    <w:name w:val="ListLabel 1075"/>
    <w:qFormat/>
    <w:rPr>
      <w:rFonts w:cs="Symbol"/>
    </w:rPr>
  </w:style>
  <w:style w:type="character" w:customStyle="1" w:styleId="ListLabel1076">
    <w:name w:val="ListLabel 1076"/>
    <w:qFormat/>
    <w:rPr>
      <w:rFonts w:cs="Courier New"/>
    </w:rPr>
  </w:style>
  <w:style w:type="character" w:customStyle="1" w:styleId="ListLabel1077">
    <w:name w:val="ListLabel 1077"/>
    <w:qFormat/>
    <w:rPr>
      <w:rFonts w:cs="Wingdings"/>
    </w:rPr>
  </w:style>
  <w:style w:type="character" w:customStyle="1" w:styleId="ListLabel1078">
    <w:name w:val="ListLabel 1078"/>
    <w:qFormat/>
    <w:rPr>
      <w:rFonts w:ascii="Times New Roman" w:hAnsi="Times New Roman" w:cs="Symbol"/>
      <w:sz w:val="24"/>
    </w:rPr>
  </w:style>
  <w:style w:type="character" w:customStyle="1" w:styleId="ListLabel1079">
    <w:name w:val="ListLabel 1079"/>
    <w:qFormat/>
    <w:rPr>
      <w:rFonts w:cs="Courier New"/>
    </w:rPr>
  </w:style>
  <w:style w:type="character" w:customStyle="1" w:styleId="ListLabel1080">
    <w:name w:val="ListLabel 1080"/>
    <w:qFormat/>
    <w:rPr>
      <w:rFonts w:cs="Wingdings"/>
    </w:rPr>
  </w:style>
  <w:style w:type="character" w:customStyle="1" w:styleId="ListLabel1081">
    <w:name w:val="ListLabel 1081"/>
    <w:qFormat/>
    <w:rPr>
      <w:rFonts w:cs="Symbol"/>
    </w:rPr>
  </w:style>
  <w:style w:type="character" w:customStyle="1" w:styleId="ListLabel1082">
    <w:name w:val="ListLabel 1082"/>
    <w:qFormat/>
    <w:rPr>
      <w:rFonts w:cs="Courier New"/>
    </w:rPr>
  </w:style>
  <w:style w:type="character" w:customStyle="1" w:styleId="ListLabel1083">
    <w:name w:val="ListLabel 1083"/>
    <w:qFormat/>
    <w:rPr>
      <w:rFonts w:cs="Wingdings"/>
    </w:rPr>
  </w:style>
  <w:style w:type="character" w:customStyle="1" w:styleId="ListLabel1084">
    <w:name w:val="ListLabel 1084"/>
    <w:qFormat/>
    <w:rPr>
      <w:rFonts w:cs="Symbol"/>
    </w:rPr>
  </w:style>
  <w:style w:type="character" w:customStyle="1" w:styleId="ListLabel1085">
    <w:name w:val="ListLabel 1085"/>
    <w:qFormat/>
    <w:rPr>
      <w:rFonts w:cs="Courier New"/>
    </w:rPr>
  </w:style>
  <w:style w:type="character" w:customStyle="1" w:styleId="ListLabel1086">
    <w:name w:val="ListLabel 1086"/>
    <w:qFormat/>
    <w:rPr>
      <w:rFonts w:cs="Wingdings"/>
    </w:rPr>
  </w:style>
  <w:style w:type="character" w:customStyle="1" w:styleId="ListLabel1087">
    <w:name w:val="ListLabel 1087"/>
    <w:qFormat/>
    <w:rPr>
      <w:rFonts w:ascii="Times New Roman" w:hAnsi="Times New Roman" w:cs="Symbol"/>
      <w:sz w:val="24"/>
    </w:rPr>
  </w:style>
  <w:style w:type="character" w:customStyle="1" w:styleId="ListLabel1088">
    <w:name w:val="ListLabel 1088"/>
    <w:qFormat/>
    <w:rPr>
      <w:rFonts w:cs="Courier New"/>
    </w:rPr>
  </w:style>
  <w:style w:type="character" w:customStyle="1" w:styleId="ListLabel1089">
    <w:name w:val="ListLabel 1089"/>
    <w:qFormat/>
    <w:rPr>
      <w:rFonts w:cs="Wingdings"/>
    </w:rPr>
  </w:style>
  <w:style w:type="character" w:customStyle="1" w:styleId="ListLabel1090">
    <w:name w:val="ListLabel 1090"/>
    <w:qFormat/>
    <w:rPr>
      <w:rFonts w:cs="Symbol"/>
    </w:rPr>
  </w:style>
  <w:style w:type="character" w:customStyle="1" w:styleId="ListLabel1091">
    <w:name w:val="ListLabel 1091"/>
    <w:qFormat/>
    <w:rPr>
      <w:rFonts w:cs="Courier New"/>
    </w:rPr>
  </w:style>
  <w:style w:type="character" w:customStyle="1" w:styleId="ListLabel1092">
    <w:name w:val="ListLabel 1092"/>
    <w:qFormat/>
    <w:rPr>
      <w:rFonts w:cs="Wingdings"/>
    </w:rPr>
  </w:style>
  <w:style w:type="character" w:customStyle="1" w:styleId="ListLabel1093">
    <w:name w:val="ListLabel 1093"/>
    <w:qFormat/>
    <w:rPr>
      <w:rFonts w:cs="Symbol"/>
    </w:rPr>
  </w:style>
  <w:style w:type="character" w:customStyle="1" w:styleId="ListLabel1094">
    <w:name w:val="ListLabel 1094"/>
    <w:qFormat/>
    <w:rPr>
      <w:rFonts w:cs="Courier New"/>
    </w:rPr>
  </w:style>
  <w:style w:type="character" w:customStyle="1" w:styleId="ListLabel1095">
    <w:name w:val="ListLabel 1095"/>
    <w:qFormat/>
    <w:rPr>
      <w:rFonts w:cs="Wingdings"/>
    </w:rPr>
  </w:style>
  <w:style w:type="character" w:customStyle="1" w:styleId="ListLabel1096">
    <w:name w:val="ListLabel 1096"/>
    <w:qFormat/>
    <w:rPr>
      <w:rFonts w:ascii="Times New Roman" w:hAnsi="Times New Roman" w:cs="Symbol"/>
      <w:sz w:val="24"/>
    </w:rPr>
  </w:style>
  <w:style w:type="character" w:customStyle="1" w:styleId="ListLabel1097">
    <w:name w:val="ListLabel 1097"/>
    <w:qFormat/>
    <w:rPr>
      <w:rFonts w:cs="Courier New"/>
    </w:rPr>
  </w:style>
  <w:style w:type="character" w:customStyle="1" w:styleId="ListLabel1098">
    <w:name w:val="ListLabel 1098"/>
    <w:qFormat/>
    <w:rPr>
      <w:rFonts w:cs="Wingdings"/>
    </w:rPr>
  </w:style>
  <w:style w:type="character" w:customStyle="1" w:styleId="ListLabel1099">
    <w:name w:val="ListLabel 1099"/>
    <w:qFormat/>
    <w:rPr>
      <w:rFonts w:cs="Symbol"/>
    </w:rPr>
  </w:style>
  <w:style w:type="character" w:customStyle="1" w:styleId="ListLabel1100">
    <w:name w:val="ListLabel 1100"/>
    <w:qFormat/>
    <w:rPr>
      <w:rFonts w:cs="Courier New"/>
    </w:rPr>
  </w:style>
  <w:style w:type="character" w:customStyle="1" w:styleId="ListLabel1101">
    <w:name w:val="ListLabel 1101"/>
    <w:qFormat/>
    <w:rPr>
      <w:rFonts w:cs="Wingdings"/>
    </w:rPr>
  </w:style>
  <w:style w:type="character" w:customStyle="1" w:styleId="ListLabel1102">
    <w:name w:val="ListLabel 1102"/>
    <w:qFormat/>
    <w:rPr>
      <w:rFonts w:cs="Symbol"/>
    </w:rPr>
  </w:style>
  <w:style w:type="character" w:customStyle="1" w:styleId="ListLabel1103">
    <w:name w:val="ListLabel 1103"/>
    <w:qFormat/>
    <w:rPr>
      <w:rFonts w:cs="Courier New"/>
    </w:rPr>
  </w:style>
  <w:style w:type="character" w:customStyle="1" w:styleId="ListLabel1104">
    <w:name w:val="ListLabel 1104"/>
    <w:qFormat/>
    <w:rPr>
      <w:rFonts w:cs="Wingdings"/>
    </w:rPr>
  </w:style>
  <w:style w:type="character" w:customStyle="1" w:styleId="ListLabel1105">
    <w:name w:val="ListLabel 1105"/>
    <w:qFormat/>
    <w:rPr>
      <w:rFonts w:ascii="Times New Roman" w:hAnsi="Times New Roman" w:cs="Symbol"/>
      <w:sz w:val="24"/>
    </w:rPr>
  </w:style>
  <w:style w:type="character" w:customStyle="1" w:styleId="ListLabel1106">
    <w:name w:val="ListLabel 1106"/>
    <w:qFormat/>
    <w:rPr>
      <w:rFonts w:cs="Courier New"/>
    </w:rPr>
  </w:style>
  <w:style w:type="character" w:customStyle="1" w:styleId="ListLabel1107">
    <w:name w:val="ListLabel 1107"/>
    <w:qFormat/>
    <w:rPr>
      <w:rFonts w:cs="Wingdings"/>
    </w:rPr>
  </w:style>
  <w:style w:type="character" w:customStyle="1" w:styleId="ListLabel1108">
    <w:name w:val="ListLabel 1108"/>
    <w:qFormat/>
    <w:rPr>
      <w:rFonts w:cs="Symbol"/>
    </w:rPr>
  </w:style>
  <w:style w:type="character" w:customStyle="1" w:styleId="ListLabel1109">
    <w:name w:val="ListLabel 1109"/>
    <w:qFormat/>
    <w:rPr>
      <w:rFonts w:cs="Courier New"/>
    </w:rPr>
  </w:style>
  <w:style w:type="character" w:customStyle="1" w:styleId="ListLabel1110">
    <w:name w:val="ListLabel 1110"/>
    <w:qFormat/>
    <w:rPr>
      <w:rFonts w:cs="Wingdings"/>
    </w:rPr>
  </w:style>
  <w:style w:type="character" w:customStyle="1" w:styleId="ListLabel1111">
    <w:name w:val="ListLabel 1111"/>
    <w:qFormat/>
    <w:rPr>
      <w:rFonts w:cs="Symbol"/>
    </w:rPr>
  </w:style>
  <w:style w:type="character" w:customStyle="1" w:styleId="ListLabel1112">
    <w:name w:val="ListLabel 1112"/>
    <w:qFormat/>
    <w:rPr>
      <w:rFonts w:cs="Courier New"/>
    </w:rPr>
  </w:style>
  <w:style w:type="character" w:customStyle="1" w:styleId="ListLabel1113">
    <w:name w:val="ListLabel 1113"/>
    <w:qFormat/>
    <w:rPr>
      <w:rFonts w:cs="Wingdings"/>
    </w:rPr>
  </w:style>
  <w:style w:type="character" w:customStyle="1" w:styleId="ListLabel1114">
    <w:name w:val="ListLabel 1114"/>
    <w:qFormat/>
    <w:rPr>
      <w:rFonts w:ascii="Times New Roman" w:hAnsi="Times New Roman" w:cs="Symbol"/>
      <w:sz w:val="24"/>
    </w:rPr>
  </w:style>
  <w:style w:type="character" w:customStyle="1" w:styleId="ListLabel1115">
    <w:name w:val="ListLabel 1115"/>
    <w:qFormat/>
    <w:rPr>
      <w:rFonts w:cs="Courier New"/>
    </w:rPr>
  </w:style>
  <w:style w:type="character" w:customStyle="1" w:styleId="ListLabel1116">
    <w:name w:val="ListLabel 1116"/>
    <w:qFormat/>
    <w:rPr>
      <w:rFonts w:cs="Wingdings"/>
    </w:rPr>
  </w:style>
  <w:style w:type="character" w:customStyle="1" w:styleId="ListLabel1117">
    <w:name w:val="ListLabel 1117"/>
    <w:qFormat/>
    <w:rPr>
      <w:rFonts w:cs="Symbol"/>
    </w:rPr>
  </w:style>
  <w:style w:type="character" w:customStyle="1" w:styleId="ListLabel1118">
    <w:name w:val="ListLabel 1118"/>
    <w:qFormat/>
    <w:rPr>
      <w:rFonts w:cs="Courier New"/>
    </w:rPr>
  </w:style>
  <w:style w:type="character" w:customStyle="1" w:styleId="ListLabel1119">
    <w:name w:val="ListLabel 1119"/>
    <w:qFormat/>
    <w:rPr>
      <w:rFonts w:cs="Wingdings"/>
    </w:rPr>
  </w:style>
  <w:style w:type="character" w:customStyle="1" w:styleId="ListLabel1120">
    <w:name w:val="ListLabel 1120"/>
    <w:qFormat/>
    <w:rPr>
      <w:rFonts w:cs="Symbol"/>
    </w:rPr>
  </w:style>
  <w:style w:type="character" w:customStyle="1" w:styleId="ListLabel1121">
    <w:name w:val="ListLabel 1121"/>
    <w:qFormat/>
    <w:rPr>
      <w:rFonts w:cs="Courier New"/>
    </w:rPr>
  </w:style>
  <w:style w:type="character" w:customStyle="1" w:styleId="ListLabel1122">
    <w:name w:val="ListLabel 1122"/>
    <w:qFormat/>
    <w:rPr>
      <w:rFonts w:cs="Wingdings"/>
    </w:rPr>
  </w:style>
  <w:style w:type="character" w:customStyle="1" w:styleId="ListLabel1123">
    <w:name w:val="ListLabel 1123"/>
    <w:qFormat/>
    <w:rPr>
      <w:rFonts w:ascii="Times New Roman" w:hAnsi="Times New Roman" w:cs="Symbol"/>
      <w:sz w:val="24"/>
    </w:rPr>
  </w:style>
  <w:style w:type="character" w:customStyle="1" w:styleId="ListLabel1124">
    <w:name w:val="ListLabel 1124"/>
    <w:qFormat/>
    <w:rPr>
      <w:rFonts w:cs="Courier New"/>
    </w:rPr>
  </w:style>
  <w:style w:type="character" w:customStyle="1" w:styleId="ListLabel1125">
    <w:name w:val="ListLabel 1125"/>
    <w:qFormat/>
    <w:rPr>
      <w:rFonts w:cs="Wingdings"/>
    </w:rPr>
  </w:style>
  <w:style w:type="character" w:customStyle="1" w:styleId="ListLabel1126">
    <w:name w:val="ListLabel 1126"/>
    <w:qFormat/>
    <w:rPr>
      <w:rFonts w:cs="Symbol"/>
    </w:rPr>
  </w:style>
  <w:style w:type="character" w:customStyle="1" w:styleId="ListLabel1127">
    <w:name w:val="ListLabel 1127"/>
    <w:qFormat/>
    <w:rPr>
      <w:rFonts w:cs="Courier New"/>
    </w:rPr>
  </w:style>
  <w:style w:type="character" w:customStyle="1" w:styleId="ListLabel1128">
    <w:name w:val="ListLabel 1128"/>
    <w:qFormat/>
    <w:rPr>
      <w:rFonts w:cs="Wingdings"/>
    </w:rPr>
  </w:style>
  <w:style w:type="character" w:customStyle="1" w:styleId="ListLabel1129">
    <w:name w:val="ListLabel 1129"/>
    <w:qFormat/>
    <w:rPr>
      <w:rFonts w:cs="Symbol"/>
    </w:rPr>
  </w:style>
  <w:style w:type="character" w:customStyle="1" w:styleId="ListLabel1130">
    <w:name w:val="ListLabel 1130"/>
    <w:qFormat/>
    <w:rPr>
      <w:rFonts w:cs="Courier New"/>
    </w:rPr>
  </w:style>
  <w:style w:type="character" w:customStyle="1" w:styleId="ListLabel1131">
    <w:name w:val="ListLabel 1131"/>
    <w:qFormat/>
    <w:rPr>
      <w:rFonts w:cs="Wingdings"/>
    </w:rPr>
  </w:style>
  <w:style w:type="character" w:customStyle="1" w:styleId="ListLabel1132">
    <w:name w:val="ListLabel 1132"/>
    <w:qFormat/>
    <w:rPr>
      <w:rFonts w:ascii="Times New Roman" w:hAnsi="Times New Roman" w:cs="Symbol"/>
      <w:sz w:val="24"/>
    </w:rPr>
  </w:style>
  <w:style w:type="character" w:customStyle="1" w:styleId="ListLabel1133">
    <w:name w:val="ListLabel 1133"/>
    <w:qFormat/>
    <w:rPr>
      <w:rFonts w:cs="Courier New"/>
    </w:rPr>
  </w:style>
  <w:style w:type="character" w:customStyle="1" w:styleId="ListLabel1134">
    <w:name w:val="ListLabel 1134"/>
    <w:qFormat/>
    <w:rPr>
      <w:rFonts w:cs="Wingdings"/>
    </w:rPr>
  </w:style>
  <w:style w:type="character" w:customStyle="1" w:styleId="ListLabel1135">
    <w:name w:val="ListLabel 1135"/>
    <w:qFormat/>
    <w:rPr>
      <w:rFonts w:cs="Symbol"/>
    </w:rPr>
  </w:style>
  <w:style w:type="character" w:customStyle="1" w:styleId="ListLabel1136">
    <w:name w:val="ListLabel 1136"/>
    <w:qFormat/>
    <w:rPr>
      <w:rFonts w:cs="Courier New"/>
    </w:rPr>
  </w:style>
  <w:style w:type="character" w:customStyle="1" w:styleId="ListLabel1137">
    <w:name w:val="ListLabel 1137"/>
    <w:qFormat/>
    <w:rPr>
      <w:rFonts w:cs="Wingdings"/>
    </w:rPr>
  </w:style>
  <w:style w:type="character" w:customStyle="1" w:styleId="ListLabel1138">
    <w:name w:val="ListLabel 1138"/>
    <w:qFormat/>
    <w:rPr>
      <w:rFonts w:cs="Symbol"/>
    </w:rPr>
  </w:style>
  <w:style w:type="character" w:customStyle="1" w:styleId="ListLabel1139">
    <w:name w:val="ListLabel 1139"/>
    <w:qFormat/>
    <w:rPr>
      <w:rFonts w:cs="Courier New"/>
    </w:rPr>
  </w:style>
  <w:style w:type="character" w:customStyle="1" w:styleId="ListLabel1140">
    <w:name w:val="ListLabel 1140"/>
    <w:qFormat/>
    <w:rPr>
      <w:rFonts w:cs="Wingdings"/>
    </w:rPr>
  </w:style>
  <w:style w:type="character" w:customStyle="1" w:styleId="ListLabel1141">
    <w:name w:val="ListLabel 1141"/>
    <w:qFormat/>
    <w:rPr>
      <w:rFonts w:ascii="Times New Roman" w:hAnsi="Times New Roman" w:cs="Symbol"/>
      <w:sz w:val="24"/>
    </w:rPr>
  </w:style>
  <w:style w:type="character" w:customStyle="1" w:styleId="ListLabel1142">
    <w:name w:val="ListLabel 1142"/>
    <w:qFormat/>
    <w:rPr>
      <w:rFonts w:cs="Courier New"/>
    </w:rPr>
  </w:style>
  <w:style w:type="character" w:customStyle="1" w:styleId="ListLabel1143">
    <w:name w:val="ListLabel 1143"/>
    <w:qFormat/>
    <w:rPr>
      <w:rFonts w:cs="Wingdings"/>
    </w:rPr>
  </w:style>
  <w:style w:type="character" w:customStyle="1" w:styleId="ListLabel1144">
    <w:name w:val="ListLabel 1144"/>
    <w:qFormat/>
    <w:rPr>
      <w:rFonts w:cs="Symbol"/>
    </w:rPr>
  </w:style>
  <w:style w:type="character" w:customStyle="1" w:styleId="ListLabel1145">
    <w:name w:val="ListLabel 1145"/>
    <w:qFormat/>
    <w:rPr>
      <w:rFonts w:cs="Courier New"/>
    </w:rPr>
  </w:style>
  <w:style w:type="character" w:customStyle="1" w:styleId="ListLabel1146">
    <w:name w:val="ListLabel 1146"/>
    <w:qFormat/>
    <w:rPr>
      <w:rFonts w:cs="Wingdings"/>
    </w:rPr>
  </w:style>
  <w:style w:type="character" w:customStyle="1" w:styleId="ListLabel1147">
    <w:name w:val="ListLabel 1147"/>
    <w:qFormat/>
    <w:rPr>
      <w:rFonts w:cs="Symbol"/>
    </w:rPr>
  </w:style>
  <w:style w:type="character" w:customStyle="1" w:styleId="ListLabel1148">
    <w:name w:val="ListLabel 1148"/>
    <w:qFormat/>
    <w:rPr>
      <w:rFonts w:cs="Courier New"/>
    </w:rPr>
  </w:style>
  <w:style w:type="character" w:customStyle="1" w:styleId="ListLabel1149">
    <w:name w:val="ListLabel 1149"/>
    <w:qFormat/>
    <w:rPr>
      <w:rFonts w:cs="Wingdings"/>
    </w:rPr>
  </w:style>
  <w:style w:type="character" w:customStyle="1" w:styleId="ListLabel1150">
    <w:name w:val="ListLabel 1150"/>
    <w:qFormat/>
    <w:rPr>
      <w:rFonts w:ascii="Times New Roman" w:hAnsi="Times New Roman" w:cs="Wingdings"/>
      <w:sz w:val="24"/>
    </w:rPr>
  </w:style>
  <w:style w:type="character" w:customStyle="1" w:styleId="ListLabel1151">
    <w:name w:val="ListLabel 1151"/>
    <w:qFormat/>
    <w:rPr>
      <w:rFonts w:cs="Courier New"/>
    </w:rPr>
  </w:style>
  <w:style w:type="character" w:customStyle="1" w:styleId="ListLabel1152">
    <w:name w:val="ListLabel 1152"/>
    <w:qFormat/>
    <w:rPr>
      <w:rFonts w:cs="Wingdings"/>
    </w:rPr>
  </w:style>
  <w:style w:type="character" w:customStyle="1" w:styleId="ListLabel1153">
    <w:name w:val="ListLabel 1153"/>
    <w:qFormat/>
    <w:rPr>
      <w:rFonts w:cs="Symbol"/>
    </w:rPr>
  </w:style>
  <w:style w:type="character" w:customStyle="1" w:styleId="ListLabel1154">
    <w:name w:val="ListLabel 1154"/>
    <w:qFormat/>
    <w:rPr>
      <w:rFonts w:cs="Courier New"/>
    </w:rPr>
  </w:style>
  <w:style w:type="character" w:customStyle="1" w:styleId="ListLabel1155">
    <w:name w:val="ListLabel 1155"/>
    <w:qFormat/>
    <w:rPr>
      <w:rFonts w:cs="Wingdings"/>
    </w:rPr>
  </w:style>
  <w:style w:type="character" w:customStyle="1" w:styleId="ListLabel1156">
    <w:name w:val="ListLabel 1156"/>
    <w:qFormat/>
    <w:rPr>
      <w:rFonts w:cs="Symbol"/>
    </w:rPr>
  </w:style>
  <w:style w:type="character" w:customStyle="1" w:styleId="ListLabel1157">
    <w:name w:val="ListLabel 1157"/>
    <w:qFormat/>
    <w:rPr>
      <w:rFonts w:cs="Courier New"/>
    </w:rPr>
  </w:style>
  <w:style w:type="character" w:customStyle="1" w:styleId="ListLabel1158">
    <w:name w:val="ListLabel 1158"/>
    <w:qFormat/>
    <w:rPr>
      <w:rFonts w:cs="Wingdings"/>
    </w:rPr>
  </w:style>
  <w:style w:type="character" w:customStyle="1" w:styleId="ListLabel1159">
    <w:name w:val="ListLabel 1159"/>
    <w:qFormat/>
    <w:rPr>
      <w:rFonts w:ascii="Times New Roman" w:hAnsi="Times New Roman" w:cs="OpenSymbol"/>
      <w:sz w:val="24"/>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ascii="Times New Roman" w:hAnsi="Times New Roman" w:cs="OpenSymbol"/>
      <w:sz w:val="24"/>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ascii="Times New Roman" w:hAnsi="Times New Roman" w:cs="OpenSymbol"/>
      <w:sz w:val="24"/>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ascii="Times New Roman" w:hAnsi="Times New Roman" w:cs="OpenSymbol"/>
      <w:sz w:val="24"/>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ascii="Times New Roman" w:hAnsi="Times New Roman" w:cs="OpenSymbol"/>
      <w:sz w:val="24"/>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ascii="Times New Roman" w:hAnsi="Times New Roman" w:cs="OpenSymbol"/>
      <w:sz w:val="24"/>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TextocomentarioCar">
    <w:name w:val="Texto comentario Car"/>
    <w:basedOn w:val="Fuentedeprrafopredeter"/>
    <w:link w:val="Textocomentario"/>
    <w:uiPriority w:val="99"/>
    <w:qFormat/>
    <w:rPr>
      <w:szCs w:val="20"/>
    </w:rPr>
  </w:style>
  <w:style w:type="character" w:styleId="Refdecomentario">
    <w:name w:val="annotation reference"/>
    <w:basedOn w:val="Fuentedeprrafopredeter"/>
    <w:uiPriority w:val="99"/>
    <w:semiHidden/>
    <w:unhideWhenUsed/>
    <w:qFormat/>
    <w:rPr>
      <w:sz w:val="16"/>
      <w:szCs w:val="16"/>
    </w:rPr>
  </w:style>
  <w:style w:type="character" w:customStyle="1" w:styleId="AsuntodelcomentarioCar">
    <w:name w:val="Asunto del comentario Car"/>
    <w:basedOn w:val="TextocomentarioCar"/>
    <w:link w:val="Asuntodelcomentario"/>
    <w:uiPriority w:val="99"/>
    <w:semiHidden/>
    <w:qFormat/>
    <w:rsid w:val="00732961"/>
    <w:rPr>
      <w:b/>
      <w:bCs/>
      <w:szCs w:val="20"/>
    </w:rPr>
  </w:style>
  <w:style w:type="character" w:customStyle="1" w:styleId="ListLabel1213">
    <w:name w:val="ListLabel 1213"/>
    <w:qFormat/>
    <w:rPr>
      <w:rFonts w:ascii="Times New Roman" w:hAnsi="Times New Roman" w:cs="Symbol"/>
      <w:sz w:val="24"/>
    </w:rPr>
  </w:style>
  <w:style w:type="character" w:customStyle="1" w:styleId="ListLabel1214">
    <w:name w:val="ListLabel 1214"/>
    <w:qFormat/>
    <w:rPr>
      <w:rFonts w:cs="Courier New"/>
    </w:rPr>
  </w:style>
  <w:style w:type="character" w:customStyle="1" w:styleId="ListLabel1215">
    <w:name w:val="ListLabel 1215"/>
    <w:qFormat/>
    <w:rPr>
      <w:rFonts w:cs="Wingdings"/>
    </w:rPr>
  </w:style>
  <w:style w:type="character" w:customStyle="1" w:styleId="ListLabel1216">
    <w:name w:val="ListLabel 1216"/>
    <w:qFormat/>
    <w:rPr>
      <w:rFonts w:cs="Symbol"/>
    </w:rPr>
  </w:style>
  <w:style w:type="character" w:customStyle="1" w:styleId="ListLabel1217">
    <w:name w:val="ListLabel 1217"/>
    <w:qFormat/>
    <w:rPr>
      <w:rFonts w:cs="Courier New"/>
    </w:rPr>
  </w:style>
  <w:style w:type="character" w:customStyle="1" w:styleId="ListLabel1218">
    <w:name w:val="ListLabel 1218"/>
    <w:qFormat/>
    <w:rPr>
      <w:rFonts w:cs="Wingdings"/>
    </w:rPr>
  </w:style>
  <w:style w:type="character" w:customStyle="1" w:styleId="ListLabel1219">
    <w:name w:val="ListLabel 1219"/>
    <w:qFormat/>
    <w:rPr>
      <w:rFonts w:cs="Symbol"/>
    </w:rPr>
  </w:style>
  <w:style w:type="character" w:customStyle="1" w:styleId="ListLabel1220">
    <w:name w:val="ListLabel 1220"/>
    <w:qFormat/>
    <w:rPr>
      <w:rFonts w:cs="Courier New"/>
    </w:rPr>
  </w:style>
  <w:style w:type="character" w:customStyle="1" w:styleId="ListLabel1221">
    <w:name w:val="ListLabel 1221"/>
    <w:qFormat/>
    <w:rPr>
      <w:rFonts w:cs="Wingdings"/>
    </w:rPr>
  </w:style>
  <w:style w:type="character" w:customStyle="1" w:styleId="ListLabel1222">
    <w:name w:val="ListLabel 1222"/>
    <w:qFormat/>
    <w:rPr>
      <w:rFonts w:ascii="Times New Roman" w:hAnsi="Times New Roman" w:cs="Symbol"/>
      <w:sz w:val="24"/>
    </w:rPr>
  </w:style>
  <w:style w:type="character" w:customStyle="1" w:styleId="ListLabel1223">
    <w:name w:val="ListLabel 1223"/>
    <w:qFormat/>
    <w:rPr>
      <w:rFonts w:cs="Courier New"/>
    </w:rPr>
  </w:style>
  <w:style w:type="character" w:customStyle="1" w:styleId="ListLabel1224">
    <w:name w:val="ListLabel 1224"/>
    <w:qFormat/>
    <w:rPr>
      <w:rFonts w:cs="Wingdings"/>
    </w:rPr>
  </w:style>
  <w:style w:type="character" w:customStyle="1" w:styleId="ListLabel1225">
    <w:name w:val="ListLabel 1225"/>
    <w:qFormat/>
    <w:rPr>
      <w:rFonts w:cs="Symbol"/>
    </w:rPr>
  </w:style>
  <w:style w:type="character" w:customStyle="1" w:styleId="ListLabel1226">
    <w:name w:val="ListLabel 1226"/>
    <w:qFormat/>
    <w:rPr>
      <w:rFonts w:cs="Courier New"/>
    </w:rPr>
  </w:style>
  <w:style w:type="character" w:customStyle="1" w:styleId="ListLabel1227">
    <w:name w:val="ListLabel 1227"/>
    <w:qFormat/>
    <w:rPr>
      <w:rFonts w:cs="Wingdings"/>
    </w:rPr>
  </w:style>
  <w:style w:type="character" w:customStyle="1" w:styleId="ListLabel1228">
    <w:name w:val="ListLabel 1228"/>
    <w:qFormat/>
    <w:rPr>
      <w:rFonts w:cs="Symbol"/>
    </w:rPr>
  </w:style>
  <w:style w:type="character" w:customStyle="1" w:styleId="ListLabel1229">
    <w:name w:val="ListLabel 1229"/>
    <w:qFormat/>
    <w:rPr>
      <w:rFonts w:cs="Courier New"/>
    </w:rPr>
  </w:style>
  <w:style w:type="character" w:customStyle="1" w:styleId="ListLabel1230">
    <w:name w:val="ListLabel 1230"/>
    <w:qFormat/>
    <w:rPr>
      <w:rFonts w:cs="Wingdings"/>
    </w:rPr>
  </w:style>
  <w:style w:type="character" w:customStyle="1" w:styleId="ListLabel1231">
    <w:name w:val="ListLabel 1231"/>
    <w:qFormat/>
    <w:rPr>
      <w:rFonts w:ascii="Times New Roman" w:hAnsi="Times New Roman" w:cs="Symbol"/>
      <w:sz w:val="24"/>
    </w:rPr>
  </w:style>
  <w:style w:type="character" w:customStyle="1" w:styleId="ListLabel1232">
    <w:name w:val="ListLabel 1232"/>
    <w:qFormat/>
    <w:rPr>
      <w:rFonts w:cs="Courier New"/>
    </w:rPr>
  </w:style>
  <w:style w:type="character" w:customStyle="1" w:styleId="ListLabel1233">
    <w:name w:val="ListLabel 1233"/>
    <w:qFormat/>
    <w:rPr>
      <w:rFonts w:cs="Wingdings"/>
    </w:rPr>
  </w:style>
  <w:style w:type="character" w:customStyle="1" w:styleId="ListLabel1234">
    <w:name w:val="ListLabel 1234"/>
    <w:qFormat/>
    <w:rPr>
      <w:rFonts w:cs="Symbol"/>
    </w:rPr>
  </w:style>
  <w:style w:type="character" w:customStyle="1" w:styleId="ListLabel1235">
    <w:name w:val="ListLabel 1235"/>
    <w:qFormat/>
    <w:rPr>
      <w:rFonts w:cs="Courier New"/>
    </w:rPr>
  </w:style>
  <w:style w:type="character" w:customStyle="1" w:styleId="ListLabel1236">
    <w:name w:val="ListLabel 1236"/>
    <w:qFormat/>
    <w:rPr>
      <w:rFonts w:cs="Wingdings"/>
    </w:rPr>
  </w:style>
  <w:style w:type="character" w:customStyle="1" w:styleId="ListLabel1237">
    <w:name w:val="ListLabel 1237"/>
    <w:qFormat/>
    <w:rPr>
      <w:rFonts w:cs="Symbol"/>
    </w:rPr>
  </w:style>
  <w:style w:type="character" w:customStyle="1" w:styleId="ListLabel1238">
    <w:name w:val="ListLabel 1238"/>
    <w:qFormat/>
    <w:rPr>
      <w:rFonts w:cs="Courier New"/>
    </w:rPr>
  </w:style>
  <w:style w:type="character" w:customStyle="1" w:styleId="ListLabel1239">
    <w:name w:val="ListLabel 1239"/>
    <w:qFormat/>
    <w:rPr>
      <w:rFonts w:cs="Wingdings"/>
    </w:rPr>
  </w:style>
  <w:style w:type="character" w:customStyle="1" w:styleId="ListLabel1240">
    <w:name w:val="ListLabel 1240"/>
    <w:qFormat/>
    <w:rPr>
      <w:rFonts w:ascii="Times New Roman" w:hAnsi="Times New Roman" w:cs="Symbol"/>
      <w:sz w:val="24"/>
    </w:rPr>
  </w:style>
  <w:style w:type="character" w:customStyle="1" w:styleId="ListLabel1241">
    <w:name w:val="ListLabel 1241"/>
    <w:qFormat/>
    <w:rPr>
      <w:rFonts w:cs="Courier New"/>
    </w:rPr>
  </w:style>
  <w:style w:type="character" w:customStyle="1" w:styleId="ListLabel1242">
    <w:name w:val="ListLabel 1242"/>
    <w:qFormat/>
    <w:rPr>
      <w:rFonts w:cs="Wingdings"/>
    </w:rPr>
  </w:style>
  <w:style w:type="character" w:customStyle="1" w:styleId="ListLabel1243">
    <w:name w:val="ListLabel 1243"/>
    <w:qFormat/>
    <w:rPr>
      <w:rFonts w:cs="Symbol"/>
    </w:rPr>
  </w:style>
  <w:style w:type="character" w:customStyle="1" w:styleId="ListLabel1244">
    <w:name w:val="ListLabel 1244"/>
    <w:qFormat/>
    <w:rPr>
      <w:rFonts w:cs="Courier New"/>
    </w:rPr>
  </w:style>
  <w:style w:type="character" w:customStyle="1" w:styleId="ListLabel1245">
    <w:name w:val="ListLabel 1245"/>
    <w:qFormat/>
    <w:rPr>
      <w:rFonts w:cs="Wingdings"/>
    </w:rPr>
  </w:style>
  <w:style w:type="character" w:customStyle="1" w:styleId="ListLabel1246">
    <w:name w:val="ListLabel 1246"/>
    <w:qFormat/>
    <w:rPr>
      <w:rFonts w:cs="Symbol"/>
    </w:rPr>
  </w:style>
  <w:style w:type="character" w:customStyle="1" w:styleId="ListLabel1247">
    <w:name w:val="ListLabel 1247"/>
    <w:qFormat/>
    <w:rPr>
      <w:rFonts w:cs="Courier New"/>
    </w:rPr>
  </w:style>
  <w:style w:type="character" w:customStyle="1" w:styleId="ListLabel1248">
    <w:name w:val="ListLabel 1248"/>
    <w:qFormat/>
    <w:rPr>
      <w:rFonts w:cs="Wingdings"/>
    </w:rPr>
  </w:style>
  <w:style w:type="character" w:customStyle="1" w:styleId="ListLabel1249">
    <w:name w:val="ListLabel 1249"/>
    <w:qFormat/>
    <w:rPr>
      <w:rFonts w:ascii="Times New Roman" w:hAnsi="Times New Roman" w:cs="Symbol"/>
      <w:sz w:val="24"/>
    </w:rPr>
  </w:style>
  <w:style w:type="character" w:customStyle="1" w:styleId="ListLabel1250">
    <w:name w:val="ListLabel 1250"/>
    <w:qFormat/>
    <w:rPr>
      <w:rFonts w:cs="Courier New"/>
    </w:rPr>
  </w:style>
  <w:style w:type="character" w:customStyle="1" w:styleId="ListLabel1251">
    <w:name w:val="ListLabel 1251"/>
    <w:qFormat/>
    <w:rPr>
      <w:rFonts w:cs="Wingdings"/>
    </w:rPr>
  </w:style>
  <w:style w:type="character" w:customStyle="1" w:styleId="ListLabel1252">
    <w:name w:val="ListLabel 1252"/>
    <w:qFormat/>
    <w:rPr>
      <w:rFonts w:cs="Symbol"/>
    </w:rPr>
  </w:style>
  <w:style w:type="character" w:customStyle="1" w:styleId="ListLabel1253">
    <w:name w:val="ListLabel 1253"/>
    <w:qFormat/>
    <w:rPr>
      <w:rFonts w:cs="Courier New"/>
    </w:rPr>
  </w:style>
  <w:style w:type="character" w:customStyle="1" w:styleId="ListLabel1254">
    <w:name w:val="ListLabel 1254"/>
    <w:qFormat/>
    <w:rPr>
      <w:rFonts w:cs="Wingdings"/>
    </w:rPr>
  </w:style>
  <w:style w:type="character" w:customStyle="1" w:styleId="ListLabel1255">
    <w:name w:val="ListLabel 1255"/>
    <w:qFormat/>
    <w:rPr>
      <w:rFonts w:cs="Symbol"/>
    </w:rPr>
  </w:style>
  <w:style w:type="character" w:customStyle="1" w:styleId="ListLabel1256">
    <w:name w:val="ListLabel 1256"/>
    <w:qFormat/>
    <w:rPr>
      <w:rFonts w:cs="Courier New"/>
    </w:rPr>
  </w:style>
  <w:style w:type="character" w:customStyle="1" w:styleId="ListLabel1257">
    <w:name w:val="ListLabel 1257"/>
    <w:qFormat/>
    <w:rPr>
      <w:rFonts w:cs="Wingdings"/>
    </w:rPr>
  </w:style>
  <w:style w:type="character" w:customStyle="1" w:styleId="ListLabel1258">
    <w:name w:val="ListLabel 1258"/>
    <w:qFormat/>
    <w:rPr>
      <w:rFonts w:ascii="Times New Roman" w:hAnsi="Times New Roman" w:cs="Symbol"/>
      <w:sz w:val="24"/>
    </w:rPr>
  </w:style>
  <w:style w:type="character" w:customStyle="1" w:styleId="ListLabel1259">
    <w:name w:val="ListLabel 1259"/>
    <w:qFormat/>
    <w:rPr>
      <w:rFonts w:cs="Courier New"/>
    </w:rPr>
  </w:style>
  <w:style w:type="character" w:customStyle="1" w:styleId="ListLabel1260">
    <w:name w:val="ListLabel 1260"/>
    <w:qFormat/>
    <w:rPr>
      <w:rFonts w:cs="Wingdings"/>
    </w:rPr>
  </w:style>
  <w:style w:type="character" w:customStyle="1" w:styleId="ListLabel1261">
    <w:name w:val="ListLabel 1261"/>
    <w:qFormat/>
    <w:rPr>
      <w:rFonts w:cs="Symbol"/>
    </w:rPr>
  </w:style>
  <w:style w:type="character" w:customStyle="1" w:styleId="ListLabel1262">
    <w:name w:val="ListLabel 1262"/>
    <w:qFormat/>
    <w:rPr>
      <w:rFonts w:cs="Courier New"/>
    </w:rPr>
  </w:style>
  <w:style w:type="character" w:customStyle="1" w:styleId="ListLabel1263">
    <w:name w:val="ListLabel 1263"/>
    <w:qFormat/>
    <w:rPr>
      <w:rFonts w:cs="Wingdings"/>
    </w:rPr>
  </w:style>
  <w:style w:type="character" w:customStyle="1" w:styleId="ListLabel1264">
    <w:name w:val="ListLabel 1264"/>
    <w:qFormat/>
    <w:rPr>
      <w:rFonts w:cs="Symbol"/>
    </w:rPr>
  </w:style>
  <w:style w:type="character" w:customStyle="1" w:styleId="ListLabel1265">
    <w:name w:val="ListLabel 1265"/>
    <w:qFormat/>
    <w:rPr>
      <w:rFonts w:cs="Courier New"/>
    </w:rPr>
  </w:style>
  <w:style w:type="character" w:customStyle="1" w:styleId="ListLabel1266">
    <w:name w:val="ListLabel 1266"/>
    <w:qFormat/>
    <w:rPr>
      <w:rFonts w:cs="Wingdings"/>
    </w:rPr>
  </w:style>
  <w:style w:type="character" w:customStyle="1" w:styleId="ListLabel1267">
    <w:name w:val="ListLabel 1267"/>
    <w:qFormat/>
    <w:rPr>
      <w:rFonts w:ascii="Times New Roman" w:hAnsi="Times New Roman" w:cs="Symbol"/>
      <w:sz w:val="24"/>
    </w:rPr>
  </w:style>
  <w:style w:type="character" w:customStyle="1" w:styleId="ListLabel1268">
    <w:name w:val="ListLabel 1268"/>
    <w:qFormat/>
    <w:rPr>
      <w:rFonts w:cs="Courier New"/>
    </w:rPr>
  </w:style>
  <w:style w:type="character" w:customStyle="1" w:styleId="ListLabel1269">
    <w:name w:val="ListLabel 1269"/>
    <w:qFormat/>
    <w:rPr>
      <w:rFonts w:cs="Wingdings"/>
    </w:rPr>
  </w:style>
  <w:style w:type="character" w:customStyle="1" w:styleId="ListLabel1270">
    <w:name w:val="ListLabel 1270"/>
    <w:qFormat/>
    <w:rPr>
      <w:rFonts w:cs="Symbol"/>
    </w:rPr>
  </w:style>
  <w:style w:type="character" w:customStyle="1" w:styleId="ListLabel1271">
    <w:name w:val="ListLabel 1271"/>
    <w:qFormat/>
    <w:rPr>
      <w:rFonts w:cs="Courier New"/>
    </w:rPr>
  </w:style>
  <w:style w:type="character" w:customStyle="1" w:styleId="ListLabel1272">
    <w:name w:val="ListLabel 1272"/>
    <w:qFormat/>
    <w:rPr>
      <w:rFonts w:cs="Wingdings"/>
    </w:rPr>
  </w:style>
  <w:style w:type="character" w:customStyle="1" w:styleId="ListLabel1273">
    <w:name w:val="ListLabel 1273"/>
    <w:qFormat/>
    <w:rPr>
      <w:rFonts w:cs="Symbol"/>
    </w:rPr>
  </w:style>
  <w:style w:type="character" w:customStyle="1" w:styleId="ListLabel1274">
    <w:name w:val="ListLabel 1274"/>
    <w:qFormat/>
    <w:rPr>
      <w:rFonts w:cs="Courier New"/>
    </w:rPr>
  </w:style>
  <w:style w:type="character" w:customStyle="1" w:styleId="ListLabel1275">
    <w:name w:val="ListLabel 1275"/>
    <w:qFormat/>
    <w:rPr>
      <w:rFonts w:cs="Wingdings"/>
    </w:rPr>
  </w:style>
  <w:style w:type="character" w:customStyle="1" w:styleId="ListLabel1276">
    <w:name w:val="ListLabel 1276"/>
    <w:qFormat/>
    <w:rPr>
      <w:rFonts w:ascii="Times New Roman" w:hAnsi="Times New Roman" w:cs="Symbol"/>
      <w:sz w:val="24"/>
    </w:rPr>
  </w:style>
  <w:style w:type="character" w:customStyle="1" w:styleId="ListLabel1277">
    <w:name w:val="ListLabel 1277"/>
    <w:qFormat/>
    <w:rPr>
      <w:rFonts w:cs="Courier New"/>
    </w:rPr>
  </w:style>
  <w:style w:type="character" w:customStyle="1" w:styleId="ListLabel1278">
    <w:name w:val="ListLabel 1278"/>
    <w:qFormat/>
    <w:rPr>
      <w:rFonts w:cs="Wingdings"/>
    </w:rPr>
  </w:style>
  <w:style w:type="character" w:customStyle="1" w:styleId="ListLabel1279">
    <w:name w:val="ListLabel 1279"/>
    <w:qFormat/>
    <w:rPr>
      <w:rFonts w:cs="Symbol"/>
    </w:rPr>
  </w:style>
  <w:style w:type="character" w:customStyle="1" w:styleId="ListLabel1280">
    <w:name w:val="ListLabel 1280"/>
    <w:qFormat/>
    <w:rPr>
      <w:rFonts w:cs="Courier New"/>
    </w:rPr>
  </w:style>
  <w:style w:type="character" w:customStyle="1" w:styleId="ListLabel1281">
    <w:name w:val="ListLabel 1281"/>
    <w:qFormat/>
    <w:rPr>
      <w:rFonts w:cs="Wingdings"/>
    </w:rPr>
  </w:style>
  <w:style w:type="character" w:customStyle="1" w:styleId="ListLabel1282">
    <w:name w:val="ListLabel 1282"/>
    <w:qFormat/>
    <w:rPr>
      <w:rFonts w:cs="Symbol"/>
    </w:rPr>
  </w:style>
  <w:style w:type="character" w:customStyle="1" w:styleId="ListLabel1283">
    <w:name w:val="ListLabel 1283"/>
    <w:qFormat/>
    <w:rPr>
      <w:rFonts w:cs="Courier New"/>
    </w:rPr>
  </w:style>
  <w:style w:type="character" w:customStyle="1" w:styleId="ListLabel1284">
    <w:name w:val="ListLabel 1284"/>
    <w:qFormat/>
    <w:rPr>
      <w:rFonts w:cs="Wingdings"/>
    </w:rPr>
  </w:style>
  <w:style w:type="character" w:customStyle="1" w:styleId="ListLabel1285">
    <w:name w:val="ListLabel 1285"/>
    <w:qFormat/>
    <w:rPr>
      <w:rFonts w:ascii="Times New Roman" w:hAnsi="Times New Roman" w:cs="Symbol"/>
      <w:sz w:val="24"/>
    </w:rPr>
  </w:style>
  <w:style w:type="character" w:customStyle="1" w:styleId="ListLabel1286">
    <w:name w:val="ListLabel 1286"/>
    <w:qFormat/>
    <w:rPr>
      <w:rFonts w:cs="Courier New"/>
    </w:rPr>
  </w:style>
  <w:style w:type="character" w:customStyle="1" w:styleId="ListLabel1287">
    <w:name w:val="ListLabel 1287"/>
    <w:qFormat/>
    <w:rPr>
      <w:rFonts w:cs="Wingdings"/>
    </w:rPr>
  </w:style>
  <w:style w:type="character" w:customStyle="1" w:styleId="ListLabel1288">
    <w:name w:val="ListLabel 1288"/>
    <w:qFormat/>
    <w:rPr>
      <w:rFonts w:cs="Symbol"/>
    </w:rPr>
  </w:style>
  <w:style w:type="character" w:customStyle="1" w:styleId="ListLabel1289">
    <w:name w:val="ListLabel 1289"/>
    <w:qFormat/>
    <w:rPr>
      <w:rFonts w:cs="Courier New"/>
    </w:rPr>
  </w:style>
  <w:style w:type="character" w:customStyle="1" w:styleId="ListLabel1290">
    <w:name w:val="ListLabel 1290"/>
    <w:qFormat/>
    <w:rPr>
      <w:rFonts w:cs="Wingdings"/>
    </w:rPr>
  </w:style>
  <w:style w:type="character" w:customStyle="1" w:styleId="ListLabel1291">
    <w:name w:val="ListLabel 1291"/>
    <w:qFormat/>
    <w:rPr>
      <w:rFonts w:cs="Symbol"/>
    </w:rPr>
  </w:style>
  <w:style w:type="character" w:customStyle="1" w:styleId="ListLabel1292">
    <w:name w:val="ListLabel 1292"/>
    <w:qFormat/>
    <w:rPr>
      <w:rFonts w:cs="Courier New"/>
    </w:rPr>
  </w:style>
  <w:style w:type="character" w:customStyle="1" w:styleId="ListLabel1293">
    <w:name w:val="ListLabel 1293"/>
    <w:qFormat/>
    <w:rPr>
      <w:rFonts w:cs="Wingdings"/>
    </w:rPr>
  </w:style>
  <w:style w:type="character" w:customStyle="1" w:styleId="ListLabel1294">
    <w:name w:val="ListLabel 1294"/>
    <w:qFormat/>
    <w:rPr>
      <w:rFonts w:ascii="Times New Roman" w:hAnsi="Times New Roman" w:cs="Symbol"/>
      <w:sz w:val="24"/>
    </w:rPr>
  </w:style>
  <w:style w:type="character" w:customStyle="1" w:styleId="ListLabel1295">
    <w:name w:val="ListLabel 1295"/>
    <w:qFormat/>
    <w:rPr>
      <w:rFonts w:cs="Courier New"/>
    </w:rPr>
  </w:style>
  <w:style w:type="character" w:customStyle="1" w:styleId="ListLabel1296">
    <w:name w:val="ListLabel 1296"/>
    <w:qFormat/>
    <w:rPr>
      <w:rFonts w:cs="Wingdings"/>
    </w:rPr>
  </w:style>
  <w:style w:type="character" w:customStyle="1" w:styleId="ListLabel1297">
    <w:name w:val="ListLabel 1297"/>
    <w:qFormat/>
    <w:rPr>
      <w:rFonts w:cs="Symbol"/>
    </w:rPr>
  </w:style>
  <w:style w:type="character" w:customStyle="1" w:styleId="ListLabel1298">
    <w:name w:val="ListLabel 1298"/>
    <w:qFormat/>
    <w:rPr>
      <w:rFonts w:cs="Courier New"/>
    </w:rPr>
  </w:style>
  <w:style w:type="character" w:customStyle="1" w:styleId="ListLabel1299">
    <w:name w:val="ListLabel 1299"/>
    <w:qFormat/>
    <w:rPr>
      <w:rFonts w:cs="Wingdings"/>
    </w:rPr>
  </w:style>
  <w:style w:type="character" w:customStyle="1" w:styleId="ListLabel1300">
    <w:name w:val="ListLabel 1300"/>
    <w:qFormat/>
    <w:rPr>
      <w:rFonts w:cs="Symbol"/>
    </w:rPr>
  </w:style>
  <w:style w:type="character" w:customStyle="1" w:styleId="ListLabel1301">
    <w:name w:val="ListLabel 1301"/>
    <w:qFormat/>
    <w:rPr>
      <w:rFonts w:cs="Courier New"/>
    </w:rPr>
  </w:style>
  <w:style w:type="character" w:customStyle="1" w:styleId="ListLabel1302">
    <w:name w:val="ListLabel 1302"/>
    <w:qFormat/>
    <w:rPr>
      <w:rFonts w:cs="Wingdings"/>
    </w:rPr>
  </w:style>
  <w:style w:type="character" w:customStyle="1" w:styleId="ListLabel1303">
    <w:name w:val="ListLabel 1303"/>
    <w:qFormat/>
    <w:rPr>
      <w:rFonts w:ascii="Times New Roman" w:hAnsi="Times New Roman" w:cs="Symbol"/>
      <w:sz w:val="24"/>
    </w:rPr>
  </w:style>
  <w:style w:type="character" w:customStyle="1" w:styleId="ListLabel1304">
    <w:name w:val="ListLabel 1304"/>
    <w:qFormat/>
    <w:rPr>
      <w:rFonts w:cs="Courier New"/>
    </w:rPr>
  </w:style>
  <w:style w:type="character" w:customStyle="1" w:styleId="ListLabel1305">
    <w:name w:val="ListLabel 1305"/>
    <w:qFormat/>
    <w:rPr>
      <w:rFonts w:cs="Wingdings"/>
    </w:rPr>
  </w:style>
  <w:style w:type="character" w:customStyle="1" w:styleId="ListLabel1306">
    <w:name w:val="ListLabel 1306"/>
    <w:qFormat/>
    <w:rPr>
      <w:rFonts w:cs="Symbol"/>
    </w:rPr>
  </w:style>
  <w:style w:type="character" w:customStyle="1" w:styleId="ListLabel1307">
    <w:name w:val="ListLabel 1307"/>
    <w:qFormat/>
    <w:rPr>
      <w:rFonts w:cs="Courier New"/>
    </w:rPr>
  </w:style>
  <w:style w:type="character" w:customStyle="1" w:styleId="ListLabel1308">
    <w:name w:val="ListLabel 1308"/>
    <w:qFormat/>
    <w:rPr>
      <w:rFonts w:cs="Wingdings"/>
    </w:rPr>
  </w:style>
  <w:style w:type="character" w:customStyle="1" w:styleId="ListLabel1309">
    <w:name w:val="ListLabel 1309"/>
    <w:qFormat/>
    <w:rPr>
      <w:rFonts w:cs="Symbol"/>
    </w:rPr>
  </w:style>
  <w:style w:type="character" w:customStyle="1" w:styleId="ListLabel1310">
    <w:name w:val="ListLabel 1310"/>
    <w:qFormat/>
    <w:rPr>
      <w:rFonts w:cs="Courier New"/>
    </w:rPr>
  </w:style>
  <w:style w:type="character" w:customStyle="1" w:styleId="ListLabel1311">
    <w:name w:val="ListLabel 1311"/>
    <w:qFormat/>
    <w:rPr>
      <w:rFonts w:cs="Wingdings"/>
    </w:rPr>
  </w:style>
  <w:style w:type="character" w:customStyle="1" w:styleId="ListLabel1312">
    <w:name w:val="ListLabel 1312"/>
    <w:qFormat/>
    <w:rPr>
      <w:rFonts w:ascii="Times New Roman" w:hAnsi="Times New Roman" w:cs="Symbol"/>
      <w:sz w:val="24"/>
    </w:rPr>
  </w:style>
  <w:style w:type="character" w:customStyle="1" w:styleId="ListLabel1313">
    <w:name w:val="ListLabel 1313"/>
    <w:qFormat/>
    <w:rPr>
      <w:rFonts w:cs="Courier New"/>
    </w:rPr>
  </w:style>
  <w:style w:type="character" w:customStyle="1" w:styleId="ListLabel1314">
    <w:name w:val="ListLabel 1314"/>
    <w:qFormat/>
    <w:rPr>
      <w:rFonts w:cs="Wingdings"/>
    </w:rPr>
  </w:style>
  <w:style w:type="character" w:customStyle="1" w:styleId="ListLabel1315">
    <w:name w:val="ListLabel 1315"/>
    <w:qFormat/>
    <w:rPr>
      <w:rFonts w:cs="Symbol"/>
    </w:rPr>
  </w:style>
  <w:style w:type="character" w:customStyle="1" w:styleId="ListLabel1316">
    <w:name w:val="ListLabel 1316"/>
    <w:qFormat/>
    <w:rPr>
      <w:rFonts w:cs="Courier New"/>
    </w:rPr>
  </w:style>
  <w:style w:type="character" w:customStyle="1" w:styleId="ListLabel1317">
    <w:name w:val="ListLabel 1317"/>
    <w:qFormat/>
    <w:rPr>
      <w:rFonts w:cs="Wingdings"/>
    </w:rPr>
  </w:style>
  <w:style w:type="character" w:customStyle="1" w:styleId="ListLabel1318">
    <w:name w:val="ListLabel 1318"/>
    <w:qFormat/>
    <w:rPr>
      <w:rFonts w:cs="Symbol"/>
    </w:rPr>
  </w:style>
  <w:style w:type="character" w:customStyle="1" w:styleId="ListLabel1319">
    <w:name w:val="ListLabel 1319"/>
    <w:qFormat/>
    <w:rPr>
      <w:rFonts w:cs="Courier New"/>
    </w:rPr>
  </w:style>
  <w:style w:type="character" w:customStyle="1" w:styleId="ListLabel1320">
    <w:name w:val="ListLabel 1320"/>
    <w:qFormat/>
    <w:rPr>
      <w:rFonts w:cs="Wingdings"/>
    </w:rPr>
  </w:style>
  <w:style w:type="character" w:customStyle="1" w:styleId="ListLabel1321">
    <w:name w:val="ListLabel 1321"/>
    <w:qFormat/>
    <w:rPr>
      <w:rFonts w:ascii="Times New Roman" w:hAnsi="Times New Roman" w:cs="Symbol"/>
      <w:sz w:val="24"/>
    </w:rPr>
  </w:style>
  <w:style w:type="character" w:customStyle="1" w:styleId="ListLabel1322">
    <w:name w:val="ListLabel 1322"/>
    <w:qFormat/>
    <w:rPr>
      <w:rFonts w:cs="Courier New"/>
    </w:rPr>
  </w:style>
  <w:style w:type="character" w:customStyle="1" w:styleId="ListLabel1323">
    <w:name w:val="ListLabel 1323"/>
    <w:qFormat/>
    <w:rPr>
      <w:rFonts w:cs="Wingdings"/>
    </w:rPr>
  </w:style>
  <w:style w:type="character" w:customStyle="1" w:styleId="ListLabel1324">
    <w:name w:val="ListLabel 1324"/>
    <w:qFormat/>
    <w:rPr>
      <w:rFonts w:cs="Symbol"/>
    </w:rPr>
  </w:style>
  <w:style w:type="character" w:customStyle="1" w:styleId="ListLabel1325">
    <w:name w:val="ListLabel 1325"/>
    <w:qFormat/>
    <w:rPr>
      <w:rFonts w:cs="Courier New"/>
    </w:rPr>
  </w:style>
  <w:style w:type="character" w:customStyle="1" w:styleId="ListLabel1326">
    <w:name w:val="ListLabel 1326"/>
    <w:qFormat/>
    <w:rPr>
      <w:rFonts w:cs="Wingdings"/>
    </w:rPr>
  </w:style>
  <w:style w:type="character" w:customStyle="1" w:styleId="ListLabel1327">
    <w:name w:val="ListLabel 1327"/>
    <w:qFormat/>
    <w:rPr>
      <w:rFonts w:cs="Symbol"/>
    </w:rPr>
  </w:style>
  <w:style w:type="character" w:customStyle="1" w:styleId="ListLabel1328">
    <w:name w:val="ListLabel 1328"/>
    <w:qFormat/>
    <w:rPr>
      <w:rFonts w:cs="Courier New"/>
    </w:rPr>
  </w:style>
  <w:style w:type="character" w:customStyle="1" w:styleId="ListLabel1329">
    <w:name w:val="ListLabel 1329"/>
    <w:qFormat/>
    <w:rPr>
      <w:rFonts w:cs="Wingdings"/>
    </w:rPr>
  </w:style>
  <w:style w:type="character" w:customStyle="1" w:styleId="ListLabel1330">
    <w:name w:val="ListLabel 1330"/>
    <w:qFormat/>
    <w:rPr>
      <w:rFonts w:cs="Wingdings"/>
      <w:sz w:val="24"/>
    </w:rPr>
  </w:style>
  <w:style w:type="character" w:customStyle="1" w:styleId="ListLabel1331">
    <w:name w:val="ListLabel 1331"/>
    <w:qFormat/>
    <w:rPr>
      <w:rFonts w:cs="Courier New"/>
    </w:rPr>
  </w:style>
  <w:style w:type="character" w:customStyle="1" w:styleId="ListLabel1332">
    <w:name w:val="ListLabel 1332"/>
    <w:qFormat/>
    <w:rPr>
      <w:rFonts w:cs="Wingdings"/>
    </w:rPr>
  </w:style>
  <w:style w:type="character" w:customStyle="1" w:styleId="ListLabel1333">
    <w:name w:val="ListLabel 1333"/>
    <w:qFormat/>
    <w:rPr>
      <w:rFonts w:cs="Symbol"/>
    </w:rPr>
  </w:style>
  <w:style w:type="character" w:customStyle="1" w:styleId="ListLabel1334">
    <w:name w:val="ListLabel 1334"/>
    <w:qFormat/>
    <w:rPr>
      <w:rFonts w:cs="Courier New"/>
    </w:rPr>
  </w:style>
  <w:style w:type="character" w:customStyle="1" w:styleId="ListLabel1335">
    <w:name w:val="ListLabel 1335"/>
    <w:qFormat/>
    <w:rPr>
      <w:rFonts w:cs="Wingdings"/>
    </w:rPr>
  </w:style>
  <w:style w:type="character" w:customStyle="1" w:styleId="ListLabel1336">
    <w:name w:val="ListLabel 1336"/>
    <w:qFormat/>
    <w:rPr>
      <w:rFonts w:cs="Symbol"/>
    </w:rPr>
  </w:style>
  <w:style w:type="character" w:customStyle="1" w:styleId="ListLabel1337">
    <w:name w:val="ListLabel 1337"/>
    <w:qFormat/>
    <w:rPr>
      <w:rFonts w:cs="Courier New"/>
    </w:rPr>
  </w:style>
  <w:style w:type="character" w:customStyle="1" w:styleId="ListLabel1338">
    <w:name w:val="ListLabel 1338"/>
    <w:qFormat/>
    <w:rPr>
      <w:rFonts w:cs="Wingdings"/>
    </w:rPr>
  </w:style>
  <w:style w:type="character" w:customStyle="1" w:styleId="ListLabel1339">
    <w:name w:val="ListLabel 1339"/>
    <w:qFormat/>
    <w:rPr>
      <w:rFonts w:ascii="Times New Roman" w:hAnsi="Times New Roman" w:cs="OpenSymbol"/>
      <w:sz w:val="24"/>
    </w:rPr>
  </w:style>
  <w:style w:type="character" w:customStyle="1" w:styleId="ListLabel1340">
    <w:name w:val="ListLabel 1340"/>
    <w:qFormat/>
    <w:rPr>
      <w:rFonts w:cs="OpenSymbol"/>
    </w:rPr>
  </w:style>
  <w:style w:type="character" w:customStyle="1" w:styleId="ListLabel1341">
    <w:name w:val="ListLabel 1341"/>
    <w:qFormat/>
    <w:rPr>
      <w:rFonts w:cs="OpenSymbol"/>
    </w:rPr>
  </w:style>
  <w:style w:type="character" w:customStyle="1" w:styleId="ListLabel1342">
    <w:name w:val="ListLabel 1342"/>
    <w:qFormat/>
    <w:rPr>
      <w:rFonts w:cs="OpenSymbol"/>
    </w:rPr>
  </w:style>
  <w:style w:type="character" w:customStyle="1" w:styleId="ListLabel1343">
    <w:name w:val="ListLabel 1343"/>
    <w:qFormat/>
    <w:rPr>
      <w:rFonts w:cs="OpenSymbol"/>
    </w:rPr>
  </w:style>
  <w:style w:type="character" w:customStyle="1" w:styleId="ListLabel1344">
    <w:name w:val="ListLabel 1344"/>
    <w:qFormat/>
    <w:rPr>
      <w:rFonts w:cs="OpenSymbol"/>
    </w:rPr>
  </w:style>
  <w:style w:type="character" w:customStyle="1" w:styleId="ListLabel1345">
    <w:name w:val="ListLabel 1345"/>
    <w:qFormat/>
    <w:rPr>
      <w:rFonts w:cs="OpenSymbol"/>
    </w:rPr>
  </w:style>
  <w:style w:type="character" w:customStyle="1" w:styleId="ListLabel1346">
    <w:name w:val="ListLabel 1346"/>
    <w:qFormat/>
    <w:rPr>
      <w:rFonts w:cs="OpenSymbol"/>
    </w:rPr>
  </w:style>
  <w:style w:type="character" w:customStyle="1" w:styleId="ListLabel1347">
    <w:name w:val="ListLabel 1347"/>
    <w:qFormat/>
    <w:rPr>
      <w:rFonts w:cs="OpenSymbol"/>
    </w:rPr>
  </w:style>
  <w:style w:type="character" w:customStyle="1" w:styleId="ListLabel1348">
    <w:name w:val="ListLabel 1348"/>
    <w:qFormat/>
    <w:rPr>
      <w:rFonts w:ascii="Times New Roman" w:hAnsi="Times New Roman" w:cs="OpenSymbol"/>
      <w:sz w:val="24"/>
    </w:rPr>
  </w:style>
  <w:style w:type="character" w:customStyle="1" w:styleId="ListLabel1349">
    <w:name w:val="ListLabel 1349"/>
    <w:qFormat/>
    <w:rPr>
      <w:rFonts w:cs="OpenSymbol"/>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cs="OpenSymbol"/>
    </w:rPr>
  </w:style>
  <w:style w:type="character" w:customStyle="1" w:styleId="ListLabel1356">
    <w:name w:val="ListLabel 1356"/>
    <w:qFormat/>
    <w:rPr>
      <w:rFonts w:cs="OpenSymbol"/>
    </w:rPr>
  </w:style>
  <w:style w:type="character" w:customStyle="1" w:styleId="ListLabel1357">
    <w:name w:val="ListLabel 1357"/>
    <w:qFormat/>
    <w:rPr>
      <w:rFonts w:ascii="Times New Roman" w:hAnsi="Times New Roman" w:cs="OpenSymbol"/>
      <w:sz w:val="24"/>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ascii="Times New Roman" w:hAnsi="Times New Roman" w:cs="OpenSymbol"/>
      <w:sz w:val="24"/>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ascii="Times New Roman" w:hAnsi="Times New Roman" w:cs="OpenSymbol"/>
      <w:sz w:val="24"/>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ascii="Times New Roman" w:hAnsi="Times New Roman" w:cs="OpenSymbol"/>
      <w:sz w:val="24"/>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ascii="Times New Roman" w:hAnsi="Times New Roman" w:cs="Symbol"/>
      <w:sz w:val="24"/>
    </w:rPr>
  </w:style>
  <w:style w:type="character" w:customStyle="1" w:styleId="ListLabel1394">
    <w:name w:val="ListLabel 1394"/>
    <w:qFormat/>
    <w:rPr>
      <w:rFonts w:cs="Courier New"/>
    </w:rPr>
  </w:style>
  <w:style w:type="character" w:customStyle="1" w:styleId="ListLabel1395">
    <w:name w:val="ListLabel 1395"/>
    <w:qFormat/>
    <w:rPr>
      <w:rFonts w:cs="Wingdings"/>
    </w:rPr>
  </w:style>
  <w:style w:type="character" w:customStyle="1" w:styleId="ListLabel1396">
    <w:name w:val="ListLabel 1396"/>
    <w:qFormat/>
    <w:rPr>
      <w:rFonts w:cs="Symbol"/>
    </w:rPr>
  </w:style>
  <w:style w:type="character" w:customStyle="1" w:styleId="ListLabel1397">
    <w:name w:val="ListLabel 1397"/>
    <w:qFormat/>
    <w:rPr>
      <w:rFonts w:cs="Courier New"/>
    </w:rPr>
  </w:style>
  <w:style w:type="character" w:customStyle="1" w:styleId="ListLabel1398">
    <w:name w:val="ListLabel 1398"/>
    <w:qFormat/>
    <w:rPr>
      <w:rFonts w:cs="Wingdings"/>
    </w:rPr>
  </w:style>
  <w:style w:type="character" w:customStyle="1" w:styleId="ListLabel1399">
    <w:name w:val="ListLabel 1399"/>
    <w:qFormat/>
    <w:rPr>
      <w:rFonts w:cs="Symbol"/>
    </w:rPr>
  </w:style>
  <w:style w:type="character" w:customStyle="1" w:styleId="ListLabel1400">
    <w:name w:val="ListLabel 1400"/>
    <w:qFormat/>
    <w:rPr>
      <w:rFonts w:cs="Courier New"/>
    </w:rPr>
  </w:style>
  <w:style w:type="character" w:customStyle="1" w:styleId="ListLabel1401">
    <w:name w:val="ListLabel 1401"/>
    <w:qFormat/>
    <w:rPr>
      <w:rFonts w:cs="Wingdings"/>
    </w:rPr>
  </w:style>
  <w:style w:type="character" w:customStyle="1" w:styleId="ListLabel1402">
    <w:name w:val="ListLabel 1402"/>
    <w:qFormat/>
    <w:rPr>
      <w:rFonts w:ascii="Times New Roman" w:hAnsi="Times New Roman" w:cs="Symbol"/>
      <w:sz w:val="24"/>
    </w:rPr>
  </w:style>
  <w:style w:type="character" w:customStyle="1" w:styleId="ListLabel1403">
    <w:name w:val="ListLabel 1403"/>
    <w:qFormat/>
    <w:rPr>
      <w:rFonts w:cs="Courier New"/>
    </w:rPr>
  </w:style>
  <w:style w:type="character" w:customStyle="1" w:styleId="ListLabel1404">
    <w:name w:val="ListLabel 1404"/>
    <w:qFormat/>
    <w:rPr>
      <w:rFonts w:cs="Wingdings"/>
    </w:rPr>
  </w:style>
  <w:style w:type="character" w:customStyle="1" w:styleId="ListLabel1405">
    <w:name w:val="ListLabel 1405"/>
    <w:qFormat/>
    <w:rPr>
      <w:rFonts w:cs="Symbol"/>
    </w:rPr>
  </w:style>
  <w:style w:type="character" w:customStyle="1" w:styleId="ListLabel1406">
    <w:name w:val="ListLabel 1406"/>
    <w:qFormat/>
    <w:rPr>
      <w:rFonts w:cs="Courier New"/>
    </w:rPr>
  </w:style>
  <w:style w:type="character" w:customStyle="1" w:styleId="ListLabel1407">
    <w:name w:val="ListLabel 1407"/>
    <w:qFormat/>
    <w:rPr>
      <w:rFonts w:cs="Wingdings"/>
    </w:rPr>
  </w:style>
  <w:style w:type="character" w:customStyle="1" w:styleId="ListLabel1408">
    <w:name w:val="ListLabel 1408"/>
    <w:qFormat/>
    <w:rPr>
      <w:rFonts w:cs="Symbol"/>
    </w:rPr>
  </w:style>
  <w:style w:type="character" w:customStyle="1" w:styleId="ListLabel1409">
    <w:name w:val="ListLabel 1409"/>
    <w:qFormat/>
    <w:rPr>
      <w:rFonts w:cs="Courier New"/>
    </w:rPr>
  </w:style>
  <w:style w:type="character" w:customStyle="1" w:styleId="ListLabel1410">
    <w:name w:val="ListLabel 1410"/>
    <w:qFormat/>
    <w:rPr>
      <w:rFonts w:cs="Wingdings"/>
    </w:rPr>
  </w:style>
  <w:style w:type="character" w:customStyle="1" w:styleId="ListLabel1411">
    <w:name w:val="ListLabel 1411"/>
    <w:qFormat/>
    <w:rPr>
      <w:rFonts w:ascii="Times New Roman" w:hAnsi="Times New Roman" w:cs="Symbol"/>
      <w:sz w:val="24"/>
    </w:rPr>
  </w:style>
  <w:style w:type="character" w:customStyle="1" w:styleId="ListLabel1412">
    <w:name w:val="ListLabel 1412"/>
    <w:qFormat/>
    <w:rPr>
      <w:rFonts w:cs="Courier New"/>
    </w:rPr>
  </w:style>
  <w:style w:type="character" w:customStyle="1" w:styleId="ListLabel1413">
    <w:name w:val="ListLabel 1413"/>
    <w:qFormat/>
    <w:rPr>
      <w:rFonts w:cs="Wingdings"/>
    </w:rPr>
  </w:style>
  <w:style w:type="character" w:customStyle="1" w:styleId="ListLabel1414">
    <w:name w:val="ListLabel 1414"/>
    <w:qFormat/>
    <w:rPr>
      <w:rFonts w:cs="Symbol"/>
    </w:rPr>
  </w:style>
  <w:style w:type="character" w:customStyle="1" w:styleId="ListLabel1415">
    <w:name w:val="ListLabel 1415"/>
    <w:qFormat/>
    <w:rPr>
      <w:rFonts w:cs="Courier New"/>
    </w:rPr>
  </w:style>
  <w:style w:type="character" w:customStyle="1" w:styleId="ListLabel1416">
    <w:name w:val="ListLabel 1416"/>
    <w:qFormat/>
    <w:rPr>
      <w:rFonts w:cs="Wingdings"/>
    </w:rPr>
  </w:style>
  <w:style w:type="character" w:customStyle="1" w:styleId="ListLabel1417">
    <w:name w:val="ListLabel 1417"/>
    <w:qFormat/>
    <w:rPr>
      <w:rFonts w:cs="Symbol"/>
    </w:rPr>
  </w:style>
  <w:style w:type="character" w:customStyle="1" w:styleId="ListLabel1418">
    <w:name w:val="ListLabel 1418"/>
    <w:qFormat/>
    <w:rPr>
      <w:rFonts w:cs="Courier New"/>
    </w:rPr>
  </w:style>
  <w:style w:type="character" w:customStyle="1" w:styleId="ListLabel1419">
    <w:name w:val="ListLabel 1419"/>
    <w:qFormat/>
    <w:rPr>
      <w:rFonts w:cs="Wingdings"/>
    </w:rPr>
  </w:style>
  <w:style w:type="character" w:customStyle="1" w:styleId="ListLabel1420">
    <w:name w:val="ListLabel 1420"/>
    <w:qFormat/>
    <w:rPr>
      <w:rFonts w:ascii="Times New Roman" w:hAnsi="Times New Roman" w:cs="Symbol"/>
      <w:sz w:val="24"/>
    </w:rPr>
  </w:style>
  <w:style w:type="character" w:customStyle="1" w:styleId="ListLabel1421">
    <w:name w:val="ListLabel 1421"/>
    <w:qFormat/>
    <w:rPr>
      <w:rFonts w:cs="Courier New"/>
    </w:rPr>
  </w:style>
  <w:style w:type="character" w:customStyle="1" w:styleId="ListLabel1422">
    <w:name w:val="ListLabel 1422"/>
    <w:qFormat/>
    <w:rPr>
      <w:rFonts w:cs="Wingdings"/>
    </w:rPr>
  </w:style>
  <w:style w:type="character" w:customStyle="1" w:styleId="ListLabel1423">
    <w:name w:val="ListLabel 1423"/>
    <w:qFormat/>
    <w:rPr>
      <w:rFonts w:cs="Symbol"/>
    </w:rPr>
  </w:style>
  <w:style w:type="character" w:customStyle="1" w:styleId="ListLabel1424">
    <w:name w:val="ListLabel 1424"/>
    <w:qFormat/>
    <w:rPr>
      <w:rFonts w:cs="Courier New"/>
    </w:rPr>
  </w:style>
  <w:style w:type="character" w:customStyle="1" w:styleId="ListLabel1425">
    <w:name w:val="ListLabel 1425"/>
    <w:qFormat/>
    <w:rPr>
      <w:rFonts w:cs="Wingdings"/>
    </w:rPr>
  </w:style>
  <w:style w:type="character" w:customStyle="1" w:styleId="ListLabel1426">
    <w:name w:val="ListLabel 1426"/>
    <w:qFormat/>
    <w:rPr>
      <w:rFonts w:cs="Symbol"/>
    </w:rPr>
  </w:style>
  <w:style w:type="character" w:customStyle="1" w:styleId="ListLabel1427">
    <w:name w:val="ListLabel 1427"/>
    <w:qFormat/>
    <w:rPr>
      <w:rFonts w:cs="Courier New"/>
    </w:rPr>
  </w:style>
  <w:style w:type="character" w:customStyle="1" w:styleId="ListLabel1428">
    <w:name w:val="ListLabel 1428"/>
    <w:qFormat/>
    <w:rPr>
      <w:rFonts w:cs="Wingdings"/>
    </w:rPr>
  </w:style>
  <w:style w:type="character" w:customStyle="1" w:styleId="ListLabel1429">
    <w:name w:val="ListLabel 1429"/>
    <w:qFormat/>
    <w:rPr>
      <w:rFonts w:ascii="Times New Roman" w:hAnsi="Times New Roman" w:cs="Symbol"/>
      <w:sz w:val="24"/>
    </w:rPr>
  </w:style>
  <w:style w:type="character" w:customStyle="1" w:styleId="ListLabel1430">
    <w:name w:val="ListLabel 1430"/>
    <w:qFormat/>
    <w:rPr>
      <w:rFonts w:cs="Courier New"/>
    </w:rPr>
  </w:style>
  <w:style w:type="character" w:customStyle="1" w:styleId="ListLabel1431">
    <w:name w:val="ListLabel 1431"/>
    <w:qFormat/>
    <w:rPr>
      <w:rFonts w:cs="Wingdings"/>
    </w:rPr>
  </w:style>
  <w:style w:type="character" w:customStyle="1" w:styleId="ListLabel1432">
    <w:name w:val="ListLabel 1432"/>
    <w:qFormat/>
    <w:rPr>
      <w:rFonts w:cs="Symbol"/>
    </w:rPr>
  </w:style>
  <w:style w:type="character" w:customStyle="1" w:styleId="ListLabel1433">
    <w:name w:val="ListLabel 1433"/>
    <w:qFormat/>
    <w:rPr>
      <w:rFonts w:cs="Courier New"/>
    </w:rPr>
  </w:style>
  <w:style w:type="character" w:customStyle="1" w:styleId="ListLabel1434">
    <w:name w:val="ListLabel 1434"/>
    <w:qFormat/>
    <w:rPr>
      <w:rFonts w:cs="Wingdings"/>
    </w:rPr>
  </w:style>
  <w:style w:type="character" w:customStyle="1" w:styleId="ListLabel1435">
    <w:name w:val="ListLabel 1435"/>
    <w:qFormat/>
    <w:rPr>
      <w:rFonts w:cs="Symbol"/>
    </w:rPr>
  </w:style>
  <w:style w:type="character" w:customStyle="1" w:styleId="ListLabel1436">
    <w:name w:val="ListLabel 1436"/>
    <w:qFormat/>
    <w:rPr>
      <w:rFonts w:cs="Courier New"/>
    </w:rPr>
  </w:style>
  <w:style w:type="character" w:customStyle="1" w:styleId="ListLabel1437">
    <w:name w:val="ListLabel 1437"/>
    <w:qFormat/>
    <w:rPr>
      <w:rFonts w:cs="Wingdings"/>
    </w:rPr>
  </w:style>
  <w:style w:type="character" w:customStyle="1" w:styleId="ListLabel1438">
    <w:name w:val="ListLabel 1438"/>
    <w:qFormat/>
    <w:rPr>
      <w:rFonts w:ascii="Times New Roman" w:hAnsi="Times New Roman" w:cs="Symbol"/>
      <w:sz w:val="24"/>
    </w:rPr>
  </w:style>
  <w:style w:type="character" w:customStyle="1" w:styleId="ListLabel1439">
    <w:name w:val="ListLabel 1439"/>
    <w:qFormat/>
    <w:rPr>
      <w:rFonts w:cs="Courier New"/>
    </w:rPr>
  </w:style>
  <w:style w:type="character" w:customStyle="1" w:styleId="ListLabel1440">
    <w:name w:val="ListLabel 1440"/>
    <w:qFormat/>
    <w:rPr>
      <w:rFonts w:cs="Wingdings"/>
    </w:rPr>
  </w:style>
  <w:style w:type="character" w:customStyle="1" w:styleId="ListLabel1441">
    <w:name w:val="ListLabel 1441"/>
    <w:qFormat/>
    <w:rPr>
      <w:rFonts w:cs="Symbol"/>
    </w:rPr>
  </w:style>
  <w:style w:type="character" w:customStyle="1" w:styleId="ListLabel1442">
    <w:name w:val="ListLabel 1442"/>
    <w:qFormat/>
    <w:rPr>
      <w:rFonts w:cs="Courier New"/>
    </w:rPr>
  </w:style>
  <w:style w:type="character" w:customStyle="1" w:styleId="ListLabel1443">
    <w:name w:val="ListLabel 1443"/>
    <w:qFormat/>
    <w:rPr>
      <w:rFonts w:cs="Wingdings"/>
    </w:rPr>
  </w:style>
  <w:style w:type="character" w:customStyle="1" w:styleId="ListLabel1444">
    <w:name w:val="ListLabel 1444"/>
    <w:qFormat/>
    <w:rPr>
      <w:rFonts w:cs="Symbol"/>
    </w:rPr>
  </w:style>
  <w:style w:type="character" w:customStyle="1" w:styleId="ListLabel1445">
    <w:name w:val="ListLabel 1445"/>
    <w:qFormat/>
    <w:rPr>
      <w:rFonts w:cs="Courier New"/>
    </w:rPr>
  </w:style>
  <w:style w:type="character" w:customStyle="1" w:styleId="ListLabel1446">
    <w:name w:val="ListLabel 1446"/>
    <w:qFormat/>
    <w:rPr>
      <w:rFonts w:cs="Wingdings"/>
    </w:rPr>
  </w:style>
  <w:style w:type="character" w:customStyle="1" w:styleId="ListLabel1447">
    <w:name w:val="ListLabel 1447"/>
    <w:qFormat/>
    <w:rPr>
      <w:rFonts w:ascii="Times New Roman" w:hAnsi="Times New Roman" w:cs="Symbol"/>
      <w:sz w:val="24"/>
    </w:rPr>
  </w:style>
  <w:style w:type="character" w:customStyle="1" w:styleId="ListLabel1448">
    <w:name w:val="ListLabel 1448"/>
    <w:qFormat/>
    <w:rPr>
      <w:rFonts w:cs="Courier New"/>
    </w:rPr>
  </w:style>
  <w:style w:type="character" w:customStyle="1" w:styleId="ListLabel1449">
    <w:name w:val="ListLabel 1449"/>
    <w:qFormat/>
    <w:rPr>
      <w:rFonts w:cs="Wingdings"/>
    </w:rPr>
  </w:style>
  <w:style w:type="character" w:customStyle="1" w:styleId="ListLabel1450">
    <w:name w:val="ListLabel 1450"/>
    <w:qFormat/>
    <w:rPr>
      <w:rFonts w:cs="Symbol"/>
    </w:rPr>
  </w:style>
  <w:style w:type="character" w:customStyle="1" w:styleId="ListLabel1451">
    <w:name w:val="ListLabel 1451"/>
    <w:qFormat/>
    <w:rPr>
      <w:rFonts w:cs="Courier New"/>
    </w:rPr>
  </w:style>
  <w:style w:type="character" w:customStyle="1" w:styleId="ListLabel1452">
    <w:name w:val="ListLabel 1452"/>
    <w:qFormat/>
    <w:rPr>
      <w:rFonts w:cs="Wingdings"/>
    </w:rPr>
  </w:style>
  <w:style w:type="character" w:customStyle="1" w:styleId="ListLabel1453">
    <w:name w:val="ListLabel 1453"/>
    <w:qFormat/>
    <w:rPr>
      <w:rFonts w:cs="Symbol"/>
    </w:rPr>
  </w:style>
  <w:style w:type="character" w:customStyle="1" w:styleId="ListLabel1454">
    <w:name w:val="ListLabel 1454"/>
    <w:qFormat/>
    <w:rPr>
      <w:rFonts w:cs="Courier New"/>
    </w:rPr>
  </w:style>
  <w:style w:type="character" w:customStyle="1" w:styleId="ListLabel1455">
    <w:name w:val="ListLabel 1455"/>
    <w:qFormat/>
    <w:rPr>
      <w:rFonts w:cs="Wingdings"/>
    </w:rPr>
  </w:style>
  <w:style w:type="character" w:customStyle="1" w:styleId="ListLabel1456">
    <w:name w:val="ListLabel 1456"/>
    <w:qFormat/>
    <w:rPr>
      <w:rFonts w:ascii="Times New Roman" w:hAnsi="Times New Roman" w:cs="Symbol"/>
      <w:sz w:val="24"/>
    </w:rPr>
  </w:style>
  <w:style w:type="character" w:customStyle="1" w:styleId="ListLabel1457">
    <w:name w:val="ListLabel 1457"/>
    <w:qFormat/>
    <w:rPr>
      <w:rFonts w:cs="Courier New"/>
    </w:rPr>
  </w:style>
  <w:style w:type="character" w:customStyle="1" w:styleId="ListLabel1458">
    <w:name w:val="ListLabel 1458"/>
    <w:qFormat/>
    <w:rPr>
      <w:rFonts w:cs="Wingdings"/>
    </w:rPr>
  </w:style>
  <w:style w:type="character" w:customStyle="1" w:styleId="ListLabel1459">
    <w:name w:val="ListLabel 1459"/>
    <w:qFormat/>
    <w:rPr>
      <w:rFonts w:cs="Symbol"/>
    </w:rPr>
  </w:style>
  <w:style w:type="character" w:customStyle="1" w:styleId="ListLabel1460">
    <w:name w:val="ListLabel 1460"/>
    <w:qFormat/>
    <w:rPr>
      <w:rFonts w:cs="Courier New"/>
    </w:rPr>
  </w:style>
  <w:style w:type="character" w:customStyle="1" w:styleId="ListLabel1461">
    <w:name w:val="ListLabel 1461"/>
    <w:qFormat/>
    <w:rPr>
      <w:rFonts w:cs="Wingdings"/>
    </w:rPr>
  </w:style>
  <w:style w:type="character" w:customStyle="1" w:styleId="ListLabel1462">
    <w:name w:val="ListLabel 1462"/>
    <w:qFormat/>
    <w:rPr>
      <w:rFonts w:cs="Symbol"/>
    </w:rPr>
  </w:style>
  <w:style w:type="character" w:customStyle="1" w:styleId="ListLabel1463">
    <w:name w:val="ListLabel 1463"/>
    <w:qFormat/>
    <w:rPr>
      <w:rFonts w:cs="Courier New"/>
    </w:rPr>
  </w:style>
  <w:style w:type="character" w:customStyle="1" w:styleId="ListLabel1464">
    <w:name w:val="ListLabel 1464"/>
    <w:qFormat/>
    <w:rPr>
      <w:rFonts w:cs="Wingdings"/>
    </w:rPr>
  </w:style>
  <w:style w:type="character" w:customStyle="1" w:styleId="ListLabel1465">
    <w:name w:val="ListLabel 1465"/>
    <w:qFormat/>
    <w:rPr>
      <w:rFonts w:ascii="Times New Roman" w:hAnsi="Times New Roman" w:cs="Symbol"/>
      <w:sz w:val="24"/>
    </w:rPr>
  </w:style>
  <w:style w:type="character" w:customStyle="1" w:styleId="ListLabel1466">
    <w:name w:val="ListLabel 1466"/>
    <w:qFormat/>
    <w:rPr>
      <w:rFonts w:cs="Courier New"/>
    </w:rPr>
  </w:style>
  <w:style w:type="character" w:customStyle="1" w:styleId="ListLabel1467">
    <w:name w:val="ListLabel 1467"/>
    <w:qFormat/>
    <w:rPr>
      <w:rFonts w:cs="Wingdings"/>
    </w:rPr>
  </w:style>
  <w:style w:type="character" w:customStyle="1" w:styleId="ListLabel1468">
    <w:name w:val="ListLabel 1468"/>
    <w:qFormat/>
    <w:rPr>
      <w:rFonts w:cs="Symbol"/>
    </w:rPr>
  </w:style>
  <w:style w:type="character" w:customStyle="1" w:styleId="ListLabel1469">
    <w:name w:val="ListLabel 1469"/>
    <w:qFormat/>
    <w:rPr>
      <w:rFonts w:cs="Courier New"/>
    </w:rPr>
  </w:style>
  <w:style w:type="character" w:customStyle="1" w:styleId="ListLabel1470">
    <w:name w:val="ListLabel 1470"/>
    <w:qFormat/>
    <w:rPr>
      <w:rFonts w:cs="Wingdings"/>
    </w:rPr>
  </w:style>
  <w:style w:type="character" w:customStyle="1" w:styleId="ListLabel1471">
    <w:name w:val="ListLabel 1471"/>
    <w:qFormat/>
    <w:rPr>
      <w:rFonts w:cs="Symbol"/>
    </w:rPr>
  </w:style>
  <w:style w:type="character" w:customStyle="1" w:styleId="ListLabel1472">
    <w:name w:val="ListLabel 1472"/>
    <w:qFormat/>
    <w:rPr>
      <w:rFonts w:cs="Courier New"/>
    </w:rPr>
  </w:style>
  <w:style w:type="character" w:customStyle="1" w:styleId="ListLabel1473">
    <w:name w:val="ListLabel 1473"/>
    <w:qFormat/>
    <w:rPr>
      <w:rFonts w:cs="Wingdings"/>
    </w:rPr>
  </w:style>
  <w:style w:type="character" w:customStyle="1" w:styleId="ListLabel1474">
    <w:name w:val="ListLabel 1474"/>
    <w:qFormat/>
    <w:rPr>
      <w:rFonts w:ascii="Times New Roman" w:hAnsi="Times New Roman" w:cs="Symbol"/>
      <w:sz w:val="24"/>
    </w:rPr>
  </w:style>
  <w:style w:type="character" w:customStyle="1" w:styleId="ListLabel1475">
    <w:name w:val="ListLabel 1475"/>
    <w:qFormat/>
    <w:rPr>
      <w:rFonts w:cs="Courier New"/>
    </w:rPr>
  </w:style>
  <w:style w:type="character" w:customStyle="1" w:styleId="ListLabel1476">
    <w:name w:val="ListLabel 1476"/>
    <w:qFormat/>
    <w:rPr>
      <w:rFonts w:cs="Wingdings"/>
    </w:rPr>
  </w:style>
  <w:style w:type="character" w:customStyle="1" w:styleId="ListLabel1477">
    <w:name w:val="ListLabel 1477"/>
    <w:qFormat/>
    <w:rPr>
      <w:rFonts w:cs="Symbol"/>
    </w:rPr>
  </w:style>
  <w:style w:type="character" w:customStyle="1" w:styleId="ListLabel1478">
    <w:name w:val="ListLabel 1478"/>
    <w:qFormat/>
    <w:rPr>
      <w:rFonts w:cs="Courier New"/>
    </w:rPr>
  </w:style>
  <w:style w:type="character" w:customStyle="1" w:styleId="ListLabel1479">
    <w:name w:val="ListLabel 1479"/>
    <w:qFormat/>
    <w:rPr>
      <w:rFonts w:cs="Wingdings"/>
    </w:rPr>
  </w:style>
  <w:style w:type="character" w:customStyle="1" w:styleId="ListLabel1480">
    <w:name w:val="ListLabel 1480"/>
    <w:qFormat/>
    <w:rPr>
      <w:rFonts w:cs="Symbol"/>
    </w:rPr>
  </w:style>
  <w:style w:type="character" w:customStyle="1" w:styleId="ListLabel1481">
    <w:name w:val="ListLabel 1481"/>
    <w:qFormat/>
    <w:rPr>
      <w:rFonts w:cs="Courier New"/>
    </w:rPr>
  </w:style>
  <w:style w:type="character" w:customStyle="1" w:styleId="ListLabel1482">
    <w:name w:val="ListLabel 1482"/>
    <w:qFormat/>
    <w:rPr>
      <w:rFonts w:cs="Wingdings"/>
    </w:rPr>
  </w:style>
  <w:style w:type="character" w:customStyle="1" w:styleId="ListLabel1483">
    <w:name w:val="ListLabel 1483"/>
    <w:qFormat/>
    <w:rPr>
      <w:rFonts w:ascii="Times New Roman" w:hAnsi="Times New Roman" w:cs="Symbol"/>
      <w:sz w:val="24"/>
    </w:rPr>
  </w:style>
  <w:style w:type="character" w:customStyle="1" w:styleId="ListLabel1484">
    <w:name w:val="ListLabel 1484"/>
    <w:qFormat/>
    <w:rPr>
      <w:rFonts w:cs="Courier New"/>
    </w:rPr>
  </w:style>
  <w:style w:type="character" w:customStyle="1" w:styleId="ListLabel1485">
    <w:name w:val="ListLabel 1485"/>
    <w:qFormat/>
    <w:rPr>
      <w:rFonts w:cs="Wingdings"/>
    </w:rPr>
  </w:style>
  <w:style w:type="character" w:customStyle="1" w:styleId="ListLabel1486">
    <w:name w:val="ListLabel 1486"/>
    <w:qFormat/>
    <w:rPr>
      <w:rFonts w:cs="Symbol"/>
    </w:rPr>
  </w:style>
  <w:style w:type="character" w:customStyle="1" w:styleId="ListLabel1487">
    <w:name w:val="ListLabel 1487"/>
    <w:qFormat/>
    <w:rPr>
      <w:rFonts w:cs="Courier New"/>
    </w:rPr>
  </w:style>
  <w:style w:type="character" w:customStyle="1" w:styleId="ListLabel1488">
    <w:name w:val="ListLabel 1488"/>
    <w:qFormat/>
    <w:rPr>
      <w:rFonts w:cs="Wingdings"/>
    </w:rPr>
  </w:style>
  <w:style w:type="character" w:customStyle="1" w:styleId="ListLabel1489">
    <w:name w:val="ListLabel 1489"/>
    <w:qFormat/>
    <w:rPr>
      <w:rFonts w:cs="Symbol"/>
    </w:rPr>
  </w:style>
  <w:style w:type="character" w:customStyle="1" w:styleId="ListLabel1490">
    <w:name w:val="ListLabel 1490"/>
    <w:qFormat/>
    <w:rPr>
      <w:rFonts w:cs="Courier New"/>
    </w:rPr>
  </w:style>
  <w:style w:type="character" w:customStyle="1" w:styleId="ListLabel1491">
    <w:name w:val="ListLabel 1491"/>
    <w:qFormat/>
    <w:rPr>
      <w:rFonts w:cs="Wingdings"/>
    </w:rPr>
  </w:style>
  <w:style w:type="character" w:customStyle="1" w:styleId="ListLabel1492">
    <w:name w:val="ListLabel 1492"/>
    <w:qFormat/>
    <w:rPr>
      <w:rFonts w:ascii="Times New Roman" w:hAnsi="Times New Roman" w:cs="Symbol"/>
      <w:sz w:val="24"/>
    </w:rPr>
  </w:style>
  <w:style w:type="character" w:customStyle="1" w:styleId="ListLabel1493">
    <w:name w:val="ListLabel 1493"/>
    <w:qFormat/>
    <w:rPr>
      <w:rFonts w:cs="Courier New"/>
    </w:rPr>
  </w:style>
  <w:style w:type="character" w:customStyle="1" w:styleId="ListLabel1494">
    <w:name w:val="ListLabel 1494"/>
    <w:qFormat/>
    <w:rPr>
      <w:rFonts w:cs="Wingdings"/>
    </w:rPr>
  </w:style>
  <w:style w:type="character" w:customStyle="1" w:styleId="ListLabel1495">
    <w:name w:val="ListLabel 1495"/>
    <w:qFormat/>
    <w:rPr>
      <w:rFonts w:cs="Symbol"/>
    </w:rPr>
  </w:style>
  <w:style w:type="character" w:customStyle="1" w:styleId="ListLabel1496">
    <w:name w:val="ListLabel 1496"/>
    <w:qFormat/>
    <w:rPr>
      <w:rFonts w:cs="Courier New"/>
    </w:rPr>
  </w:style>
  <w:style w:type="character" w:customStyle="1" w:styleId="ListLabel1497">
    <w:name w:val="ListLabel 1497"/>
    <w:qFormat/>
    <w:rPr>
      <w:rFonts w:cs="Wingdings"/>
    </w:rPr>
  </w:style>
  <w:style w:type="character" w:customStyle="1" w:styleId="ListLabel1498">
    <w:name w:val="ListLabel 1498"/>
    <w:qFormat/>
    <w:rPr>
      <w:rFonts w:cs="Symbol"/>
    </w:rPr>
  </w:style>
  <w:style w:type="character" w:customStyle="1" w:styleId="ListLabel1499">
    <w:name w:val="ListLabel 1499"/>
    <w:qFormat/>
    <w:rPr>
      <w:rFonts w:cs="Courier New"/>
    </w:rPr>
  </w:style>
  <w:style w:type="character" w:customStyle="1" w:styleId="ListLabel1500">
    <w:name w:val="ListLabel 1500"/>
    <w:qFormat/>
    <w:rPr>
      <w:rFonts w:cs="Wingdings"/>
    </w:rPr>
  </w:style>
  <w:style w:type="character" w:customStyle="1" w:styleId="ListLabel1501">
    <w:name w:val="ListLabel 1501"/>
    <w:qFormat/>
    <w:rPr>
      <w:rFonts w:ascii="Times New Roman" w:hAnsi="Times New Roman" w:cs="Symbol"/>
      <w:sz w:val="24"/>
    </w:rPr>
  </w:style>
  <w:style w:type="character" w:customStyle="1" w:styleId="ListLabel1502">
    <w:name w:val="ListLabel 1502"/>
    <w:qFormat/>
    <w:rPr>
      <w:rFonts w:cs="Courier New"/>
    </w:rPr>
  </w:style>
  <w:style w:type="character" w:customStyle="1" w:styleId="ListLabel1503">
    <w:name w:val="ListLabel 1503"/>
    <w:qFormat/>
    <w:rPr>
      <w:rFonts w:cs="Wingdings"/>
    </w:rPr>
  </w:style>
  <w:style w:type="character" w:customStyle="1" w:styleId="ListLabel1504">
    <w:name w:val="ListLabel 1504"/>
    <w:qFormat/>
    <w:rPr>
      <w:rFonts w:cs="Symbol"/>
    </w:rPr>
  </w:style>
  <w:style w:type="character" w:customStyle="1" w:styleId="ListLabel1505">
    <w:name w:val="ListLabel 1505"/>
    <w:qFormat/>
    <w:rPr>
      <w:rFonts w:cs="Courier New"/>
    </w:rPr>
  </w:style>
  <w:style w:type="character" w:customStyle="1" w:styleId="ListLabel1506">
    <w:name w:val="ListLabel 1506"/>
    <w:qFormat/>
    <w:rPr>
      <w:rFonts w:cs="Wingdings"/>
    </w:rPr>
  </w:style>
  <w:style w:type="character" w:customStyle="1" w:styleId="ListLabel1507">
    <w:name w:val="ListLabel 1507"/>
    <w:qFormat/>
    <w:rPr>
      <w:rFonts w:cs="Symbol"/>
    </w:rPr>
  </w:style>
  <w:style w:type="character" w:customStyle="1" w:styleId="ListLabel1508">
    <w:name w:val="ListLabel 1508"/>
    <w:qFormat/>
    <w:rPr>
      <w:rFonts w:cs="Courier New"/>
    </w:rPr>
  </w:style>
  <w:style w:type="character" w:customStyle="1" w:styleId="ListLabel1509">
    <w:name w:val="ListLabel 1509"/>
    <w:qFormat/>
    <w:rPr>
      <w:rFonts w:cs="Wingdings"/>
    </w:rPr>
  </w:style>
  <w:style w:type="character" w:customStyle="1" w:styleId="ListLabel1510">
    <w:name w:val="ListLabel 1510"/>
    <w:qFormat/>
    <w:rPr>
      <w:rFonts w:ascii="Times New Roman" w:hAnsi="Times New Roman" w:cs="OpenSymbol"/>
      <w:sz w:val="24"/>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OpenSymbol"/>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ascii="Times New Roman" w:hAnsi="Times New Roman" w:cs="OpenSymbol"/>
      <w:sz w:val="24"/>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ascii="Times New Roman" w:hAnsi="Times New Roman" w:cs="OpenSymbol"/>
      <w:sz w:val="24"/>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cs="OpenSymbol"/>
    </w:rPr>
  </w:style>
  <w:style w:type="character" w:customStyle="1" w:styleId="ListLabel1532">
    <w:name w:val="ListLabel 1532"/>
    <w:qFormat/>
    <w:rPr>
      <w:rFonts w:cs="OpenSymbol"/>
    </w:rPr>
  </w:style>
  <w:style w:type="character" w:customStyle="1" w:styleId="ListLabel1533">
    <w:name w:val="ListLabel 1533"/>
    <w:qFormat/>
    <w:rPr>
      <w:rFonts w:cs="OpenSymbol"/>
    </w:rPr>
  </w:style>
  <w:style w:type="character" w:customStyle="1" w:styleId="ListLabel1534">
    <w:name w:val="ListLabel 1534"/>
    <w:qFormat/>
    <w:rPr>
      <w:rFonts w:cs="OpenSymbol"/>
    </w:rPr>
  </w:style>
  <w:style w:type="character" w:customStyle="1" w:styleId="ListLabel1535">
    <w:name w:val="ListLabel 1535"/>
    <w:qFormat/>
    <w:rPr>
      <w:rFonts w:cs="OpenSymbol"/>
    </w:rPr>
  </w:style>
  <w:style w:type="character" w:customStyle="1" w:styleId="ListLabel1536">
    <w:name w:val="ListLabel 1536"/>
    <w:qFormat/>
    <w:rPr>
      <w:rFonts w:cs="OpenSymbol"/>
    </w:rPr>
  </w:style>
  <w:style w:type="character" w:customStyle="1" w:styleId="ListLabel1537">
    <w:name w:val="ListLabel 1537"/>
    <w:qFormat/>
    <w:rPr>
      <w:rFonts w:ascii="Times New Roman" w:hAnsi="Times New Roman" w:cs="OpenSymbol"/>
      <w:sz w:val="24"/>
    </w:rPr>
  </w:style>
  <w:style w:type="character" w:customStyle="1" w:styleId="ListLabel1538">
    <w:name w:val="ListLabel 1538"/>
    <w:qFormat/>
    <w:rPr>
      <w:rFonts w:cs="OpenSymbol"/>
    </w:rPr>
  </w:style>
  <w:style w:type="character" w:customStyle="1" w:styleId="ListLabel1539">
    <w:name w:val="ListLabel 1539"/>
    <w:qFormat/>
    <w:rPr>
      <w:rFonts w:cs="OpenSymbol"/>
    </w:rPr>
  </w:style>
  <w:style w:type="character" w:customStyle="1" w:styleId="ListLabel1540">
    <w:name w:val="ListLabel 1540"/>
    <w:qFormat/>
    <w:rPr>
      <w:rFonts w:cs="OpenSymbol"/>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cs="OpenSymbol"/>
    </w:rPr>
  </w:style>
  <w:style w:type="character" w:customStyle="1" w:styleId="ListLabel1546">
    <w:name w:val="ListLabel 1546"/>
    <w:qFormat/>
    <w:rPr>
      <w:rFonts w:ascii="Times New Roman" w:hAnsi="Times New Roman" w:cs="OpenSymbol"/>
      <w:sz w:val="24"/>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ascii="Times New Roman" w:hAnsi="Times New Roman" w:cs="OpenSymbol"/>
      <w:sz w:val="24"/>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ascii="Times New Roman" w:hAnsi="Times New Roman" w:cs="Symbol"/>
      <w:sz w:val="24"/>
    </w:rPr>
  </w:style>
  <w:style w:type="character" w:customStyle="1" w:styleId="ListLabel1565">
    <w:name w:val="ListLabel 1565"/>
    <w:qFormat/>
    <w:rPr>
      <w:rFonts w:cs="Courier New"/>
    </w:rPr>
  </w:style>
  <w:style w:type="character" w:customStyle="1" w:styleId="ListLabel1566">
    <w:name w:val="ListLabel 1566"/>
    <w:qFormat/>
    <w:rPr>
      <w:rFonts w:cs="Wingdings"/>
    </w:rPr>
  </w:style>
  <w:style w:type="character" w:customStyle="1" w:styleId="ListLabel1567">
    <w:name w:val="ListLabel 1567"/>
    <w:qFormat/>
    <w:rPr>
      <w:rFonts w:cs="Symbol"/>
    </w:rPr>
  </w:style>
  <w:style w:type="character" w:customStyle="1" w:styleId="ListLabel1568">
    <w:name w:val="ListLabel 1568"/>
    <w:qFormat/>
    <w:rPr>
      <w:rFonts w:cs="Courier New"/>
    </w:rPr>
  </w:style>
  <w:style w:type="character" w:customStyle="1" w:styleId="ListLabel1569">
    <w:name w:val="ListLabel 1569"/>
    <w:qFormat/>
    <w:rPr>
      <w:rFonts w:cs="Wingdings"/>
    </w:rPr>
  </w:style>
  <w:style w:type="character" w:customStyle="1" w:styleId="ListLabel1570">
    <w:name w:val="ListLabel 1570"/>
    <w:qFormat/>
    <w:rPr>
      <w:rFonts w:cs="Symbol"/>
    </w:rPr>
  </w:style>
  <w:style w:type="character" w:customStyle="1" w:styleId="ListLabel1571">
    <w:name w:val="ListLabel 1571"/>
    <w:qFormat/>
    <w:rPr>
      <w:rFonts w:cs="Courier New"/>
    </w:rPr>
  </w:style>
  <w:style w:type="character" w:customStyle="1" w:styleId="ListLabel1572">
    <w:name w:val="ListLabel 1572"/>
    <w:qFormat/>
    <w:rPr>
      <w:rFonts w:cs="Wingdings"/>
    </w:rPr>
  </w:style>
  <w:style w:type="character" w:customStyle="1" w:styleId="ListLabel1573">
    <w:name w:val="ListLabel 1573"/>
    <w:qFormat/>
    <w:rPr>
      <w:rFonts w:ascii="Times New Roman" w:hAnsi="Times New Roman" w:cs="Symbol"/>
      <w:sz w:val="24"/>
    </w:rPr>
  </w:style>
  <w:style w:type="character" w:customStyle="1" w:styleId="ListLabel1574">
    <w:name w:val="ListLabel 1574"/>
    <w:qFormat/>
    <w:rPr>
      <w:rFonts w:cs="Courier New"/>
    </w:rPr>
  </w:style>
  <w:style w:type="character" w:customStyle="1" w:styleId="ListLabel1575">
    <w:name w:val="ListLabel 1575"/>
    <w:qFormat/>
    <w:rPr>
      <w:rFonts w:cs="Wingdings"/>
    </w:rPr>
  </w:style>
  <w:style w:type="character" w:customStyle="1" w:styleId="ListLabel1576">
    <w:name w:val="ListLabel 1576"/>
    <w:qFormat/>
    <w:rPr>
      <w:rFonts w:cs="Symbol"/>
    </w:rPr>
  </w:style>
  <w:style w:type="character" w:customStyle="1" w:styleId="ListLabel1577">
    <w:name w:val="ListLabel 1577"/>
    <w:qFormat/>
    <w:rPr>
      <w:rFonts w:cs="Courier New"/>
    </w:rPr>
  </w:style>
  <w:style w:type="character" w:customStyle="1" w:styleId="ListLabel1578">
    <w:name w:val="ListLabel 1578"/>
    <w:qFormat/>
    <w:rPr>
      <w:rFonts w:cs="Wingdings"/>
    </w:rPr>
  </w:style>
  <w:style w:type="character" w:customStyle="1" w:styleId="ListLabel1579">
    <w:name w:val="ListLabel 1579"/>
    <w:qFormat/>
    <w:rPr>
      <w:rFonts w:cs="Symbol"/>
    </w:rPr>
  </w:style>
  <w:style w:type="character" w:customStyle="1" w:styleId="ListLabel1580">
    <w:name w:val="ListLabel 1580"/>
    <w:qFormat/>
    <w:rPr>
      <w:rFonts w:cs="Courier New"/>
    </w:rPr>
  </w:style>
  <w:style w:type="character" w:customStyle="1" w:styleId="ListLabel1581">
    <w:name w:val="ListLabel 1581"/>
    <w:qFormat/>
    <w:rPr>
      <w:rFonts w:cs="Wingdings"/>
    </w:rPr>
  </w:style>
  <w:style w:type="character" w:customStyle="1" w:styleId="ListLabel1582">
    <w:name w:val="ListLabel 1582"/>
    <w:qFormat/>
    <w:rPr>
      <w:rFonts w:ascii="Times New Roman" w:hAnsi="Times New Roman" w:cs="Symbol"/>
      <w:sz w:val="24"/>
    </w:rPr>
  </w:style>
  <w:style w:type="character" w:customStyle="1" w:styleId="ListLabel1583">
    <w:name w:val="ListLabel 1583"/>
    <w:qFormat/>
    <w:rPr>
      <w:rFonts w:cs="Courier New"/>
    </w:rPr>
  </w:style>
  <w:style w:type="character" w:customStyle="1" w:styleId="ListLabel1584">
    <w:name w:val="ListLabel 1584"/>
    <w:qFormat/>
    <w:rPr>
      <w:rFonts w:cs="Wingdings"/>
    </w:rPr>
  </w:style>
  <w:style w:type="character" w:customStyle="1" w:styleId="ListLabel1585">
    <w:name w:val="ListLabel 1585"/>
    <w:qFormat/>
    <w:rPr>
      <w:rFonts w:cs="Symbol"/>
    </w:rPr>
  </w:style>
  <w:style w:type="character" w:customStyle="1" w:styleId="ListLabel1586">
    <w:name w:val="ListLabel 1586"/>
    <w:qFormat/>
    <w:rPr>
      <w:rFonts w:cs="Courier New"/>
    </w:rPr>
  </w:style>
  <w:style w:type="character" w:customStyle="1" w:styleId="ListLabel1587">
    <w:name w:val="ListLabel 1587"/>
    <w:qFormat/>
    <w:rPr>
      <w:rFonts w:cs="Wingdings"/>
    </w:rPr>
  </w:style>
  <w:style w:type="character" w:customStyle="1" w:styleId="ListLabel1588">
    <w:name w:val="ListLabel 1588"/>
    <w:qFormat/>
    <w:rPr>
      <w:rFonts w:cs="Symbol"/>
    </w:rPr>
  </w:style>
  <w:style w:type="character" w:customStyle="1" w:styleId="ListLabel1589">
    <w:name w:val="ListLabel 1589"/>
    <w:qFormat/>
    <w:rPr>
      <w:rFonts w:cs="Courier New"/>
    </w:rPr>
  </w:style>
  <w:style w:type="character" w:customStyle="1" w:styleId="ListLabel1590">
    <w:name w:val="ListLabel 1590"/>
    <w:qFormat/>
    <w:rPr>
      <w:rFonts w:cs="Wingdings"/>
    </w:rPr>
  </w:style>
  <w:style w:type="character" w:customStyle="1" w:styleId="ListLabel1591">
    <w:name w:val="ListLabel 1591"/>
    <w:qFormat/>
    <w:rPr>
      <w:rFonts w:ascii="Times New Roman" w:hAnsi="Times New Roman" w:cs="Symbol"/>
      <w:sz w:val="24"/>
    </w:rPr>
  </w:style>
  <w:style w:type="character" w:customStyle="1" w:styleId="ListLabel1592">
    <w:name w:val="ListLabel 1592"/>
    <w:qFormat/>
    <w:rPr>
      <w:rFonts w:cs="Courier New"/>
    </w:rPr>
  </w:style>
  <w:style w:type="character" w:customStyle="1" w:styleId="ListLabel1593">
    <w:name w:val="ListLabel 1593"/>
    <w:qFormat/>
    <w:rPr>
      <w:rFonts w:cs="Wingdings"/>
    </w:rPr>
  </w:style>
  <w:style w:type="character" w:customStyle="1" w:styleId="ListLabel1594">
    <w:name w:val="ListLabel 1594"/>
    <w:qFormat/>
    <w:rPr>
      <w:rFonts w:cs="Symbol"/>
    </w:rPr>
  </w:style>
  <w:style w:type="character" w:customStyle="1" w:styleId="ListLabel1595">
    <w:name w:val="ListLabel 1595"/>
    <w:qFormat/>
    <w:rPr>
      <w:rFonts w:cs="Courier New"/>
    </w:rPr>
  </w:style>
  <w:style w:type="character" w:customStyle="1" w:styleId="ListLabel1596">
    <w:name w:val="ListLabel 1596"/>
    <w:qFormat/>
    <w:rPr>
      <w:rFonts w:cs="Wingdings"/>
    </w:rPr>
  </w:style>
  <w:style w:type="character" w:customStyle="1" w:styleId="ListLabel1597">
    <w:name w:val="ListLabel 1597"/>
    <w:qFormat/>
    <w:rPr>
      <w:rFonts w:cs="Symbol"/>
    </w:rPr>
  </w:style>
  <w:style w:type="character" w:customStyle="1" w:styleId="ListLabel1598">
    <w:name w:val="ListLabel 1598"/>
    <w:qFormat/>
    <w:rPr>
      <w:rFonts w:cs="Courier New"/>
    </w:rPr>
  </w:style>
  <w:style w:type="character" w:customStyle="1" w:styleId="ListLabel1599">
    <w:name w:val="ListLabel 1599"/>
    <w:qFormat/>
    <w:rPr>
      <w:rFonts w:cs="Wingdings"/>
    </w:rPr>
  </w:style>
  <w:style w:type="character" w:customStyle="1" w:styleId="ListLabel1600">
    <w:name w:val="ListLabel 1600"/>
    <w:qFormat/>
    <w:rPr>
      <w:rFonts w:ascii="Times New Roman" w:hAnsi="Times New Roman" w:cs="Symbol"/>
      <w:sz w:val="24"/>
    </w:rPr>
  </w:style>
  <w:style w:type="character" w:customStyle="1" w:styleId="ListLabel1601">
    <w:name w:val="ListLabel 1601"/>
    <w:qFormat/>
    <w:rPr>
      <w:rFonts w:cs="Courier New"/>
    </w:rPr>
  </w:style>
  <w:style w:type="character" w:customStyle="1" w:styleId="ListLabel1602">
    <w:name w:val="ListLabel 1602"/>
    <w:qFormat/>
    <w:rPr>
      <w:rFonts w:cs="Wingdings"/>
    </w:rPr>
  </w:style>
  <w:style w:type="character" w:customStyle="1" w:styleId="ListLabel1603">
    <w:name w:val="ListLabel 1603"/>
    <w:qFormat/>
    <w:rPr>
      <w:rFonts w:cs="Symbol"/>
    </w:rPr>
  </w:style>
  <w:style w:type="character" w:customStyle="1" w:styleId="ListLabel1604">
    <w:name w:val="ListLabel 1604"/>
    <w:qFormat/>
    <w:rPr>
      <w:rFonts w:cs="Courier New"/>
    </w:rPr>
  </w:style>
  <w:style w:type="character" w:customStyle="1" w:styleId="ListLabel1605">
    <w:name w:val="ListLabel 1605"/>
    <w:qFormat/>
    <w:rPr>
      <w:rFonts w:cs="Wingdings"/>
    </w:rPr>
  </w:style>
  <w:style w:type="character" w:customStyle="1" w:styleId="ListLabel1606">
    <w:name w:val="ListLabel 1606"/>
    <w:qFormat/>
    <w:rPr>
      <w:rFonts w:cs="Symbol"/>
    </w:rPr>
  </w:style>
  <w:style w:type="character" w:customStyle="1" w:styleId="ListLabel1607">
    <w:name w:val="ListLabel 1607"/>
    <w:qFormat/>
    <w:rPr>
      <w:rFonts w:cs="Courier New"/>
    </w:rPr>
  </w:style>
  <w:style w:type="character" w:customStyle="1" w:styleId="ListLabel1608">
    <w:name w:val="ListLabel 1608"/>
    <w:qFormat/>
    <w:rPr>
      <w:rFonts w:cs="Wingdings"/>
    </w:rPr>
  </w:style>
  <w:style w:type="character" w:customStyle="1" w:styleId="ListLabel1609">
    <w:name w:val="ListLabel 1609"/>
    <w:qFormat/>
    <w:rPr>
      <w:rFonts w:ascii="Times New Roman" w:hAnsi="Times New Roman" w:cs="Symbol"/>
      <w:sz w:val="24"/>
    </w:rPr>
  </w:style>
  <w:style w:type="character" w:customStyle="1" w:styleId="ListLabel1610">
    <w:name w:val="ListLabel 1610"/>
    <w:qFormat/>
    <w:rPr>
      <w:rFonts w:cs="Courier New"/>
    </w:rPr>
  </w:style>
  <w:style w:type="character" w:customStyle="1" w:styleId="ListLabel1611">
    <w:name w:val="ListLabel 1611"/>
    <w:qFormat/>
    <w:rPr>
      <w:rFonts w:cs="Wingdings"/>
    </w:rPr>
  </w:style>
  <w:style w:type="character" w:customStyle="1" w:styleId="ListLabel1612">
    <w:name w:val="ListLabel 1612"/>
    <w:qFormat/>
    <w:rPr>
      <w:rFonts w:cs="Symbol"/>
    </w:rPr>
  </w:style>
  <w:style w:type="character" w:customStyle="1" w:styleId="ListLabel1613">
    <w:name w:val="ListLabel 1613"/>
    <w:qFormat/>
    <w:rPr>
      <w:rFonts w:cs="Courier New"/>
    </w:rPr>
  </w:style>
  <w:style w:type="character" w:customStyle="1" w:styleId="ListLabel1614">
    <w:name w:val="ListLabel 1614"/>
    <w:qFormat/>
    <w:rPr>
      <w:rFonts w:cs="Wingdings"/>
    </w:rPr>
  </w:style>
  <w:style w:type="character" w:customStyle="1" w:styleId="ListLabel1615">
    <w:name w:val="ListLabel 1615"/>
    <w:qFormat/>
    <w:rPr>
      <w:rFonts w:cs="Symbol"/>
    </w:rPr>
  </w:style>
  <w:style w:type="character" w:customStyle="1" w:styleId="ListLabel1616">
    <w:name w:val="ListLabel 1616"/>
    <w:qFormat/>
    <w:rPr>
      <w:rFonts w:cs="Courier New"/>
    </w:rPr>
  </w:style>
  <w:style w:type="character" w:customStyle="1" w:styleId="ListLabel1617">
    <w:name w:val="ListLabel 1617"/>
    <w:qFormat/>
    <w:rPr>
      <w:rFonts w:cs="Wingdings"/>
    </w:rPr>
  </w:style>
  <w:style w:type="character" w:customStyle="1" w:styleId="ListLabel1618">
    <w:name w:val="ListLabel 1618"/>
    <w:qFormat/>
    <w:rPr>
      <w:rFonts w:ascii="Times New Roman" w:hAnsi="Times New Roman" w:cs="Symbol"/>
      <w:sz w:val="24"/>
    </w:rPr>
  </w:style>
  <w:style w:type="character" w:customStyle="1" w:styleId="ListLabel1619">
    <w:name w:val="ListLabel 1619"/>
    <w:qFormat/>
    <w:rPr>
      <w:rFonts w:cs="Courier New"/>
    </w:rPr>
  </w:style>
  <w:style w:type="character" w:customStyle="1" w:styleId="ListLabel1620">
    <w:name w:val="ListLabel 1620"/>
    <w:qFormat/>
    <w:rPr>
      <w:rFonts w:cs="Wingdings"/>
    </w:rPr>
  </w:style>
  <w:style w:type="character" w:customStyle="1" w:styleId="ListLabel1621">
    <w:name w:val="ListLabel 1621"/>
    <w:qFormat/>
    <w:rPr>
      <w:rFonts w:cs="Symbol"/>
    </w:rPr>
  </w:style>
  <w:style w:type="character" w:customStyle="1" w:styleId="ListLabel1622">
    <w:name w:val="ListLabel 1622"/>
    <w:qFormat/>
    <w:rPr>
      <w:rFonts w:cs="Courier New"/>
    </w:rPr>
  </w:style>
  <w:style w:type="character" w:customStyle="1" w:styleId="ListLabel1623">
    <w:name w:val="ListLabel 1623"/>
    <w:qFormat/>
    <w:rPr>
      <w:rFonts w:cs="Wingdings"/>
    </w:rPr>
  </w:style>
  <w:style w:type="character" w:customStyle="1" w:styleId="ListLabel1624">
    <w:name w:val="ListLabel 1624"/>
    <w:qFormat/>
    <w:rPr>
      <w:rFonts w:cs="Symbol"/>
    </w:rPr>
  </w:style>
  <w:style w:type="character" w:customStyle="1" w:styleId="ListLabel1625">
    <w:name w:val="ListLabel 1625"/>
    <w:qFormat/>
    <w:rPr>
      <w:rFonts w:cs="Courier New"/>
    </w:rPr>
  </w:style>
  <w:style w:type="character" w:customStyle="1" w:styleId="ListLabel1626">
    <w:name w:val="ListLabel 1626"/>
    <w:qFormat/>
    <w:rPr>
      <w:rFonts w:cs="Wingdings"/>
    </w:rPr>
  </w:style>
  <w:style w:type="character" w:customStyle="1" w:styleId="ListLabel1627">
    <w:name w:val="ListLabel 1627"/>
    <w:qFormat/>
    <w:rPr>
      <w:rFonts w:ascii="Times New Roman" w:hAnsi="Times New Roman" w:cs="Symbol"/>
      <w:sz w:val="24"/>
    </w:rPr>
  </w:style>
  <w:style w:type="character" w:customStyle="1" w:styleId="ListLabel1628">
    <w:name w:val="ListLabel 1628"/>
    <w:qFormat/>
    <w:rPr>
      <w:rFonts w:cs="Courier New"/>
    </w:rPr>
  </w:style>
  <w:style w:type="character" w:customStyle="1" w:styleId="ListLabel1629">
    <w:name w:val="ListLabel 1629"/>
    <w:qFormat/>
    <w:rPr>
      <w:rFonts w:cs="Wingdings"/>
    </w:rPr>
  </w:style>
  <w:style w:type="character" w:customStyle="1" w:styleId="ListLabel1630">
    <w:name w:val="ListLabel 1630"/>
    <w:qFormat/>
    <w:rPr>
      <w:rFonts w:cs="Symbol"/>
    </w:rPr>
  </w:style>
  <w:style w:type="character" w:customStyle="1" w:styleId="ListLabel1631">
    <w:name w:val="ListLabel 1631"/>
    <w:qFormat/>
    <w:rPr>
      <w:rFonts w:cs="Courier New"/>
    </w:rPr>
  </w:style>
  <w:style w:type="character" w:customStyle="1" w:styleId="ListLabel1632">
    <w:name w:val="ListLabel 1632"/>
    <w:qFormat/>
    <w:rPr>
      <w:rFonts w:cs="Wingdings"/>
    </w:rPr>
  </w:style>
  <w:style w:type="character" w:customStyle="1" w:styleId="ListLabel1633">
    <w:name w:val="ListLabel 1633"/>
    <w:qFormat/>
    <w:rPr>
      <w:rFonts w:cs="Symbol"/>
    </w:rPr>
  </w:style>
  <w:style w:type="character" w:customStyle="1" w:styleId="ListLabel1634">
    <w:name w:val="ListLabel 1634"/>
    <w:qFormat/>
    <w:rPr>
      <w:rFonts w:cs="Courier New"/>
    </w:rPr>
  </w:style>
  <w:style w:type="character" w:customStyle="1" w:styleId="ListLabel1635">
    <w:name w:val="ListLabel 1635"/>
    <w:qFormat/>
    <w:rPr>
      <w:rFonts w:cs="Wingdings"/>
    </w:rPr>
  </w:style>
  <w:style w:type="character" w:customStyle="1" w:styleId="ListLabel1636">
    <w:name w:val="ListLabel 1636"/>
    <w:qFormat/>
    <w:rPr>
      <w:rFonts w:ascii="Times New Roman" w:hAnsi="Times New Roman" w:cs="Symbol"/>
      <w:sz w:val="24"/>
    </w:rPr>
  </w:style>
  <w:style w:type="character" w:customStyle="1" w:styleId="ListLabel1637">
    <w:name w:val="ListLabel 1637"/>
    <w:qFormat/>
    <w:rPr>
      <w:rFonts w:cs="Courier New"/>
    </w:rPr>
  </w:style>
  <w:style w:type="character" w:customStyle="1" w:styleId="ListLabel1638">
    <w:name w:val="ListLabel 1638"/>
    <w:qFormat/>
    <w:rPr>
      <w:rFonts w:cs="Wingdings"/>
    </w:rPr>
  </w:style>
  <w:style w:type="character" w:customStyle="1" w:styleId="ListLabel1639">
    <w:name w:val="ListLabel 1639"/>
    <w:qFormat/>
    <w:rPr>
      <w:rFonts w:cs="Symbol"/>
    </w:rPr>
  </w:style>
  <w:style w:type="character" w:customStyle="1" w:styleId="ListLabel1640">
    <w:name w:val="ListLabel 1640"/>
    <w:qFormat/>
    <w:rPr>
      <w:rFonts w:cs="Courier New"/>
    </w:rPr>
  </w:style>
  <w:style w:type="character" w:customStyle="1" w:styleId="ListLabel1641">
    <w:name w:val="ListLabel 1641"/>
    <w:qFormat/>
    <w:rPr>
      <w:rFonts w:cs="Wingdings"/>
    </w:rPr>
  </w:style>
  <w:style w:type="character" w:customStyle="1" w:styleId="ListLabel1642">
    <w:name w:val="ListLabel 1642"/>
    <w:qFormat/>
    <w:rPr>
      <w:rFonts w:cs="Symbol"/>
    </w:rPr>
  </w:style>
  <w:style w:type="character" w:customStyle="1" w:styleId="ListLabel1643">
    <w:name w:val="ListLabel 1643"/>
    <w:qFormat/>
    <w:rPr>
      <w:rFonts w:cs="Courier New"/>
    </w:rPr>
  </w:style>
  <w:style w:type="character" w:customStyle="1" w:styleId="ListLabel1644">
    <w:name w:val="ListLabel 1644"/>
    <w:qFormat/>
    <w:rPr>
      <w:rFonts w:cs="Wingdings"/>
    </w:rPr>
  </w:style>
  <w:style w:type="character" w:customStyle="1" w:styleId="ListLabel1645">
    <w:name w:val="ListLabel 1645"/>
    <w:qFormat/>
    <w:rPr>
      <w:rFonts w:ascii="Times New Roman" w:hAnsi="Times New Roman" w:cs="Symbol"/>
      <w:sz w:val="24"/>
    </w:rPr>
  </w:style>
  <w:style w:type="character" w:customStyle="1" w:styleId="ListLabel1646">
    <w:name w:val="ListLabel 1646"/>
    <w:qFormat/>
    <w:rPr>
      <w:rFonts w:cs="Courier New"/>
    </w:rPr>
  </w:style>
  <w:style w:type="character" w:customStyle="1" w:styleId="ListLabel1647">
    <w:name w:val="ListLabel 1647"/>
    <w:qFormat/>
    <w:rPr>
      <w:rFonts w:cs="Wingdings"/>
    </w:rPr>
  </w:style>
  <w:style w:type="character" w:customStyle="1" w:styleId="ListLabel1648">
    <w:name w:val="ListLabel 1648"/>
    <w:qFormat/>
    <w:rPr>
      <w:rFonts w:cs="Symbol"/>
    </w:rPr>
  </w:style>
  <w:style w:type="character" w:customStyle="1" w:styleId="ListLabel1649">
    <w:name w:val="ListLabel 1649"/>
    <w:qFormat/>
    <w:rPr>
      <w:rFonts w:cs="Courier New"/>
    </w:rPr>
  </w:style>
  <w:style w:type="character" w:customStyle="1" w:styleId="ListLabel1650">
    <w:name w:val="ListLabel 1650"/>
    <w:qFormat/>
    <w:rPr>
      <w:rFonts w:cs="Wingdings"/>
    </w:rPr>
  </w:style>
  <w:style w:type="character" w:customStyle="1" w:styleId="ListLabel1651">
    <w:name w:val="ListLabel 1651"/>
    <w:qFormat/>
    <w:rPr>
      <w:rFonts w:cs="Symbol"/>
    </w:rPr>
  </w:style>
  <w:style w:type="character" w:customStyle="1" w:styleId="ListLabel1652">
    <w:name w:val="ListLabel 1652"/>
    <w:qFormat/>
    <w:rPr>
      <w:rFonts w:cs="Courier New"/>
    </w:rPr>
  </w:style>
  <w:style w:type="character" w:customStyle="1" w:styleId="ListLabel1653">
    <w:name w:val="ListLabel 1653"/>
    <w:qFormat/>
    <w:rPr>
      <w:rFonts w:cs="Wingdings"/>
    </w:rPr>
  </w:style>
  <w:style w:type="character" w:customStyle="1" w:styleId="ListLabel1654">
    <w:name w:val="ListLabel 1654"/>
    <w:qFormat/>
    <w:rPr>
      <w:rFonts w:ascii="Times New Roman" w:hAnsi="Times New Roman" w:cs="Symbol"/>
      <w:sz w:val="24"/>
    </w:rPr>
  </w:style>
  <w:style w:type="character" w:customStyle="1" w:styleId="ListLabel1655">
    <w:name w:val="ListLabel 1655"/>
    <w:qFormat/>
    <w:rPr>
      <w:rFonts w:cs="Courier New"/>
    </w:rPr>
  </w:style>
  <w:style w:type="character" w:customStyle="1" w:styleId="ListLabel1656">
    <w:name w:val="ListLabel 1656"/>
    <w:qFormat/>
    <w:rPr>
      <w:rFonts w:cs="Wingdings"/>
    </w:rPr>
  </w:style>
  <w:style w:type="character" w:customStyle="1" w:styleId="ListLabel1657">
    <w:name w:val="ListLabel 1657"/>
    <w:qFormat/>
    <w:rPr>
      <w:rFonts w:cs="Symbol"/>
    </w:rPr>
  </w:style>
  <w:style w:type="character" w:customStyle="1" w:styleId="ListLabel1658">
    <w:name w:val="ListLabel 1658"/>
    <w:qFormat/>
    <w:rPr>
      <w:rFonts w:cs="Courier New"/>
    </w:rPr>
  </w:style>
  <w:style w:type="character" w:customStyle="1" w:styleId="ListLabel1659">
    <w:name w:val="ListLabel 1659"/>
    <w:qFormat/>
    <w:rPr>
      <w:rFonts w:cs="Wingdings"/>
    </w:rPr>
  </w:style>
  <w:style w:type="character" w:customStyle="1" w:styleId="ListLabel1660">
    <w:name w:val="ListLabel 1660"/>
    <w:qFormat/>
    <w:rPr>
      <w:rFonts w:cs="Symbol"/>
    </w:rPr>
  </w:style>
  <w:style w:type="character" w:customStyle="1" w:styleId="ListLabel1661">
    <w:name w:val="ListLabel 1661"/>
    <w:qFormat/>
    <w:rPr>
      <w:rFonts w:cs="Courier New"/>
    </w:rPr>
  </w:style>
  <w:style w:type="character" w:customStyle="1" w:styleId="ListLabel1662">
    <w:name w:val="ListLabel 1662"/>
    <w:qFormat/>
    <w:rPr>
      <w:rFonts w:cs="Wingdings"/>
    </w:rPr>
  </w:style>
  <w:style w:type="character" w:customStyle="1" w:styleId="ListLabel1663">
    <w:name w:val="ListLabel 1663"/>
    <w:qFormat/>
    <w:rPr>
      <w:rFonts w:ascii="Times New Roman" w:hAnsi="Times New Roman" w:cs="Symbol"/>
      <w:sz w:val="24"/>
    </w:rPr>
  </w:style>
  <w:style w:type="character" w:customStyle="1" w:styleId="ListLabel1664">
    <w:name w:val="ListLabel 1664"/>
    <w:qFormat/>
    <w:rPr>
      <w:rFonts w:cs="Courier New"/>
    </w:rPr>
  </w:style>
  <w:style w:type="character" w:customStyle="1" w:styleId="ListLabel1665">
    <w:name w:val="ListLabel 1665"/>
    <w:qFormat/>
    <w:rPr>
      <w:rFonts w:cs="Wingdings"/>
    </w:rPr>
  </w:style>
  <w:style w:type="character" w:customStyle="1" w:styleId="ListLabel1666">
    <w:name w:val="ListLabel 1666"/>
    <w:qFormat/>
    <w:rPr>
      <w:rFonts w:cs="Symbol"/>
    </w:rPr>
  </w:style>
  <w:style w:type="character" w:customStyle="1" w:styleId="ListLabel1667">
    <w:name w:val="ListLabel 1667"/>
    <w:qFormat/>
    <w:rPr>
      <w:rFonts w:cs="Courier New"/>
    </w:rPr>
  </w:style>
  <w:style w:type="character" w:customStyle="1" w:styleId="ListLabel1668">
    <w:name w:val="ListLabel 1668"/>
    <w:qFormat/>
    <w:rPr>
      <w:rFonts w:cs="Wingdings"/>
    </w:rPr>
  </w:style>
  <w:style w:type="character" w:customStyle="1" w:styleId="ListLabel1669">
    <w:name w:val="ListLabel 1669"/>
    <w:qFormat/>
    <w:rPr>
      <w:rFonts w:cs="Symbol"/>
    </w:rPr>
  </w:style>
  <w:style w:type="character" w:customStyle="1" w:styleId="ListLabel1670">
    <w:name w:val="ListLabel 1670"/>
    <w:qFormat/>
    <w:rPr>
      <w:rFonts w:cs="Courier New"/>
    </w:rPr>
  </w:style>
  <w:style w:type="character" w:customStyle="1" w:styleId="ListLabel1671">
    <w:name w:val="ListLabel 1671"/>
    <w:qFormat/>
    <w:rPr>
      <w:rFonts w:cs="Wingdings"/>
    </w:rPr>
  </w:style>
  <w:style w:type="character" w:customStyle="1" w:styleId="ListLabel1672">
    <w:name w:val="ListLabel 1672"/>
    <w:qFormat/>
    <w:rPr>
      <w:rFonts w:ascii="Times New Roman" w:hAnsi="Times New Roman" w:cs="Symbol"/>
      <w:sz w:val="24"/>
    </w:rPr>
  </w:style>
  <w:style w:type="character" w:customStyle="1" w:styleId="ListLabel1673">
    <w:name w:val="ListLabel 1673"/>
    <w:qFormat/>
    <w:rPr>
      <w:rFonts w:cs="Courier New"/>
    </w:rPr>
  </w:style>
  <w:style w:type="character" w:customStyle="1" w:styleId="ListLabel1674">
    <w:name w:val="ListLabel 1674"/>
    <w:qFormat/>
    <w:rPr>
      <w:rFonts w:cs="Wingdings"/>
    </w:rPr>
  </w:style>
  <w:style w:type="character" w:customStyle="1" w:styleId="ListLabel1675">
    <w:name w:val="ListLabel 1675"/>
    <w:qFormat/>
    <w:rPr>
      <w:rFonts w:cs="Symbol"/>
    </w:rPr>
  </w:style>
  <w:style w:type="character" w:customStyle="1" w:styleId="ListLabel1676">
    <w:name w:val="ListLabel 1676"/>
    <w:qFormat/>
    <w:rPr>
      <w:rFonts w:cs="Courier New"/>
    </w:rPr>
  </w:style>
  <w:style w:type="character" w:customStyle="1" w:styleId="ListLabel1677">
    <w:name w:val="ListLabel 1677"/>
    <w:qFormat/>
    <w:rPr>
      <w:rFonts w:cs="Wingdings"/>
    </w:rPr>
  </w:style>
  <w:style w:type="character" w:customStyle="1" w:styleId="ListLabel1678">
    <w:name w:val="ListLabel 1678"/>
    <w:qFormat/>
    <w:rPr>
      <w:rFonts w:cs="Symbol"/>
    </w:rPr>
  </w:style>
  <w:style w:type="character" w:customStyle="1" w:styleId="ListLabel1679">
    <w:name w:val="ListLabel 1679"/>
    <w:qFormat/>
    <w:rPr>
      <w:rFonts w:cs="Courier New"/>
    </w:rPr>
  </w:style>
  <w:style w:type="character" w:customStyle="1" w:styleId="ListLabel1680">
    <w:name w:val="ListLabel 1680"/>
    <w:qFormat/>
    <w:rPr>
      <w:rFonts w:cs="Wingdings"/>
    </w:rPr>
  </w:style>
  <w:style w:type="character" w:customStyle="1" w:styleId="ListLabel1681">
    <w:name w:val="ListLabel 1681"/>
    <w:qFormat/>
    <w:rPr>
      <w:rFonts w:ascii="Times New Roman" w:hAnsi="Times New Roman" w:cs="OpenSymbol"/>
      <w:sz w:val="24"/>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ascii="Times New Roman" w:hAnsi="Times New Roman" w:cs="OpenSymbol"/>
      <w:sz w:val="24"/>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OpenSymbol"/>
    </w:rPr>
  </w:style>
  <w:style w:type="character" w:customStyle="1" w:styleId="ListLabel1699">
    <w:name w:val="ListLabel 1699"/>
    <w:qFormat/>
    <w:rPr>
      <w:rFonts w:ascii="Times New Roman" w:hAnsi="Times New Roman" w:cs="OpenSymbol"/>
      <w:sz w:val="24"/>
    </w:rPr>
  </w:style>
  <w:style w:type="character" w:customStyle="1" w:styleId="ListLabel1700">
    <w:name w:val="ListLabel 1700"/>
    <w:qFormat/>
    <w:rPr>
      <w:rFonts w:cs="OpenSymbol"/>
    </w:rPr>
  </w:style>
  <w:style w:type="character" w:customStyle="1" w:styleId="ListLabel1701">
    <w:name w:val="ListLabel 1701"/>
    <w:qFormat/>
    <w:rPr>
      <w:rFonts w:cs="OpenSymbol"/>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ascii="Times New Roman" w:hAnsi="Times New Roman" w:cs="OpenSymbol"/>
      <w:sz w:val="24"/>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cs="OpenSymbol"/>
    </w:rPr>
  </w:style>
  <w:style w:type="character" w:customStyle="1" w:styleId="ListLabel1717">
    <w:name w:val="ListLabel 1717"/>
    <w:qFormat/>
    <w:rPr>
      <w:rFonts w:ascii="Times New Roman" w:hAnsi="Times New Roman" w:cs="OpenSymbol"/>
      <w:sz w:val="24"/>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cs="OpenSymbol"/>
    </w:rPr>
  </w:style>
  <w:style w:type="character" w:customStyle="1" w:styleId="ListLabel1721">
    <w:name w:val="ListLabel 1721"/>
    <w:qFormat/>
    <w:rPr>
      <w:rFonts w:cs="OpenSymbol"/>
    </w:rPr>
  </w:style>
  <w:style w:type="character" w:customStyle="1" w:styleId="ListLabel1722">
    <w:name w:val="ListLabel 1722"/>
    <w:qFormat/>
    <w:rPr>
      <w:rFonts w:cs="OpenSymbol"/>
    </w:rPr>
  </w:style>
  <w:style w:type="character" w:customStyle="1" w:styleId="ListLabel1723">
    <w:name w:val="ListLabel 1723"/>
    <w:qFormat/>
    <w:rPr>
      <w:rFonts w:cs="OpenSymbol"/>
    </w:rPr>
  </w:style>
  <w:style w:type="character" w:customStyle="1" w:styleId="ListLabel1724">
    <w:name w:val="ListLabel 1724"/>
    <w:qFormat/>
    <w:rPr>
      <w:rFonts w:cs="OpenSymbol"/>
    </w:rPr>
  </w:style>
  <w:style w:type="character" w:customStyle="1" w:styleId="ListLabel1725">
    <w:name w:val="ListLabel 1725"/>
    <w:qFormat/>
    <w:rPr>
      <w:rFonts w:cs="OpenSymbol"/>
    </w:rPr>
  </w:style>
  <w:style w:type="character" w:customStyle="1" w:styleId="ListLabel1726">
    <w:name w:val="ListLabel 1726"/>
    <w:qFormat/>
    <w:rPr>
      <w:rFonts w:ascii="Times New Roman" w:hAnsi="Times New Roman" w:cs="OpenSymbol"/>
      <w:sz w:val="24"/>
    </w:rPr>
  </w:style>
  <w:style w:type="character" w:customStyle="1" w:styleId="ListLabel1727">
    <w:name w:val="ListLabel 1727"/>
    <w:qFormat/>
    <w:rPr>
      <w:rFonts w:cs="OpenSymbol"/>
    </w:rPr>
  </w:style>
  <w:style w:type="character" w:customStyle="1" w:styleId="ListLabel1728">
    <w:name w:val="ListLabel 1728"/>
    <w:qFormat/>
    <w:rPr>
      <w:rFonts w:cs="OpenSymbol"/>
    </w:rPr>
  </w:style>
  <w:style w:type="character" w:customStyle="1" w:styleId="ListLabel1729">
    <w:name w:val="ListLabel 1729"/>
    <w:qFormat/>
    <w:rPr>
      <w:rFonts w:cs="OpenSymbol"/>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character" w:customStyle="1" w:styleId="ListLabel1734">
    <w:name w:val="ListLabel 1734"/>
    <w:qFormat/>
    <w:rPr>
      <w:rFonts w:cs="OpenSymbol"/>
    </w:rPr>
  </w:style>
  <w:style w:type="paragraph" w:styleId="Ttulo">
    <w:name w:val="Title"/>
    <w:basedOn w:val="Normal"/>
    <w:next w:val="Textoindependiente"/>
    <w:qFormat/>
    <w:pPr>
      <w:keepNext/>
      <w:spacing w:before="240" w:after="120"/>
    </w:pPr>
    <w:rPr>
      <w:rFonts w:ascii="Liberation Sans" w:eastAsia="WenQuanYi Micro Hei"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Ttulo10">
    <w:name w:val="Título1"/>
    <w:basedOn w:val="Normal"/>
    <w:next w:val="Textoindependiente"/>
    <w:qFormat/>
    <w:rsid w:val="00306A49"/>
    <w:pPr>
      <w:keepNext/>
      <w:spacing w:before="240" w:after="120"/>
    </w:pPr>
    <w:rPr>
      <w:rFonts w:ascii="Times New Roman" w:eastAsia="WenQuanYi Micro Hei" w:hAnsi="Times New Roman" w:cs="Lohit Devanagari"/>
      <w:b/>
      <w:sz w:val="24"/>
      <w:szCs w:val="28"/>
    </w:rPr>
  </w:style>
  <w:style w:type="paragraph" w:styleId="Prrafodelista">
    <w:name w:val="List Paragraph"/>
    <w:basedOn w:val="Normal"/>
    <w:uiPriority w:val="34"/>
    <w:qFormat/>
    <w:pPr>
      <w:ind w:left="720"/>
      <w:contextualSpacing/>
    </w:pPr>
  </w:style>
  <w:style w:type="paragraph" w:styleId="TDC3">
    <w:name w:val="toc 3"/>
    <w:basedOn w:val="Normal"/>
    <w:next w:val="Normal"/>
    <w:uiPriority w:val="39"/>
    <w:pPr>
      <w:spacing w:before="159" w:after="0" w:line="360" w:lineRule="auto"/>
      <w:ind w:left="-108"/>
      <w:jc w:val="both"/>
    </w:pPr>
    <w:rPr>
      <w:sz w:val="20"/>
      <w:szCs w:val="20"/>
    </w:rPr>
  </w:style>
  <w:style w:type="paragraph" w:customStyle="1" w:styleId="Default">
    <w:name w:val="Default"/>
    <w:qFormat/>
    <w:rPr>
      <w:rFonts w:ascii="RotisSemiSans Light" w:eastAsia="PMingLiU" w:hAnsi="RotisSemiSans Light" w:cs="RotisSemiSans Light"/>
      <w:color w:val="000000"/>
      <w:kern w:val="0"/>
      <w:sz w:val="24"/>
      <w:szCs w:val="24"/>
      <w:lang w:eastAsia="es-NI"/>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732961"/>
    <w:rPr>
      <w:b/>
      <w:bCs/>
    </w:rPr>
  </w:style>
  <w:style w:type="paragraph" w:styleId="Encabezado">
    <w:name w:val="header"/>
    <w:basedOn w:val="Normal"/>
    <w:link w:val="EncabezadoCar"/>
    <w:uiPriority w:val="99"/>
    <w:unhideWhenUsed/>
    <w:rsid w:val="00D174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7403"/>
    <w:rPr>
      <w:sz w:val="22"/>
    </w:rPr>
  </w:style>
  <w:style w:type="paragraph" w:styleId="Piedepgina">
    <w:name w:val="footer"/>
    <w:basedOn w:val="Normal"/>
    <w:link w:val="PiedepginaCar"/>
    <w:uiPriority w:val="99"/>
    <w:unhideWhenUsed/>
    <w:rsid w:val="00D174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7403"/>
    <w:rPr>
      <w:sz w:val="22"/>
    </w:rPr>
  </w:style>
  <w:style w:type="paragraph" w:styleId="TtuloTDC">
    <w:name w:val="TOC Heading"/>
    <w:basedOn w:val="Ttulo1"/>
    <w:next w:val="Normal"/>
    <w:uiPriority w:val="39"/>
    <w:unhideWhenUsed/>
    <w:qFormat/>
    <w:rsid w:val="00DD1A23"/>
    <w:pPr>
      <w:outlineLvl w:val="9"/>
    </w:pPr>
    <w:rPr>
      <w:rFonts w:asciiTheme="majorHAnsi" w:eastAsiaTheme="majorEastAsia" w:hAnsiTheme="majorHAnsi" w:cstheme="majorBidi"/>
      <w:color w:val="2F5496" w:themeColor="accent1" w:themeShade="BF"/>
      <w:kern w:val="0"/>
      <w:lang w:val="en-US"/>
    </w:rPr>
  </w:style>
  <w:style w:type="paragraph" w:styleId="TDC2">
    <w:name w:val="toc 2"/>
    <w:basedOn w:val="Normal"/>
    <w:next w:val="Normal"/>
    <w:autoRedefine/>
    <w:uiPriority w:val="39"/>
    <w:unhideWhenUsed/>
    <w:rsid w:val="00DD1A23"/>
    <w:pPr>
      <w:spacing w:after="100"/>
      <w:ind w:left="220"/>
    </w:pPr>
  </w:style>
  <w:style w:type="paragraph" w:styleId="TDC1">
    <w:name w:val="toc 1"/>
    <w:basedOn w:val="Normal"/>
    <w:next w:val="Normal"/>
    <w:autoRedefine/>
    <w:uiPriority w:val="39"/>
    <w:unhideWhenUsed/>
    <w:rsid w:val="00DD1A23"/>
    <w:pPr>
      <w:spacing w:after="100"/>
    </w:pPr>
  </w:style>
  <w:style w:type="character" w:styleId="Hipervnculo">
    <w:name w:val="Hyperlink"/>
    <w:basedOn w:val="Fuentedeprrafopredeter"/>
    <w:uiPriority w:val="99"/>
    <w:unhideWhenUsed/>
    <w:rsid w:val="00DD1A23"/>
    <w:rPr>
      <w:color w:val="0563C1" w:themeColor="hyperlink"/>
      <w:u w:val="single"/>
    </w:rPr>
  </w:style>
  <w:style w:type="paragraph" w:styleId="Textodeglobo">
    <w:name w:val="Balloon Text"/>
    <w:basedOn w:val="Normal"/>
    <w:link w:val="TextodegloboCar"/>
    <w:uiPriority w:val="99"/>
    <w:semiHidden/>
    <w:unhideWhenUsed/>
    <w:rsid w:val="00B933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33C5"/>
    <w:rPr>
      <w:rFonts w:ascii="Segoe UI" w:hAnsi="Segoe UI" w:cs="Segoe UI"/>
      <w:sz w:val="18"/>
      <w:szCs w:val="18"/>
    </w:rPr>
  </w:style>
  <w:style w:type="character" w:customStyle="1" w:styleId="Enlacedelndice">
    <w:name w:val="Enlace del índice"/>
    <w:qFormat/>
    <w:rsid w:val="00F21220"/>
  </w:style>
  <w:style w:type="table" w:styleId="Tablaconcuadrcula">
    <w:name w:val="Table Grid"/>
    <w:basedOn w:val="Tablanormal"/>
    <w:uiPriority w:val="39"/>
    <w:rsid w:val="00F21220"/>
    <w:rPr>
      <w:rFonts w:asciiTheme="minorHAnsi" w:eastAsiaTheme="minorHAnsi" w:hAnsiTheme="minorHAnsi" w:cstheme="minorBidi"/>
      <w:szCs w:val="24"/>
      <w:lang w:val="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7113">
      <w:bodyDiv w:val="1"/>
      <w:marLeft w:val="0"/>
      <w:marRight w:val="0"/>
      <w:marTop w:val="0"/>
      <w:marBottom w:val="0"/>
      <w:divBdr>
        <w:top w:val="none" w:sz="0" w:space="0" w:color="auto"/>
        <w:left w:val="none" w:sz="0" w:space="0" w:color="auto"/>
        <w:bottom w:val="none" w:sz="0" w:space="0" w:color="auto"/>
        <w:right w:val="none" w:sz="0" w:space="0" w:color="auto"/>
      </w:divBdr>
    </w:div>
    <w:div w:id="26371310">
      <w:bodyDiv w:val="1"/>
      <w:marLeft w:val="0"/>
      <w:marRight w:val="0"/>
      <w:marTop w:val="0"/>
      <w:marBottom w:val="0"/>
      <w:divBdr>
        <w:top w:val="none" w:sz="0" w:space="0" w:color="auto"/>
        <w:left w:val="none" w:sz="0" w:space="0" w:color="auto"/>
        <w:bottom w:val="none" w:sz="0" w:space="0" w:color="auto"/>
        <w:right w:val="none" w:sz="0" w:space="0" w:color="auto"/>
      </w:divBdr>
    </w:div>
    <w:div w:id="39986354">
      <w:bodyDiv w:val="1"/>
      <w:marLeft w:val="0"/>
      <w:marRight w:val="0"/>
      <w:marTop w:val="0"/>
      <w:marBottom w:val="0"/>
      <w:divBdr>
        <w:top w:val="none" w:sz="0" w:space="0" w:color="auto"/>
        <w:left w:val="none" w:sz="0" w:space="0" w:color="auto"/>
        <w:bottom w:val="none" w:sz="0" w:space="0" w:color="auto"/>
        <w:right w:val="none" w:sz="0" w:space="0" w:color="auto"/>
      </w:divBdr>
    </w:div>
    <w:div w:id="76294926">
      <w:bodyDiv w:val="1"/>
      <w:marLeft w:val="0"/>
      <w:marRight w:val="0"/>
      <w:marTop w:val="0"/>
      <w:marBottom w:val="0"/>
      <w:divBdr>
        <w:top w:val="none" w:sz="0" w:space="0" w:color="auto"/>
        <w:left w:val="none" w:sz="0" w:space="0" w:color="auto"/>
        <w:bottom w:val="none" w:sz="0" w:space="0" w:color="auto"/>
        <w:right w:val="none" w:sz="0" w:space="0" w:color="auto"/>
      </w:divBdr>
    </w:div>
    <w:div w:id="79762687">
      <w:bodyDiv w:val="1"/>
      <w:marLeft w:val="0"/>
      <w:marRight w:val="0"/>
      <w:marTop w:val="0"/>
      <w:marBottom w:val="0"/>
      <w:divBdr>
        <w:top w:val="none" w:sz="0" w:space="0" w:color="auto"/>
        <w:left w:val="none" w:sz="0" w:space="0" w:color="auto"/>
        <w:bottom w:val="none" w:sz="0" w:space="0" w:color="auto"/>
        <w:right w:val="none" w:sz="0" w:space="0" w:color="auto"/>
      </w:divBdr>
    </w:div>
    <w:div w:id="84693373">
      <w:bodyDiv w:val="1"/>
      <w:marLeft w:val="0"/>
      <w:marRight w:val="0"/>
      <w:marTop w:val="0"/>
      <w:marBottom w:val="0"/>
      <w:divBdr>
        <w:top w:val="none" w:sz="0" w:space="0" w:color="auto"/>
        <w:left w:val="none" w:sz="0" w:space="0" w:color="auto"/>
        <w:bottom w:val="none" w:sz="0" w:space="0" w:color="auto"/>
        <w:right w:val="none" w:sz="0" w:space="0" w:color="auto"/>
      </w:divBdr>
    </w:div>
    <w:div w:id="105320746">
      <w:bodyDiv w:val="1"/>
      <w:marLeft w:val="0"/>
      <w:marRight w:val="0"/>
      <w:marTop w:val="0"/>
      <w:marBottom w:val="0"/>
      <w:divBdr>
        <w:top w:val="none" w:sz="0" w:space="0" w:color="auto"/>
        <w:left w:val="none" w:sz="0" w:space="0" w:color="auto"/>
        <w:bottom w:val="none" w:sz="0" w:space="0" w:color="auto"/>
        <w:right w:val="none" w:sz="0" w:space="0" w:color="auto"/>
      </w:divBdr>
    </w:div>
    <w:div w:id="112946965">
      <w:bodyDiv w:val="1"/>
      <w:marLeft w:val="0"/>
      <w:marRight w:val="0"/>
      <w:marTop w:val="0"/>
      <w:marBottom w:val="0"/>
      <w:divBdr>
        <w:top w:val="none" w:sz="0" w:space="0" w:color="auto"/>
        <w:left w:val="none" w:sz="0" w:space="0" w:color="auto"/>
        <w:bottom w:val="none" w:sz="0" w:space="0" w:color="auto"/>
        <w:right w:val="none" w:sz="0" w:space="0" w:color="auto"/>
      </w:divBdr>
    </w:div>
    <w:div w:id="163983415">
      <w:bodyDiv w:val="1"/>
      <w:marLeft w:val="0"/>
      <w:marRight w:val="0"/>
      <w:marTop w:val="0"/>
      <w:marBottom w:val="0"/>
      <w:divBdr>
        <w:top w:val="none" w:sz="0" w:space="0" w:color="auto"/>
        <w:left w:val="none" w:sz="0" w:space="0" w:color="auto"/>
        <w:bottom w:val="none" w:sz="0" w:space="0" w:color="auto"/>
        <w:right w:val="none" w:sz="0" w:space="0" w:color="auto"/>
      </w:divBdr>
    </w:div>
    <w:div w:id="166675671">
      <w:bodyDiv w:val="1"/>
      <w:marLeft w:val="0"/>
      <w:marRight w:val="0"/>
      <w:marTop w:val="0"/>
      <w:marBottom w:val="0"/>
      <w:divBdr>
        <w:top w:val="none" w:sz="0" w:space="0" w:color="auto"/>
        <w:left w:val="none" w:sz="0" w:space="0" w:color="auto"/>
        <w:bottom w:val="none" w:sz="0" w:space="0" w:color="auto"/>
        <w:right w:val="none" w:sz="0" w:space="0" w:color="auto"/>
      </w:divBdr>
    </w:div>
    <w:div w:id="170263938">
      <w:bodyDiv w:val="1"/>
      <w:marLeft w:val="0"/>
      <w:marRight w:val="0"/>
      <w:marTop w:val="0"/>
      <w:marBottom w:val="0"/>
      <w:divBdr>
        <w:top w:val="none" w:sz="0" w:space="0" w:color="auto"/>
        <w:left w:val="none" w:sz="0" w:space="0" w:color="auto"/>
        <w:bottom w:val="none" w:sz="0" w:space="0" w:color="auto"/>
        <w:right w:val="none" w:sz="0" w:space="0" w:color="auto"/>
      </w:divBdr>
    </w:div>
    <w:div w:id="177627115">
      <w:bodyDiv w:val="1"/>
      <w:marLeft w:val="0"/>
      <w:marRight w:val="0"/>
      <w:marTop w:val="0"/>
      <w:marBottom w:val="0"/>
      <w:divBdr>
        <w:top w:val="none" w:sz="0" w:space="0" w:color="auto"/>
        <w:left w:val="none" w:sz="0" w:space="0" w:color="auto"/>
        <w:bottom w:val="none" w:sz="0" w:space="0" w:color="auto"/>
        <w:right w:val="none" w:sz="0" w:space="0" w:color="auto"/>
      </w:divBdr>
    </w:div>
    <w:div w:id="180357262">
      <w:bodyDiv w:val="1"/>
      <w:marLeft w:val="0"/>
      <w:marRight w:val="0"/>
      <w:marTop w:val="0"/>
      <w:marBottom w:val="0"/>
      <w:divBdr>
        <w:top w:val="none" w:sz="0" w:space="0" w:color="auto"/>
        <w:left w:val="none" w:sz="0" w:space="0" w:color="auto"/>
        <w:bottom w:val="none" w:sz="0" w:space="0" w:color="auto"/>
        <w:right w:val="none" w:sz="0" w:space="0" w:color="auto"/>
      </w:divBdr>
    </w:div>
    <w:div w:id="199361741">
      <w:bodyDiv w:val="1"/>
      <w:marLeft w:val="0"/>
      <w:marRight w:val="0"/>
      <w:marTop w:val="0"/>
      <w:marBottom w:val="0"/>
      <w:divBdr>
        <w:top w:val="none" w:sz="0" w:space="0" w:color="auto"/>
        <w:left w:val="none" w:sz="0" w:space="0" w:color="auto"/>
        <w:bottom w:val="none" w:sz="0" w:space="0" w:color="auto"/>
        <w:right w:val="none" w:sz="0" w:space="0" w:color="auto"/>
      </w:divBdr>
    </w:div>
    <w:div w:id="203176339">
      <w:bodyDiv w:val="1"/>
      <w:marLeft w:val="0"/>
      <w:marRight w:val="0"/>
      <w:marTop w:val="0"/>
      <w:marBottom w:val="0"/>
      <w:divBdr>
        <w:top w:val="none" w:sz="0" w:space="0" w:color="auto"/>
        <w:left w:val="none" w:sz="0" w:space="0" w:color="auto"/>
        <w:bottom w:val="none" w:sz="0" w:space="0" w:color="auto"/>
        <w:right w:val="none" w:sz="0" w:space="0" w:color="auto"/>
      </w:divBdr>
    </w:div>
    <w:div w:id="218713351">
      <w:bodyDiv w:val="1"/>
      <w:marLeft w:val="0"/>
      <w:marRight w:val="0"/>
      <w:marTop w:val="0"/>
      <w:marBottom w:val="0"/>
      <w:divBdr>
        <w:top w:val="none" w:sz="0" w:space="0" w:color="auto"/>
        <w:left w:val="none" w:sz="0" w:space="0" w:color="auto"/>
        <w:bottom w:val="none" w:sz="0" w:space="0" w:color="auto"/>
        <w:right w:val="none" w:sz="0" w:space="0" w:color="auto"/>
      </w:divBdr>
    </w:div>
    <w:div w:id="387651769">
      <w:bodyDiv w:val="1"/>
      <w:marLeft w:val="0"/>
      <w:marRight w:val="0"/>
      <w:marTop w:val="0"/>
      <w:marBottom w:val="0"/>
      <w:divBdr>
        <w:top w:val="none" w:sz="0" w:space="0" w:color="auto"/>
        <w:left w:val="none" w:sz="0" w:space="0" w:color="auto"/>
        <w:bottom w:val="none" w:sz="0" w:space="0" w:color="auto"/>
        <w:right w:val="none" w:sz="0" w:space="0" w:color="auto"/>
      </w:divBdr>
    </w:div>
    <w:div w:id="449980948">
      <w:bodyDiv w:val="1"/>
      <w:marLeft w:val="0"/>
      <w:marRight w:val="0"/>
      <w:marTop w:val="0"/>
      <w:marBottom w:val="0"/>
      <w:divBdr>
        <w:top w:val="none" w:sz="0" w:space="0" w:color="auto"/>
        <w:left w:val="none" w:sz="0" w:space="0" w:color="auto"/>
        <w:bottom w:val="none" w:sz="0" w:space="0" w:color="auto"/>
        <w:right w:val="none" w:sz="0" w:space="0" w:color="auto"/>
      </w:divBdr>
    </w:div>
    <w:div w:id="476076199">
      <w:bodyDiv w:val="1"/>
      <w:marLeft w:val="0"/>
      <w:marRight w:val="0"/>
      <w:marTop w:val="0"/>
      <w:marBottom w:val="0"/>
      <w:divBdr>
        <w:top w:val="none" w:sz="0" w:space="0" w:color="auto"/>
        <w:left w:val="none" w:sz="0" w:space="0" w:color="auto"/>
        <w:bottom w:val="none" w:sz="0" w:space="0" w:color="auto"/>
        <w:right w:val="none" w:sz="0" w:space="0" w:color="auto"/>
      </w:divBdr>
    </w:div>
    <w:div w:id="485781011">
      <w:bodyDiv w:val="1"/>
      <w:marLeft w:val="0"/>
      <w:marRight w:val="0"/>
      <w:marTop w:val="0"/>
      <w:marBottom w:val="0"/>
      <w:divBdr>
        <w:top w:val="none" w:sz="0" w:space="0" w:color="auto"/>
        <w:left w:val="none" w:sz="0" w:space="0" w:color="auto"/>
        <w:bottom w:val="none" w:sz="0" w:space="0" w:color="auto"/>
        <w:right w:val="none" w:sz="0" w:space="0" w:color="auto"/>
      </w:divBdr>
    </w:div>
    <w:div w:id="534999314">
      <w:bodyDiv w:val="1"/>
      <w:marLeft w:val="0"/>
      <w:marRight w:val="0"/>
      <w:marTop w:val="0"/>
      <w:marBottom w:val="0"/>
      <w:divBdr>
        <w:top w:val="none" w:sz="0" w:space="0" w:color="auto"/>
        <w:left w:val="none" w:sz="0" w:space="0" w:color="auto"/>
        <w:bottom w:val="none" w:sz="0" w:space="0" w:color="auto"/>
        <w:right w:val="none" w:sz="0" w:space="0" w:color="auto"/>
      </w:divBdr>
    </w:div>
    <w:div w:id="612790325">
      <w:bodyDiv w:val="1"/>
      <w:marLeft w:val="0"/>
      <w:marRight w:val="0"/>
      <w:marTop w:val="0"/>
      <w:marBottom w:val="0"/>
      <w:divBdr>
        <w:top w:val="none" w:sz="0" w:space="0" w:color="auto"/>
        <w:left w:val="none" w:sz="0" w:space="0" w:color="auto"/>
        <w:bottom w:val="none" w:sz="0" w:space="0" w:color="auto"/>
        <w:right w:val="none" w:sz="0" w:space="0" w:color="auto"/>
      </w:divBdr>
    </w:div>
    <w:div w:id="652366741">
      <w:bodyDiv w:val="1"/>
      <w:marLeft w:val="0"/>
      <w:marRight w:val="0"/>
      <w:marTop w:val="0"/>
      <w:marBottom w:val="0"/>
      <w:divBdr>
        <w:top w:val="none" w:sz="0" w:space="0" w:color="auto"/>
        <w:left w:val="none" w:sz="0" w:space="0" w:color="auto"/>
        <w:bottom w:val="none" w:sz="0" w:space="0" w:color="auto"/>
        <w:right w:val="none" w:sz="0" w:space="0" w:color="auto"/>
      </w:divBdr>
    </w:div>
    <w:div w:id="667363981">
      <w:bodyDiv w:val="1"/>
      <w:marLeft w:val="0"/>
      <w:marRight w:val="0"/>
      <w:marTop w:val="0"/>
      <w:marBottom w:val="0"/>
      <w:divBdr>
        <w:top w:val="none" w:sz="0" w:space="0" w:color="auto"/>
        <w:left w:val="none" w:sz="0" w:space="0" w:color="auto"/>
        <w:bottom w:val="none" w:sz="0" w:space="0" w:color="auto"/>
        <w:right w:val="none" w:sz="0" w:space="0" w:color="auto"/>
      </w:divBdr>
    </w:div>
    <w:div w:id="667365793">
      <w:bodyDiv w:val="1"/>
      <w:marLeft w:val="0"/>
      <w:marRight w:val="0"/>
      <w:marTop w:val="0"/>
      <w:marBottom w:val="0"/>
      <w:divBdr>
        <w:top w:val="none" w:sz="0" w:space="0" w:color="auto"/>
        <w:left w:val="none" w:sz="0" w:space="0" w:color="auto"/>
        <w:bottom w:val="none" w:sz="0" w:space="0" w:color="auto"/>
        <w:right w:val="none" w:sz="0" w:space="0" w:color="auto"/>
      </w:divBdr>
    </w:div>
    <w:div w:id="670328796">
      <w:bodyDiv w:val="1"/>
      <w:marLeft w:val="0"/>
      <w:marRight w:val="0"/>
      <w:marTop w:val="0"/>
      <w:marBottom w:val="0"/>
      <w:divBdr>
        <w:top w:val="none" w:sz="0" w:space="0" w:color="auto"/>
        <w:left w:val="none" w:sz="0" w:space="0" w:color="auto"/>
        <w:bottom w:val="none" w:sz="0" w:space="0" w:color="auto"/>
        <w:right w:val="none" w:sz="0" w:space="0" w:color="auto"/>
      </w:divBdr>
    </w:div>
    <w:div w:id="767889593">
      <w:bodyDiv w:val="1"/>
      <w:marLeft w:val="0"/>
      <w:marRight w:val="0"/>
      <w:marTop w:val="0"/>
      <w:marBottom w:val="0"/>
      <w:divBdr>
        <w:top w:val="none" w:sz="0" w:space="0" w:color="auto"/>
        <w:left w:val="none" w:sz="0" w:space="0" w:color="auto"/>
        <w:bottom w:val="none" w:sz="0" w:space="0" w:color="auto"/>
        <w:right w:val="none" w:sz="0" w:space="0" w:color="auto"/>
      </w:divBdr>
    </w:div>
    <w:div w:id="781220380">
      <w:bodyDiv w:val="1"/>
      <w:marLeft w:val="0"/>
      <w:marRight w:val="0"/>
      <w:marTop w:val="0"/>
      <w:marBottom w:val="0"/>
      <w:divBdr>
        <w:top w:val="none" w:sz="0" w:space="0" w:color="auto"/>
        <w:left w:val="none" w:sz="0" w:space="0" w:color="auto"/>
        <w:bottom w:val="none" w:sz="0" w:space="0" w:color="auto"/>
        <w:right w:val="none" w:sz="0" w:space="0" w:color="auto"/>
      </w:divBdr>
    </w:div>
    <w:div w:id="806630658">
      <w:bodyDiv w:val="1"/>
      <w:marLeft w:val="0"/>
      <w:marRight w:val="0"/>
      <w:marTop w:val="0"/>
      <w:marBottom w:val="0"/>
      <w:divBdr>
        <w:top w:val="none" w:sz="0" w:space="0" w:color="auto"/>
        <w:left w:val="none" w:sz="0" w:space="0" w:color="auto"/>
        <w:bottom w:val="none" w:sz="0" w:space="0" w:color="auto"/>
        <w:right w:val="none" w:sz="0" w:space="0" w:color="auto"/>
      </w:divBdr>
    </w:div>
    <w:div w:id="824275452">
      <w:bodyDiv w:val="1"/>
      <w:marLeft w:val="0"/>
      <w:marRight w:val="0"/>
      <w:marTop w:val="0"/>
      <w:marBottom w:val="0"/>
      <w:divBdr>
        <w:top w:val="none" w:sz="0" w:space="0" w:color="auto"/>
        <w:left w:val="none" w:sz="0" w:space="0" w:color="auto"/>
        <w:bottom w:val="none" w:sz="0" w:space="0" w:color="auto"/>
        <w:right w:val="none" w:sz="0" w:space="0" w:color="auto"/>
      </w:divBdr>
    </w:div>
    <w:div w:id="827941714">
      <w:bodyDiv w:val="1"/>
      <w:marLeft w:val="0"/>
      <w:marRight w:val="0"/>
      <w:marTop w:val="0"/>
      <w:marBottom w:val="0"/>
      <w:divBdr>
        <w:top w:val="none" w:sz="0" w:space="0" w:color="auto"/>
        <w:left w:val="none" w:sz="0" w:space="0" w:color="auto"/>
        <w:bottom w:val="none" w:sz="0" w:space="0" w:color="auto"/>
        <w:right w:val="none" w:sz="0" w:space="0" w:color="auto"/>
      </w:divBdr>
    </w:div>
    <w:div w:id="833422814">
      <w:bodyDiv w:val="1"/>
      <w:marLeft w:val="0"/>
      <w:marRight w:val="0"/>
      <w:marTop w:val="0"/>
      <w:marBottom w:val="0"/>
      <w:divBdr>
        <w:top w:val="none" w:sz="0" w:space="0" w:color="auto"/>
        <w:left w:val="none" w:sz="0" w:space="0" w:color="auto"/>
        <w:bottom w:val="none" w:sz="0" w:space="0" w:color="auto"/>
        <w:right w:val="none" w:sz="0" w:space="0" w:color="auto"/>
      </w:divBdr>
    </w:div>
    <w:div w:id="866720134">
      <w:bodyDiv w:val="1"/>
      <w:marLeft w:val="0"/>
      <w:marRight w:val="0"/>
      <w:marTop w:val="0"/>
      <w:marBottom w:val="0"/>
      <w:divBdr>
        <w:top w:val="none" w:sz="0" w:space="0" w:color="auto"/>
        <w:left w:val="none" w:sz="0" w:space="0" w:color="auto"/>
        <w:bottom w:val="none" w:sz="0" w:space="0" w:color="auto"/>
        <w:right w:val="none" w:sz="0" w:space="0" w:color="auto"/>
      </w:divBdr>
    </w:div>
    <w:div w:id="892349542">
      <w:bodyDiv w:val="1"/>
      <w:marLeft w:val="0"/>
      <w:marRight w:val="0"/>
      <w:marTop w:val="0"/>
      <w:marBottom w:val="0"/>
      <w:divBdr>
        <w:top w:val="none" w:sz="0" w:space="0" w:color="auto"/>
        <w:left w:val="none" w:sz="0" w:space="0" w:color="auto"/>
        <w:bottom w:val="none" w:sz="0" w:space="0" w:color="auto"/>
        <w:right w:val="none" w:sz="0" w:space="0" w:color="auto"/>
      </w:divBdr>
    </w:div>
    <w:div w:id="898517128">
      <w:bodyDiv w:val="1"/>
      <w:marLeft w:val="0"/>
      <w:marRight w:val="0"/>
      <w:marTop w:val="0"/>
      <w:marBottom w:val="0"/>
      <w:divBdr>
        <w:top w:val="none" w:sz="0" w:space="0" w:color="auto"/>
        <w:left w:val="none" w:sz="0" w:space="0" w:color="auto"/>
        <w:bottom w:val="none" w:sz="0" w:space="0" w:color="auto"/>
        <w:right w:val="none" w:sz="0" w:space="0" w:color="auto"/>
      </w:divBdr>
    </w:div>
    <w:div w:id="919949116">
      <w:bodyDiv w:val="1"/>
      <w:marLeft w:val="0"/>
      <w:marRight w:val="0"/>
      <w:marTop w:val="0"/>
      <w:marBottom w:val="0"/>
      <w:divBdr>
        <w:top w:val="none" w:sz="0" w:space="0" w:color="auto"/>
        <w:left w:val="none" w:sz="0" w:space="0" w:color="auto"/>
        <w:bottom w:val="none" w:sz="0" w:space="0" w:color="auto"/>
        <w:right w:val="none" w:sz="0" w:space="0" w:color="auto"/>
      </w:divBdr>
    </w:div>
    <w:div w:id="921910971">
      <w:bodyDiv w:val="1"/>
      <w:marLeft w:val="0"/>
      <w:marRight w:val="0"/>
      <w:marTop w:val="0"/>
      <w:marBottom w:val="0"/>
      <w:divBdr>
        <w:top w:val="none" w:sz="0" w:space="0" w:color="auto"/>
        <w:left w:val="none" w:sz="0" w:space="0" w:color="auto"/>
        <w:bottom w:val="none" w:sz="0" w:space="0" w:color="auto"/>
        <w:right w:val="none" w:sz="0" w:space="0" w:color="auto"/>
      </w:divBdr>
    </w:div>
    <w:div w:id="944077256">
      <w:bodyDiv w:val="1"/>
      <w:marLeft w:val="0"/>
      <w:marRight w:val="0"/>
      <w:marTop w:val="0"/>
      <w:marBottom w:val="0"/>
      <w:divBdr>
        <w:top w:val="none" w:sz="0" w:space="0" w:color="auto"/>
        <w:left w:val="none" w:sz="0" w:space="0" w:color="auto"/>
        <w:bottom w:val="none" w:sz="0" w:space="0" w:color="auto"/>
        <w:right w:val="none" w:sz="0" w:space="0" w:color="auto"/>
      </w:divBdr>
    </w:div>
    <w:div w:id="957874419">
      <w:bodyDiv w:val="1"/>
      <w:marLeft w:val="0"/>
      <w:marRight w:val="0"/>
      <w:marTop w:val="0"/>
      <w:marBottom w:val="0"/>
      <w:divBdr>
        <w:top w:val="none" w:sz="0" w:space="0" w:color="auto"/>
        <w:left w:val="none" w:sz="0" w:space="0" w:color="auto"/>
        <w:bottom w:val="none" w:sz="0" w:space="0" w:color="auto"/>
        <w:right w:val="none" w:sz="0" w:space="0" w:color="auto"/>
      </w:divBdr>
    </w:div>
    <w:div w:id="988751482">
      <w:bodyDiv w:val="1"/>
      <w:marLeft w:val="0"/>
      <w:marRight w:val="0"/>
      <w:marTop w:val="0"/>
      <w:marBottom w:val="0"/>
      <w:divBdr>
        <w:top w:val="none" w:sz="0" w:space="0" w:color="auto"/>
        <w:left w:val="none" w:sz="0" w:space="0" w:color="auto"/>
        <w:bottom w:val="none" w:sz="0" w:space="0" w:color="auto"/>
        <w:right w:val="none" w:sz="0" w:space="0" w:color="auto"/>
      </w:divBdr>
    </w:div>
    <w:div w:id="1076128149">
      <w:bodyDiv w:val="1"/>
      <w:marLeft w:val="0"/>
      <w:marRight w:val="0"/>
      <w:marTop w:val="0"/>
      <w:marBottom w:val="0"/>
      <w:divBdr>
        <w:top w:val="none" w:sz="0" w:space="0" w:color="auto"/>
        <w:left w:val="none" w:sz="0" w:space="0" w:color="auto"/>
        <w:bottom w:val="none" w:sz="0" w:space="0" w:color="auto"/>
        <w:right w:val="none" w:sz="0" w:space="0" w:color="auto"/>
      </w:divBdr>
    </w:div>
    <w:div w:id="1165901274">
      <w:bodyDiv w:val="1"/>
      <w:marLeft w:val="0"/>
      <w:marRight w:val="0"/>
      <w:marTop w:val="0"/>
      <w:marBottom w:val="0"/>
      <w:divBdr>
        <w:top w:val="none" w:sz="0" w:space="0" w:color="auto"/>
        <w:left w:val="none" w:sz="0" w:space="0" w:color="auto"/>
        <w:bottom w:val="none" w:sz="0" w:space="0" w:color="auto"/>
        <w:right w:val="none" w:sz="0" w:space="0" w:color="auto"/>
      </w:divBdr>
    </w:div>
    <w:div w:id="1174144533">
      <w:bodyDiv w:val="1"/>
      <w:marLeft w:val="0"/>
      <w:marRight w:val="0"/>
      <w:marTop w:val="0"/>
      <w:marBottom w:val="0"/>
      <w:divBdr>
        <w:top w:val="none" w:sz="0" w:space="0" w:color="auto"/>
        <w:left w:val="none" w:sz="0" w:space="0" w:color="auto"/>
        <w:bottom w:val="none" w:sz="0" w:space="0" w:color="auto"/>
        <w:right w:val="none" w:sz="0" w:space="0" w:color="auto"/>
      </w:divBdr>
    </w:div>
    <w:div w:id="1202935869">
      <w:bodyDiv w:val="1"/>
      <w:marLeft w:val="0"/>
      <w:marRight w:val="0"/>
      <w:marTop w:val="0"/>
      <w:marBottom w:val="0"/>
      <w:divBdr>
        <w:top w:val="none" w:sz="0" w:space="0" w:color="auto"/>
        <w:left w:val="none" w:sz="0" w:space="0" w:color="auto"/>
        <w:bottom w:val="none" w:sz="0" w:space="0" w:color="auto"/>
        <w:right w:val="none" w:sz="0" w:space="0" w:color="auto"/>
      </w:divBdr>
    </w:div>
    <w:div w:id="1247690179">
      <w:bodyDiv w:val="1"/>
      <w:marLeft w:val="0"/>
      <w:marRight w:val="0"/>
      <w:marTop w:val="0"/>
      <w:marBottom w:val="0"/>
      <w:divBdr>
        <w:top w:val="none" w:sz="0" w:space="0" w:color="auto"/>
        <w:left w:val="none" w:sz="0" w:space="0" w:color="auto"/>
        <w:bottom w:val="none" w:sz="0" w:space="0" w:color="auto"/>
        <w:right w:val="none" w:sz="0" w:space="0" w:color="auto"/>
      </w:divBdr>
    </w:div>
    <w:div w:id="1279948682">
      <w:bodyDiv w:val="1"/>
      <w:marLeft w:val="0"/>
      <w:marRight w:val="0"/>
      <w:marTop w:val="0"/>
      <w:marBottom w:val="0"/>
      <w:divBdr>
        <w:top w:val="none" w:sz="0" w:space="0" w:color="auto"/>
        <w:left w:val="none" w:sz="0" w:space="0" w:color="auto"/>
        <w:bottom w:val="none" w:sz="0" w:space="0" w:color="auto"/>
        <w:right w:val="none" w:sz="0" w:space="0" w:color="auto"/>
      </w:divBdr>
    </w:div>
    <w:div w:id="1293826775">
      <w:bodyDiv w:val="1"/>
      <w:marLeft w:val="0"/>
      <w:marRight w:val="0"/>
      <w:marTop w:val="0"/>
      <w:marBottom w:val="0"/>
      <w:divBdr>
        <w:top w:val="none" w:sz="0" w:space="0" w:color="auto"/>
        <w:left w:val="none" w:sz="0" w:space="0" w:color="auto"/>
        <w:bottom w:val="none" w:sz="0" w:space="0" w:color="auto"/>
        <w:right w:val="none" w:sz="0" w:space="0" w:color="auto"/>
      </w:divBdr>
    </w:div>
    <w:div w:id="1305695298">
      <w:bodyDiv w:val="1"/>
      <w:marLeft w:val="0"/>
      <w:marRight w:val="0"/>
      <w:marTop w:val="0"/>
      <w:marBottom w:val="0"/>
      <w:divBdr>
        <w:top w:val="none" w:sz="0" w:space="0" w:color="auto"/>
        <w:left w:val="none" w:sz="0" w:space="0" w:color="auto"/>
        <w:bottom w:val="none" w:sz="0" w:space="0" w:color="auto"/>
        <w:right w:val="none" w:sz="0" w:space="0" w:color="auto"/>
      </w:divBdr>
    </w:div>
    <w:div w:id="1319072632">
      <w:bodyDiv w:val="1"/>
      <w:marLeft w:val="0"/>
      <w:marRight w:val="0"/>
      <w:marTop w:val="0"/>
      <w:marBottom w:val="0"/>
      <w:divBdr>
        <w:top w:val="none" w:sz="0" w:space="0" w:color="auto"/>
        <w:left w:val="none" w:sz="0" w:space="0" w:color="auto"/>
        <w:bottom w:val="none" w:sz="0" w:space="0" w:color="auto"/>
        <w:right w:val="none" w:sz="0" w:space="0" w:color="auto"/>
      </w:divBdr>
    </w:div>
    <w:div w:id="1445030879">
      <w:bodyDiv w:val="1"/>
      <w:marLeft w:val="0"/>
      <w:marRight w:val="0"/>
      <w:marTop w:val="0"/>
      <w:marBottom w:val="0"/>
      <w:divBdr>
        <w:top w:val="none" w:sz="0" w:space="0" w:color="auto"/>
        <w:left w:val="none" w:sz="0" w:space="0" w:color="auto"/>
        <w:bottom w:val="none" w:sz="0" w:space="0" w:color="auto"/>
        <w:right w:val="none" w:sz="0" w:space="0" w:color="auto"/>
      </w:divBdr>
    </w:div>
    <w:div w:id="1478259784">
      <w:bodyDiv w:val="1"/>
      <w:marLeft w:val="0"/>
      <w:marRight w:val="0"/>
      <w:marTop w:val="0"/>
      <w:marBottom w:val="0"/>
      <w:divBdr>
        <w:top w:val="none" w:sz="0" w:space="0" w:color="auto"/>
        <w:left w:val="none" w:sz="0" w:space="0" w:color="auto"/>
        <w:bottom w:val="none" w:sz="0" w:space="0" w:color="auto"/>
        <w:right w:val="none" w:sz="0" w:space="0" w:color="auto"/>
      </w:divBdr>
    </w:div>
    <w:div w:id="1512986124">
      <w:bodyDiv w:val="1"/>
      <w:marLeft w:val="0"/>
      <w:marRight w:val="0"/>
      <w:marTop w:val="0"/>
      <w:marBottom w:val="0"/>
      <w:divBdr>
        <w:top w:val="none" w:sz="0" w:space="0" w:color="auto"/>
        <w:left w:val="none" w:sz="0" w:space="0" w:color="auto"/>
        <w:bottom w:val="none" w:sz="0" w:space="0" w:color="auto"/>
        <w:right w:val="none" w:sz="0" w:space="0" w:color="auto"/>
      </w:divBdr>
    </w:div>
    <w:div w:id="1571959812">
      <w:bodyDiv w:val="1"/>
      <w:marLeft w:val="0"/>
      <w:marRight w:val="0"/>
      <w:marTop w:val="0"/>
      <w:marBottom w:val="0"/>
      <w:divBdr>
        <w:top w:val="none" w:sz="0" w:space="0" w:color="auto"/>
        <w:left w:val="none" w:sz="0" w:space="0" w:color="auto"/>
        <w:bottom w:val="none" w:sz="0" w:space="0" w:color="auto"/>
        <w:right w:val="none" w:sz="0" w:space="0" w:color="auto"/>
      </w:divBdr>
    </w:div>
    <w:div w:id="1577011927">
      <w:bodyDiv w:val="1"/>
      <w:marLeft w:val="0"/>
      <w:marRight w:val="0"/>
      <w:marTop w:val="0"/>
      <w:marBottom w:val="0"/>
      <w:divBdr>
        <w:top w:val="none" w:sz="0" w:space="0" w:color="auto"/>
        <w:left w:val="none" w:sz="0" w:space="0" w:color="auto"/>
        <w:bottom w:val="none" w:sz="0" w:space="0" w:color="auto"/>
        <w:right w:val="none" w:sz="0" w:space="0" w:color="auto"/>
      </w:divBdr>
    </w:div>
    <w:div w:id="1608342825">
      <w:bodyDiv w:val="1"/>
      <w:marLeft w:val="0"/>
      <w:marRight w:val="0"/>
      <w:marTop w:val="0"/>
      <w:marBottom w:val="0"/>
      <w:divBdr>
        <w:top w:val="none" w:sz="0" w:space="0" w:color="auto"/>
        <w:left w:val="none" w:sz="0" w:space="0" w:color="auto"/>
        <w:bottom w:val="none" w:sz="0" w:space="0" w:color="auto"/>
        <w:right w:val="none" w:sz="0" w:space="0" w:color="auto"/>
      </w:divBdr>
    </w:div>
    <w:div w:id="1700467340">
      <w:bodyDiv w:val="1"/>
      <w:marLeft w:val="0"/>
      <w:marRight w:val="0"/>
      <w:marTop w:val="0"/>
      <w:marBottom w:val="0"/>
      <w:divBdr>
        <w:top w:val="none" w:sz="0" w:space="0" w:color="auto"/>
        <w:left w:val="none" w:sz="0" w:space="0" w:color="auto"/>
        <w:bottom w:val="none" w:sz="0" w:space="0" w:color="auto"/>
        <w:right w:val="none" w:sz="0" w:space="0" w:color="auto"/>
      </w:divBdr>
    </w:div>
    <w:div w:id="1705253460">
      <w:bodyDiv w:val="1"/>
      <w:marLeft w:val="0"/>
      <w:marRight w:val="0"/>
      <w:marTop w:val="0"/>
      <w:marBottom w:val="0"/>
      <w:divBdr>
        <w:top w:val="none" w:sz="0" w:space="0" w:color="auto"/>
        <w:left w:val="none" w:sz="0" w:space="0" w:color="auto"/>
        <w:bottom w:val="none" w:sz="0" w:space="0" w:color="auto"/>
        <w:right w:val="none" w:sz="0" w:space="0" w:color="auto"/>
      </w:divBdr>
    </w:div>
    <w:div w:id="1719088851">
      <w:bodyDiv w:val="1"/>
      <w:marLeft w:val="0"/>
      <w:marRight w:val="0"/>
      <w:marTop w:val="0"/>
      <w:marBottom w:val="0"/>
      <w:divBdr>
        <w:top w:val="none" w:sz="0" w:space="0" w:color="auto"/>
        <w:left w:val="none" w:sz="0" w:space="0" w:color="auto"/>
        <w:bottom w:val="none" w:sz="0" w:space="0" w:color="auto"/>
        <w:right w:val="none" w:sz="0" w:space="0" w:color="auto"/>
      </w:divBdr>
    </w:div>
    <w:div w:id="1732582437">
      <w:bodyDiv w:val="1"/>
      <w:marLeft w:val="0"/>
      <w:marRight w:val="0"/>
      <w:marTop w:val="0"/>
      <w:marBottom w:val="0"/>
      <w:divBdr>
        <w:top w:val="none" w:sz="0" w:space="0" w:color="auto"/>
        <w:left w:val="none" w:sz="0" w:space="0" w:color="auto"/>
        <w:bottom w:val="none" w:sz="0" w:space="0" w:color="auto"/>
        <w:right w:val="none" w:sz="0" w:space="0" w:color="auto"/>
      </w:divBdr>
    </w:div>
    <w:div w:id="1752576653">
      <w:bodyDiv w:val="1"/>
      <w:marLeft w:val="0"/>
      <w:marRight w:val="0"/>
      <w:marTop w:val="0"/>
      <w:marBottom w:val="0"/>
      <w:divBdr>
        <w:top w:val="none" w:sz="0" w:space="0" w:color="auto"/>
        <w:left w:val="none" w:sz="0" w:space="0" w:color="auto"/>
        <w:bottom w:val="none" w:sz="0" w:space="0" w:color="auto"/>
        <w:right w:val="none" w:sz="0" w:space="0" w:color="auto"/>
      </w:divBdr>
    </w:div>
    <w:div w:id="1796485490">
      <w:bodyDiv w:val="1"/>
      <w:marLeft w:val="0"/>
      <w:marRight w:val="0"/>
      <w:marTop w:val="0"/>
      <w:marBottom w:val="0"/>
      <w:divBdr>
        <w:top w:val="none" w:sz="0" w:space="0" w:color="auto"/>
        <w:left w:val="none" w:sz="0" w:space="0" w:color="auto"/>
        <w:bottom w:val="none" w:sz="0" w:space="0" w:color="auto"/>
        <w:right w:val="none" w:sz="0" w:space="0" w:color="auto"/>
      </w:divBdr>
    </w:div>
    <w:div w:id="1831365946">
      <w:bodyDiv w:val="1"/>
      <w:marLeft w:val="0"/>
      <w:marRight w:val="0"/>
      <w:marTop w:val="0"/>
      <w:marBottom w:val="0"/>
      <w:divBdr>
        <w:top w:val="none" w:sz="0" w:space="0" w:color="auto"/>
        <w:left w:val="none" w:sz="0" w:space="0" w:color="auto"/>
        <w:bottom w:val="none" w:sz="0" w:space="0" w:color="auto"/>
        <w:right w:val="none" w:sz="0" w:space="0" w:color="auto"/>
      </w:divBdr>
    </w:div>
    <w:div w:id="1893302200">
      <w:bodyDiv w:val="1"/>
      <w:marLeft w:val="0"/>
      <w:marRight w:val="0"/>
      <w:marTop w:val="0"/>
      <w:marBottom w:val="0"/>
      <w:divBdr>
        <w:top w:val="none" w:sz="0" w:space="0" w:color="auto"/>
        <w:left w:val="none" w:sz="0" w:space="0" w:color="auto"/>
        <w:bottom w:val="none" w:sz="0" w:space="0" w:color="auto"/>
        <w:right w:val="none" w:sz="0" w:space="0" w:color="auto"/>
      </w:divBdr>
    </w:div>
    <w:div w:id="1988823200">
      <w:bodyDiv w:val="1"/>
      <w:marLeft w:val="0"/>
      <w:marRight w:val="0"/>
      <w:marTop w:val="0"/>
      <w:marBottom w:val="0"/>
      <w:divBdr>
        <w:top w:val="none" w:sz="0" w:space="0" w:color="auto"/>
        <w:left w:val="none" w:sz="0" w:space="0" w:color="auto"/>
        <w:bottom w:val="none" w:sz="0" w:space="0" w:color="auto"/>
        <w:right w:val="none" w:sz="0" w:space="0" w:color="auto"/>
      </w:divBdr>
    </w:div>
    <w:div w:id="2025861902">
      <w:bodyDiv w:val="1"/>
      <w:marLeft w:val="0"/>
      <w:marRight w:val="0"/>
      <w:marTop w:val="0"/>
      <w:marBottom w:val="0"/>
      <w:divBdr>
        <w:top w:val="none" w:sz="0" w:space="0" w:color="auto"/>
        <w:left w:val="none" w:sz="0" w:space="0" w:color="auto"/>
        <w:bottom w:val="none" w:sz="0" w:space="0" w:color="auto"/>
        <w:right w:val="none" w:sz="0" w:space="0" w:color="auto"/>
      </w:divBdr>
    </w:div>
    <w:div w:id="2028559636">
      <w:bodyDiv w:val="1"/>
      <w:marLeft w:val="0"/>
      <w:marRight w:val="0"/>
      <w:marTop w:val="0"/>
      <w:marBottom w:val="0"/>
      <w:divBdr>
        <w:top w:val="none" w:sz="0" w:space="0" w:color="auto"/>
        <w:left w:val="none" w:sz="0" w:space="0" w:color="auto"/>
        <w:bottom w:val="none" w:sz="0" w:space="0" w:color="auto"/>
        <w:right w:val="none" w:sz="0" w:space="0" w:color="auto"/>
      </w:divBdr>
    </w:div>
    <w:div w:id="2041852681">
      <w:bodyDiv w:val="1"/>
      <w:marLeft w:val="0"/>
      <w:marRight w:val="0"/>
      <w:marTop w:val="0"/>
      <w:marBottom w:val="0"/>
      <w:divBdr>
        <w:top w:val="none" w:sz="0" w:space="0" w:color="auto"/>
        <w:left w:val="none" w:sz="0" w:space="0" w:color="auto"/>
        <w:bottom w:val="none" w:sz="0" w:space="0" w:color="auto"/>
        <w:right w:val="none" w:sz="0" w:space="0" w:color="auto"/>
      </w:divBdr>
    </w:div>
    <w:div w:id="2137068078">
      <w:bodyDiv w:val="1"/>
      <w:marLeft w:val="0"/>
      <w:marRight w:val="0"/>
      <w:marTop w:val="0"/>
      <w:marBottom w:val="0"/>
      <w:divBdr>
        <w:top w:val="none" w:sz="0" w:space="0" w:color="auto"/>
        <w:left w:val="none" w:sz="0" w:space="0" w:color="auto"/>
        <w:bottom w:val="none" w:sz="0" w:space="0" w:color="auto"/>
        <w:right w:val="none" w:sz="0" w:space="0" w:color="auto"/>
      </w:divBdr>
    </w:div>
    <w:div w:id="2141920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sv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image" Target="media/image23.sv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Dav16</b:Tag>
    <b:SourceType>JournalArticle</b:SourceType>
    <b:Guid>{51FF3378-CA5D-4BDC-8BE2-AEE2F37C3712}</b:Guid>
    <b:Title>Cumplimiento de la norma para atencion prenatal de bajo riesgo en embarazadas. CS Altagracia</b:Title>
    <b:Year>2016</b:Year>
    <b:Author>
      <b:Author>
        <b:NameList>
          <b:Person>
            <b:Last>Davila Guzman</b:Last>
            <b:First>Aracely</b:First>
          </b:Person>
        </b:NameList>
      </b:Author>
    </b:Author>
    <b:RefOrder>7</b:RefOrder>
  </b:Source>
  <b:Source>
    <b:Tag>Hur19</b:Tag>
    <b:SourceType>JournalArticle</b:SourceType>
    <b:Guid>{1C93665F-94EC-48D9-BB73-CF1B8F28B6DF}</b:Guid>
    <b:Title>Cumplimiento del protocolo de atencion prenatal de bajo riesgo por personal medico en CS PJCH Granada</b:Title>
    <b:Year>2019</b:Year>
    <b:Author>
      <b:Author>
        <b:NameList>
          <b:Person>
            <b:Last>Hurtado </b:Last>
            <b:First>Janalis</b:First>
          </b:Person>
          <b:Person>
            <b:Last>Martinez</b:Last>
            <b:First>Katheryn</b:First>
          </b:Person>
          <b:Person>
            <b:Last>Rodriguez</b:Last>
            <b:First>Zayra</b:First>
          </b:Person>
        </b:NameList>
      </b:Author>
    </b:Author>
    <b:RefOrder>8</b:RefOrder>
  </b:Source>
  <b:Source>
    <b:Tag>Cab23</b:Tag>
    <b:SourceType>JournalArticle</b:SourceType>
    <b:Guid>{BEAEB545-C07E-4831-8B6C-57CD36BE971B}</b:Guid>
    <b:Title>Complicaciones obstétricas y edad materna avanzada</b:Title>
    <b:Year>2023</b:Year>
    <b:Author>
      <b:Author>
        <b:NameList>
          <b:Person>
            <b:Last>Cabrera Ramos</b:Last>
            <b:Middle>G</b:Middle>
            <b:First>Santiago</b:First>
          </b:Person>
        </b:NameList>
      </b:Author>
    </b:Author>
    <b:JournalName>Revista Peruana de Ginecología y Obstetricia</b:JournalName>
    <b:Volume>69</b:Volume>
    <b:Issue>3</b:Issue>
    <b:StandardNumber>2304-5132</b:StandardNumber>
    <b:URL>http://www.scielo.org.pe/scielo.php?script=sci_arttext&amp;pid=S2304-51322023000300012</b:URL>
    <b:DOI>10.31403</b:DOI>
    <b:RefOrder>9</b:RefOrder>
  </b:Source>
  <b:Source>
    <b:Tag>Agu14</b:Tag>
    <b:SourceType>Book</b:SourceType>
    <b:Guid>{B37F2F61-A63E-4C7E-87B2-1F251A73E574}</b:Guid>
    <b:Title>Control Prenatal</b:Title>
    <b:Year>2014</b:Year>
    <b:City>Chile</b:City>
    <b:Author>
      <b:Author>
        <b:NameList>
          <b:Person>
            <b:Last>Susana</b:Last>
            <b:First>Aguiera</b:First>
          </b:Person>
        </b:NameList>
      </b:Author>
    </b:Author>
    <b:RefOrder>1</b:RefOrder>
  </b:Source>
  <b:Source>
    <b:Tag>OMS161</b:Tag>
    <b:SourceType>Book</b:SourceType>
    <b:Guid>{4A724B19-DCA1-4D7E-93E5-A7DD19B95C86}</b:Guid>
    <b:Author>
      <b:Author>
        <b:NameList>
          <b:Person>
            <b:Last>OMS</b:Last>
          </b:Person>
        </b:NameList>
      </b:Author>
    </b:Author>
    <b:Title>, Recomendaciones sobre atención prenatal para una experiencia positiva del embarazo</b:Title>
    <b:Year>2016</b:Year>
    <b:RefOrder>2</b:RefOrder>
  </b:Source>
  <b:Source>
    <b:Tag>Car22</b:Tag>
    <b:SourceType>Book</b:SourceType>
    <b:Guid>{F2CA6EA5-2CD8-43DF-AA78-1E94E3D5BB26}</b:Guid>
    <b:Author>
      <b:Author>
        <b:NameList>
          <b:Person>
            <b:Last>Jorge</b:Last>
            <b:First>Carvaja</b:First>
          </b:Person>
        </b:NameList>
      </b:Author>
    </b:Author>
    <b:Title>Manual de Obstetricia y Ginecología</b:Title>
    <b:Year>2022</b:Year>
    <b:City>Chile</b:City>
    <b:RefOrder>3</b:RefOrder>
  </b:Source>
  <b:Source>
    <b:Tag>Mar19</b:Tag>
    <b:SourceType>Book</b:SourceType>
    <b:Guid>{0DA839E6-2906-4A4C-8A2D-73CD9192C977}</b:Guid>
    <b:Author>
      <b:Author>
        <b:NameList>
          <b:Person>
            <b:Last>Martinez</b:Last>
          </b:Person>
        </b:NameList>
      </b:Author>
    </b:Author>
    <b:Title>Cumplimiento del protocolo de atencion prenatal de bajo riesgo por personal medico en CS PJCH</b:Title>
    <b:Year>2019</b:Year>
    <b:City>Granada</b:City>
    <b:RefOrder>4</b:RefOrder>
  </b:Source>
  <b:Source>
    <b:Tag>Davila16</b:Tag>
    <b:SourceType>Book</b:SourceType>
    <b:Guid>{88101651-68D5-4E55-84AC-DE9FE17FC20A}</b:Guid>
    <b:Title>Cumplimiento de la norma para atencion prenatal de bajo riesgo en embarazadas</b:Title>
    <b:Year>2016</b:Year>
    <b:City>Managua</b:City>
    <b:Author>
      <b:Author>
        <b:NameList>
          <b:Person>
            <b:Last>A.</b:Last>
            <b:First>Davila</b:First>
          </b:Person>
        </b:NameList>
      </b:Author>
    </b:Author>
    <b:RefOrder>5</b:RefOrder>
  </b:Source>
  <b:Source>
    <b:Tag>MIN08</b:Tag>
    <b:SourceType>Book</b:SourceType>
    <b:Guid>{73384D0E-4CFD-4246-BDDE-6FB9F9EDB9B9}</b:Guid>
    <b:Author>
      <b:Author>
        <b:NameList>
          <b:Person>
            <b:Last>MINSA</b:Last>
          </b:Person>
        </b:NameList>
      </b:Author>
    </b:Author>
    <b:Title>Normas y Protocolos para la Atención Prenatal, Parto, Recién Nacido/a y Puerperio de bajo riesgo</b:Title>
    <b:Year>2008</b:Year>
    <b:City>Managua</b:City>
    <b:RefOrder>6</b:RefOrder>
  </b:Source>
</b:Sources>
</file>

<file path=customXml/itemProps1.xml><?xml version="1.0" encoding="utf-8"?>
<ds:datastoreItem xmlns:ds="http://schemas.openxmlformats.org/officeDocument/2006/customXml" ds:itemID="{3F4E7DFD-6E1D-428A-A206-233D7A286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67</Pages>
  <Words>12790</Words>
  <Characters>70349</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leonor baltodano</dc:creator>
  <dc:description/>
  <cp:lastModifiedBy>Edgard Antonio Del Palacio</cp:lastModifiedBy>
  <cp:revision>5</cp:revision>
  <dcterms:created xsi:type="dcterms:W3CDTF">2025-07-06T23:35:00Z</dcterms:created>
  <dcterms:modified xsi:type="dcterms:W3CDTF">2025-08-15T17:15:00Z</dcterms:modified>
  <dc:language>es-NI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0abd4e21ee6a4f7fa9a3a389350fbb20</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