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6CA51" w14:textId="5715355B" w:rsidR="000D3DAF" w:rsidRPr="00B8712F" w:rsidRDefault="000D3DAF" w:rsidP="000D3DAF">
      <w:pPr>
        <w:spacing w:line="256" w:lineRule="auto"/>
        <w:jc w:val="center"/>
        <w:rPr>
          <w:rFonts w:cs="Arial"/>
          <w:sz w:val="28"/>
          <w:lang w:val="es-NI"/>
        </w:rPr>
      </w:pPr>
      <w:r w:rsidRPr="00B8712F">
        <w:rPr>
          <w:rFonts w:cs="Arial"/>
          <w:sz w:val="28"/>
          <w:lang w:val="es-NI"/>
        </w:rPr>
        <w:t>Universidad Internacional para el Desarrollo Sostenible</w:t>
      </w:r>
    </w:p>
    <w:p w14:paraId="406C6BB4" w14:textId="77777777" w:rsidR="000D3DAF" w:rsidRPr="00B8712F" w:rsidRDefault="000D3DAF" w:rsidP="000D3DAF">
      <w:pPr>
        <w:spacing w:line="256" w:lineRule="auto"/>
        <w:jc w:val="center"/>
        <w:rPr>
          <w:rFonts w:cs="Arial"/>
          <w:sz w:val="28"/>
          <w:lang w:val="es-NI"/>
        </w:rPr>
      </w:pPr>
      <w:r w:rsidRPr="00B8712F">
        <w:rPr>
          <w:rFonts w:cs="Arial"/>
          <w:noProof/>
          <w:sz w:val="28"/>
          <w:lang w:val="es-NI" w:eastAsia="es-NI"/>
        </w:rPr>
        <w:drawing>
          <wp:inline distT="0" distB="0" distL="0" distR="0" wp14:anchorId="5576EC87" wp14:editId="6BB39A0E">
            <wp:extent cx="1744204" cy="1514475"/>
            <wp:effectExtent l="0" t="0" r="8890" b="0"/>
            <wp:docPr id="21" name="Imagen 21" descr="C:\Users\Tamara\Downloads\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mara\Downloads\descarg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4204" cy="1514475"/>
                    </a:xfrm>
                    <a:prstGeom prst="rect">
                      <a:avLst/>
                    </a:prstGeom>
                    <a:noFill/>
                    <a:ln>
                      <a:noFill/>
                    </a:ln>
                  </pic:spPr>
                </pic:pic>
              </a:graphicData>
            </a:graphic>
          </wp:inline>
        </w:drawing>
      </w:r>
    </w:p>
    <w:p w14:paraId="1A6CAFE9" w14:textId="77777777" w:rsidR="000D3DAF" w:rsidRPr="00B8712F" w:rsidRDefault="000D3DAF" w:rsidP="000D3DAF">
      <w:pPr>
        <w:spacing w:line="240" w:lineRule="auto"/>
        <w:jc w:val="center"/>
        <w:rPr>
          <w:rFonts w:cs="Arial"/>
          <w:sz w:val="28"/>
          <w:lang w:val="es-NI"/>
        </w:rPr>
      </w:pPr>
      <w:r w:rsidRPr="00B8712F">
        <w:rPr>
          <w:rFonts w:cs="Arial"/>
          <w:sz w:val="28"/>
          <w:lang w:val="es-NI"/>
        </w:rPr>
        <w:t>Facultad de Ciencias Médicas</w:t>
      </w:r>
    </w:p>
    <w:p w14:paraId="56A5371D" w14:textId="04CA0EC4" w:rsidR="000D3DAF" w:rsidRPr="00B8712F" w:rsidRDefault="000D3DAF" w:rsidP="000D3DAF">
      <w:pPr>
        <w:spacing w:line="240" w:lineRule="auto"/>
        <w:jc w:val="center"/>
        <w:rPr>
          <w:rFonts w:cs="Arial"/>
          <w:sz w:val="28"/>
          <w:lang w:val="es-NI"/>
        </w:rPr>
      </w:pPr>
      <w:r w:rsidRPr="00B8712F">
        <w:rPr>
          <w:rFonts w:cs="Arial"/>
          <w:sz w:val="28"/>
          <w:lang w:val="es-NI"/>
        </w:rPr>
        <w:t xml:space="preserve">Carrera de Medicina </w:t>
      </w:r>
      <w:r w:rsidR="00411005">
        <w:rPr>
          <w:rFonts w:cs="Arial"/>
          <w:sz w:val="28"/>
          <w:lang w:val="es-NI"/>
        </w:rPr>
        <w:t>General</w:t>
      </w:r>
    </w:p>
    <w:p w14:paraId="1B403997" w14:textId="77777777" w:rsidR="000D3DAF" w:rsidRPr="00B8712F" w:rsidRDefault="000D3DAF" w:rsidP="000D3DAF">
      <w:pPr>
        <w:spacing w:line="256" w:lineRule="auto"/>
        <w:jc w:val="center"/>
        <w:rPr>
          <w:rFonts w:cs="Arial"/>
          <w:sz w:val="28"/>
          <w:lang w:val="es-NI"/>
        </w:rPr>
      </w:pPr>
    </w:p>
    <w:p w14:paraId="09EE1878" w14:textId="7CF1D847" w:rsidR="000D3DAF" w:rsidRPr="00B8712F" w:rsidRDefault="00CE242C" w:rsidP="000D3DAF">
      <w:pPr>
        <w:spacing w:line="256" w:lineRule="auto"/>
        <w:jc w:val="center"/>
        <w:rPr>
          <w:rFonts w:cs="Arial"/>
          <w:szCs w:val="24"/>
          <w:lang w:val="es-NI"/>
        </w:rPr>
      </w:pPr>
      <w:r>
        <w:rPr>
          <w:rFonts w:cs="Arial"/>
          <w:szCs w:val="24"/>
          <w:lang w:val="es-NI"/>
        </w:rPr>
        <w:t>Tesis</w:t>
      </w:r>
      <w:r w:rsidR="000D3DAF" w:rsidRPr="00B8712F">
        <w:rPr>
          <w:rFonts w:cs="Arial"/>
          <w:szCs w:val="24"/>
          <w:lang w:val="es-NI"/>
        </w:rPr>
        <w:t xml:space="preserve"> para optar al título de Doctor en Medicina</w:t>
      </w:r>
      <w:r w:rsidR="00411005">
        <w:rPr>
          <w:rFonts w:cs="Arial"/>
          <w:szCs w:val="24"/>
          <w:lang w:val="es-NI"/>
        </w:rPr>
        <w:t xml:space="preserve"> General</w:t>
      </w:r>
    </w:p>
    <w:p w14:paraId="0E2D796E" w14:textId="79BE03B4" w:rsidR="000D3DAF" w:rsidRPr="00B8712F" w:rsidRDefault="00D47292" w:rsidP="000D3DAF">
      <w:pPr>
        <w:spacing w:after="0"/>
        <w:jc w:val="center"/>
        <w:rPr>
          <w:rFonts w:cs="Arial"/>
          <w:b/>
          <w:sz w:val="28"/>
          <w:szCs w:val="24"/>
          <w:lang w:val="es-NI"/>
        </w:rPr>
      </w:pPr>
      <w:r w:rsidRPr="00B8712F">
        <w:rPr>
          <w:rFonts w:cs="Arial"/>
          <w:b/>
          <w:sz w:val="28"/>
          <w:szCs w:val="24"/>
          <w:lang w:val="es-NI"/>
        </w:rPr>
        <w:t xml:space="preserve">Resultados clínicos del </w:t>
      </w:r>
      <w:r w:rsidR="00B7662A" w:rsidRPr="00B8712F">
        <w:rPr>
          <w:rFonts w:cs="Arial"/>
          <w:b/>
          <w:sz w:val="28"/>
          <w:szCs w:val="24"/>
          <w:lang w:val="es-NI"/>
        </w:rPr>
        <w:t xml:space="preserve">misoprostol </w:t>
      </w:r>
      <w:r w:rsidRPr="00B8712F">
        <w:rPr>
          <w:rFonts w:cs="Arial"/>
          <w:b/>
          <w:sz w:val="28"/>
          <w:szCs w:val="24"/>
          <w:lang w:val="es-NI"/>
        </w:rPr>
        <w:t>en el tratamiento médico</w:t>
      </w:r>
      <w:r w:rsidR="00B7662A" w:rsidRPr="00B8712F">
        <w:rPr>
          <w:rFonts w:cs="Arial"/>
          <w:b/>
          <w:sz w:val="28"/>
          <w:szCs w:val="24"/>
          <w:lang w:val="es-NI"/>
        </w:rPr>
        <w:t xml:space="preserve"> </w:t>
      </w:r>
      <w:r w:rsidRPr="00B8712F">
        <w:rPr>
          <w:rFonts w:cs="Arial"/>
          <w:b/>
          <w:sz w:val="28"/>
          <w:szCs w:val="24"/>
          <w:lang w:val="es-NI"/>
        </w:rPr>
        <w:t xml:space="preserve">del aborto espontaneo en el </w:t>
      </w:r>
      <w:r w:rsidR="00B7662A" w:rsidRPr="00B8712F">
        <w:rPr>
          <w:rFonts w:cs="Arial"/>
          <w:b/>
          <w:sz w:val="28"/>
          <w:szCs w:val="24"/>
          <w:lang w:val="es-NI"/>
        </w:rPr>
        <w:t xml:space="preserve">primer trimestre en América Latina: Una revisión sistemática </w:t>
      </w:r>
    </w:p>
    <w:p w14:paraId="46641B38" w14:textId="77777777" w:rsidR="000D3DAF" w:rsidRPr="00B8712F" w:rsidRDefault="000D3DAF" w:rsidP="000D3DAF">
      <w:pPr>
        <w:spacing w:line="256" w:lineRule="auto"/>
        <w:rPr>
          <w:rFonts w:cs="Arial"/>
          <w:szCs w:val="24"/>
          <w:lang w:val="es-NI"/>
        </w:rPr>
      </w:pPr>
    </w:p>
    <w:p w14:paraId="097510A2" w14:textId="77777777" w:rsidR="000D3DAF" w:rsidRPr="00B8712F" w:rsidRDefault="000D3DAF" w:rsidP="000D3DAF">
      <w:pPr>
        <w:rPr>
          <w:b/>
          <w:lang w:val="es-NI"/>
        </w:rPr>
      </w:pPr>
      <w:r w:rsidRPr="00B8712F">
        <w:rPr>
          <w:b/>
          <w:lang w:val="es-NI"/>
        </w:rPr>
        <w:t>Autores:</w:t>
      </w:r>
    </w:p>
    <w:p w14:paraId="279B134C" w14:textId="03400761" w:rsidR="00DB6A07" w:rsidRPr="00B8712F" w:rsidRDefault="00DB6A07" w:rsidP="000D3DAF">
      <w:pPr>
        <w:rPr>
          <w:lang w:val="es-NI"/>
        </w:rPr>
      </w:pPr>
      <w:r>
        <w:rPr>
          <w:lang w:val="es-NI"/>
        </w:rPr>
        <w:t>Br.</w:t>
      </w:r>
      <w:r w:rsidR="00B7662A" w:rsidRPr="00B8712F">
        <w:rPr>
          <w:lang w:val="es-NI"/>
        </w:rPr>
        <w:t>Jeskania Mercedes González Alonzo</w:t>
      </w:r>
    </w:p>
    <w:p w14:paraId="1C6547F8" w14:textId="65A66C0C" w:rsidR="00B7662A" w:rsidRPr="00B8712F" w:rsidRDefault="00DB6A07" w:rsidP="00DB6A07">
      <w:pPr>
        <w:rPr>
          <w:lang w:val="es-NI"/>
        </w:rPr>
      </w:pPr>
      <w:r>
        <w:rPr>
          <w:lang w:val="es-NI"/>
        </w:rPr>
        <w:t>Br.</w:t>
      </w:r>
      <w:r w:rsidR="00B7662A" w:rsidRPr="00B8712F">
        <w:rPr>
          <w:lang w:val="es-NI"/>
        </w:rPr>
        <w:t>William Josué Zú</w:t>
      </w:r>
      <w:r w:rsidR="001904D9" w:rsidRPr="00B8712F">
        <w:rPr>
          <w:lang w:val="es-NI"/>
        </w:rPr>
        <w:t>n</w:t>
      </w:r>
      <w:r w:rsidR="00B7662A" w:rsidRPr="00B8712F">
        <w:rPr>
          <w:lang w:val="es-NI"/>
        </w:rPr>
        <w:t>iga Mairena</w:t>
      </w:r>
    </w:p>
    <w:p w14:paraId="0C2E9498" w14:textId="77777777" w:rsidR="00DB6A07" w:rsidRDefault="00DB6A07" w:rsidP="000D3DAF">
      <w:pPr>
        <w:rPr>
          <w:b/>
          <w:lang w:val="es-NI"/>
        </w:rPr>
      </w:pPr>
    </w:p>
    <w:p w14:paraId="40E76CF6" w14:textId="618EAF89" w:rsidR="000D3DAF" w:rsidRDefault="000D3DAF" w:rsidP="000D3DAF">
      <w:pPr>
        <w:rPr>
          <w:b/>
          <w:lang w:val="es-NI"/>
        </w:rPr>
      </w:pPr>
      <w:r w:rsidRPr="00B8712F">
        <w:rPr>
          <w:b/>
          <w:lang w:val="es-NI"/>
        </w:rPr>
        <w:t>Tutor Científico:</w:t>
      </w:r>
    </w:p>
    <w:p w14:paraId="35E48587" w14:textId="77777777" w:rsidR="00E21B40" w:rsidRPr="00E21B40" w:rsidRDefault="00E21B40" w:rsidP="00E21B40">
      <w:pPr>
        <w:rPr>
          <w:bCs/>
          <w:lang w:val="es-NI"/>
        </w:rPr>
      </w:pPr>
      <w:r w:rsidRPr="00E21B40">
        <w:rPr>
          <w:bCs/>
          <w:lang w:val="es-NI"/>
        </w:rPr>
        <w:t>Dr. José Antonio Medrano Martínez</w:t>
      </w:r>
    </w:p>
    <w:p w14:paraId="39F10F35" w14:textId="654D7E2C" w:rsidR="00E21B40" w:rsidRPr="00E21B40" w:rsidRDefault="00E21B40" w:rsidP="00E21B40">
      <w:pPr>
        <w:rPr>
          <w:bCs/>
          <w:lang w:val="es-NI"/>
        </w:rPr>
      </w:pPr>
      <w:r>
        <w:rPr>
          <w:bCs/>
          <w:lang w:val="es-NI"/>
        </w:rPr>
        <w:t>Especialista en Ginecología y obstetricia</w:t>
      </w:r>
    </w:p>
    <w:p w14:paraId="094BE81F" w14:textId="77777777" w:rsidR="000D3DAF" w:rsidRPr="00B8712F" w:rsidRDefault="000D3DAF" w:rsidP="000D3DAF">
      <w:pPr>
        <w:spacing w:line="256" w:lineRule="auto"/>
        <w:jc w:val="right"/>
        <w:rPr>
          <w:rFonts w:cs="Arial"/>
          <w:sz w:val="28"/>
          <w:lang w:val="es-NI"/>
        </w:rPr>
      </w:pPr>
    </w:p>
    <w:p w14:paraId="40149D11" w14:textId="77777777" w:rsidR="000D3DAF" w:rsidRPr="00B8712F" w:rsidRDefault="000D3DAF" w:rsidP="000D3DAF">
      <w:pPr>
        <w:spacing w:line="256" w:lineRule="auto"/>
        <w:jc w:val="center"/>
        <w:rPr>
          <w:rFonts w:cs="Arial"/>
          <w:sz w:val="28"/>
          <w:lang w:val="es-NI"/>
        </w:rPr>
      </w:pPr>
    </w:p>
    <w:p w14:paraId="734EFF82" w14:textId="5130CBC8" w:rsidR="0032432F" w:rsidRDefault="000D3DAF" w:rsidP="00B7662A">
      <w:pPr>
        <w:jc w:val="center"/>
        <w:rPr>
          <w:lang w:val="es-NI"/>
        </w:rPr>
      </w:pPr>
      <w:r w:rsidRPr="00B8712F">
        <w:rPr>
          <w:lang w:val="es-NI"/>
        </w:rPr>
        <w:t xml:space="preserve">Managua, Nicaragua, </w:t>
      </w:r>
      <w:r w:rsidR="00DB6A07">
        <w:rPr>
          <w:lang w:val="es-NI"/>
        </w:rPr>
        <w:t>Agosto</w:t>
      </w:r>
      <w:r w:rsidR="00E21B40">
        <w:rPr>
          <w:lang w:val="es-NI"/>
        </w:rPr>
        <w:t xml:space="preserve"> 2026</w:t>
      </w:r>
    </w:p>
    <w:p w14:paraId="17423667" w14:textId="77777777" w:rsidR="0032432F" w:rsidRDefault="0032432F" w:rsidP="0032432F">
      <w:pPr>
        <w:pStyle w:val="Ttulo1"/>
        <w:rPr>
          <w:lang w:val="es-NI"/>
        </w:rPr>
        <w:sectPr w:rsidR="0032432F" w:rsidSect="000D3DAF">
          <w:footerReference w:type="default" r:id="rId9"/>
          <w:pgSz w:w="12240" w:h="15840"/>
          <w:pgMar w:top="1417" w:right="1701" w:bottom="1417" w:left="1701" w:header="708" w:footer="708" w:gutter="0"/>
          <w:pgNumType w:start="1"/>
          <w:cols w:space="708"/>
          <w:docGrid w:linePitch="360"/>
        </w:sectPr>
      </w:pPr>
    </w:p>
    <w:p w14:paraId="32B3124B" w14:textId="2ADF601E" w:rsidR="008536F7" w:rsidRPr="008536F7" w:rsidRDefault="008536F7" w:rsidP="008536F7">
      <w:pPr>
        <w:jc w:val="center"/>
        <w:rPr>
          <w:b/>
          <w:bCs/>
          <w:sz w:val="28"/>
          <w:szCs w:val="24"/>
          <w:lang w:val="es-NI"/>
        </w:rPr>
      </w:pPr>
      <w:r w:rsidRPr="008536F7">
        <w:rPr>
          <w:b/>
          <w:bCs/>
          <w:sz w:val="28"/>
          <w:szCs w:val="24"/>
          <w:lang w:val="es-NI"/>
        </w:rPr>
        <w:lastRenderedPageBreak/>
        <w:t>DEDICATORIA</w:t>
      </w:r>
    </w:p>
    <w:p w14:paraId="5C391004" w14:textId="77777777" w:rsidR="002D02B9" w:rsidRPr="002D02B9" w:rsidRDefault="002D02B9" w:rsidP="002D02B9">
      <w:pPr>
        <w:rPr>
          <w:lang w:val="es-NI"/>
        </w:rPr>
      </w:pPr>
      <w:r w:rsidRPr="002D02B9">
        <w:rPr>
          <w:lang w:val="es-NI"/>
        </w:rPr>
        <w:t>Primeramente, dedico este logro a Dios Todopoderoso y a la Virgen María, por bendecirme, iluminar mi camino y darme la fortaleza necesaria para no rendirme en los momentos difíciles. Gracias por acompañarme siempre y permitirme alcanzar esta meta tan importante en mi vida.</w:t>
      </w:r>
    </w:p>
    <w:p w14:paraId="69E66C2E" w14:textId="77777777" w:rsidR="002D02B9" w:rsidRPr="002D02B9" w:rsidRDefault="002D02B9" w:rsidP="002D02B9">
      <w:pPr>
        <w:rPr>
          <w:lang w:val="es-NI"/>
        </w:rPr>
      </w:pPr>
      <w:r w:rsidRPr="002D02B9">
        <w:rPr>
          <w:lang w:val="es-NI"/>
        </w:rPr>
        <w:t>A mi querida madre, Luisa Amalia Alonzo Cano, quien ha sido mi guía, mi paño de lágrimas y mi fuerza para seguir luchando cada día. Gracias por su amor incondicional, sus sacrificios, sus consejos y por nunca soltar mi mano aun en los momentos más difíciles. Este triunfo también le pertenece a usted.</w:t>
      </w:r>
    </w:p>
    <w:p w14:paraId="3AAC7C6B" w14:textId="77777777" w:rsidR="002D02B9" w:rsidRPr="002D02B9" w:rsidRDefault="002D02B9" w:rsidP="002D02B9">
      <w:pPr>
        <w:rPr>
          <w:lang w:val="es-NI"/>
        </w:rPr>
      </w:pPr>
      <w:r w:rsidRPr="002D02B9">
        <w:rPr>
          <w:lang w:val="es-NI"/>
        </w:rPr>
        <w:t>A mis herman@s, por su apoyo, comprensión y palabras de aliento durante este largo camino académico. Gracias por creer en mí y motivarme a seguir adelante.</w:t>
      </w:r>
    </w:p>
    <w:p w14:paraId="40F65348" w14:textId="278557D2" w:rsidR="008536F7" w:rsidRDefault="002D02B9" w:rsidP="002D02B9">
      <w:pPr>
        <w:rPr>
          <w:lang w:val="es-NI"/>
        </w:rPr>
      </w:pPr>
      <w:r w:rsidRPr="002D02B9">
        <w:rPr>
          <w:lang w:val="es-NI"/>
        </w:rPr>
        <w:t>Y en memoria de mi amado padre, René Augusto González Morales, quien fue mi inspiración y mi pilar fundamental. Aunque ya no esté físicamente conmigo, su amor, enseñanzas y recuerdo viven eternamente en mi corazón. Este logro está dedicado también a usted, con profundo amor y gratitud.</w:t>
      </w:r>
    </w:p>
    <w:p w14:paraId="6FB14341" w14:textId="77777777" w:rsidR="002D02B9" w:rsidRPr="00B8712F" w:rsidRDefault="002D02B9" w:rsidP="002D02B9">
      <w:pPr>
        <w:jc w:val="right"/>
        <w:rPr>
          <w:lang w:val="es-NI"/>
        </w:rPr>
      </w:pPr>
      <w:r w:rsidRPr="00B8712F">
        <w:rPr>
          <w:lang w:val="es-NI"/>
        </w:rPr>
        <w:t>Jeskania Mercedes González Alonzo</w:t>
      </w:r>
    </w:p>
    <w:p w14:paraId="3B9B8D7C" w14:textId="598FAFD4" w:rsidR="008536F7" w:rsidRDefault="008536F7" w:rsidP="008536F7">
      <w:pPr>
        <w:rPr>
          <w:lang w:val="es-NI"/>
        </w:rPr>
      </w:pPr>
    </w:p>
    <w:p w14:paraId="7859336D" w14:textId="0D7BF280" w:rsidR="008536F7" w:rsidRDefault="008536F7" w:rsidP="008536F7">
      <w:pPr>
        <w:rPr>
          <w:lang w:val="es-NI"/>
        </w:rPr>
      </w:pPr>
    </w:p>
    <w:p w14:paraId="6712D7D0" w14:textId="58EE330F" w:rsidR="002D02B9" w:rsidRDefault="002D02B9" w:rsidP="008536F7">
      <w:pPr>
        <w:rPr>
          <w:lang w:val="es-NI"/>
        </w:rPr>
      </w:pPr>
    </w:p>
    <w:p w14:paraId="4529A0E3" w14:textId="690E0785" w:rsidR="002D02B9" w:rsidRDefault="002D02B9" w:rsidP="008536F7">
      <w:pPr>
        <w:rPr>
          <w:lang w:val="es-NI"/>
        </w:rPr>
      </w:pPr>
    </w:p>
    <w:p w14:paraId="5A435819" w14:textId="6497AEAA" w:rsidR="002D02B9" w:rsidRDefault="002D02B9" w:rsidP="008536F7">
      <w:pPr>
        <w:rPr>
          <w:lang w:val="es-NI"/>
        </w:rPr>
      </w:pPr>
    </w:p>
    <w:p w14:paraId="2A14AC11" w14:textId="7619C8C3" w:rsidR="002D02B9" w:rsidRDefault="002D02B9" w:rsidP="008536F7">
      <w:pPr>
        <w:rPr>
          <w:lang w:val="es-NI"/>
        </w:rPr>
      </w:pPr>
    </w:p>
    <w:p w14:paraId="5637D0B5" w14:textId="364E90F0" w:rsidR="002D02B9" w:rsidRDefault="002D02B9" w:rsidP="008536F7">
      <w:pPr>
        <w:rPr>
          <w:lang w:val="es-NI"/>
        </w:rPr>
      </w:pPr>
    </w:p>
    <w:p w14:paraId="7F1B1137" w14:textId="45BCBCC2" w:rsidR="002D02B9" w:rsidRDefault="002D02B9" w:rsidP="008536F7">
      <w:pPr>
        <w:rPr>
          <w:lang w:val="es-NI"/>
        </w:rPr>
      </w:pPr>
    </w:p>
    <w:p w14:paraId="74A23F0E" w14:textId="29F0F849" w:rsidR="002D02B9" w:rsidRDefault="002D02B9" w:rsidP="008536F7">
      <w:pPr>
        <w:rPr>
          <w:lang w:val="es-NI"/>
        </w:rPr>
      </w:pPr>
    </w:p>
    <w:p w14:paraId="5550F443" w14:textId="77777777" w:rsidR="002D02B9" w:rsidRPr="008536F7" w:rsidRDefault="002D02B9" w:rsidP="002D02B9">
      <w:pPr>
        <w:jc w:val="center"/>
        <w:rPr>
          <w:b/>
          <w:bCs/>
          <w:sz w:val="28"/>
          <w:szCs w:val="24"/>
          <w:lang w:val="es-NI"/>
        </w:rPr>
      </w:pPr>
      <w:r w:rsidRPr="008536F7">
        <w:rPr>
          <w:b/>
          <w:bCs/>
          <w:sz w:val="28"/>
          <w:szCs w:val="24"/>
          <w:lang w:val="es-NI"/>
        </w:rPr>
        <w:lastRenderedPageBreak/>
        <w:t>DEDICATORIA</w:t>
      </w:r>
    </w:p>
    <w:p w14:paraId="44E71993" w14:textId="77777777" w:rsidR="002D02B9" w:rsidRPr="0088357D" w:rsidRDefault="002D02B9" w:rsidP="002D02B9">
      <w:pPr>
        <w:rPr>
          <w:lang w:val="es-NI"/>
        </w:rPr>
      </w:pPr>
      <w:r w:rsidRPr="0088357D">
        <w:rPr>
          <w:lang w:val="es-NI"/>
        </w:rPr>
        <w:t>A Dios, fuente de sabiduría y fortaleza, por sostenerme en cada noche de estudio, por darme salud y por no soltarme en los momentos difíciles de esta carrera.</w:t>
      </w:r>
    </w:p>
    <w:p w14:paraId="70CCE60E" w14:textId="77777777" w:rsidR="002D02B9" w:rsidRPr="0088357D" w:rsidRDefault="002D02B9" w:rsidP="002D02B9">
      <w:pPr>
        <w:rPr>
          <w:lang w:val="es-NI"/>
        </w:rPr>
      </w:pPr>
      <w:r w:rsidRPr="0088357D">
        <w:rPr>
          <w:lang w:val="es-NI"/>
        </w:rPr>
        <w:t>A mi madre, María Janet Mairena Pastora, por su lucha incansable, su amor incondicional y por ser el pilar que me sostuvo durante los 7 años de medicina. Gracias por cada sacrificio silencioso, por tus consejos y por creer en mí incluso cuando yo dudaba.</w:t>
      </w:r>
    </w:p>
    <w:p w14:paraId="7FA29620" w14:textId="77777777" w:rsidR="002D02B9" w:rsidRPr="0088357D" w:rsidRDefault="002D02B9" w:rsidP="002D02B9">
      <w:pPr>
        <w:rPr>
          <w:lang w:val="es-NI"/>
        </w:rPr>
      </w:pPr>
      <w:r w:rsidRPr="0088357D">
        <w:rPr>
          <w:lang w:val="es-NI"/>
        </w:rPr>
        <w:t>A mi padre, William Josué Zuniga López, por tu apoyo, tu ejemplo de trabajo y por enseñarme el valor del esfuerzo para alcanzar las metas.</w:t>
      </w:r>
    </w:p>
    <w:p w14:paraId="1B665153" w14:textId="155DF06A" w:rsidR="002D02B9" w:rsidRPr="0088357D" w:rsidRDefault="002D02B9" w:rsidP="002D02B9">
      <w:pPr>
        <w:rPr>
          <w:lang w:val="es-NI"/>
        </w:rPr>
      </w:pPr>
      <w:r w:rsidRPr="0088357D">
        <w:rPr>
          <w:lang w:val="es-NI"/>
        </w:rPr>
        <w:t xml:space="preserve">A mis hermanos, Jenny </w:t>
      </w:r>
      <w:r w:rsidR="000A215B" w:rsidRPr="0088357D">
        <w:rPr>
          <w:lang w:val="es-NI"/>
        </w:rPr>
        <w:t>Téllez</w:t>
      </w:r>
      <w:r w:rsidRPr="0088357D">
        <w:rPr>
          <w:lang w:val="es-NI"/>
        </w:rPr>
        <w:t xml:space="preserve"> y </w:t>
      </w:r>
      <w:r w:rsidR="000A215B" w:rsidRPr="0088357D">
        <w:rPr>
          <w:lang w:val="es-NI"/>
        </w:rPr>
        <w:t>John</w:t>
      </w:r>
      <w:r w:rsidRPr="0088357D">
        <w:rPr>
          <w:lang w:val="es-NI"/>
        </w:rPr>
        <w:t xml:space="preserve"> Zuniga, por estar a mi lado, por sus palabras de aliento y por compartir conmigo las alegrías y el cansancio de este camino.</w:t>
      </w:r>
    </w:p>
    <w:p w14:paraId="3F4A8ED5" w14:textId="77777777" w:rsidR="002D02B9" w:rsidRPr="0088357D" w:rsidRDefault="002D02B9" w:rsidP="002D02B9">
      <w:pPr>
        <w:rPr>
          <w:lang w:val="es-NI"/>
        </w:rPr>
      </w:pPr>
      <w:r w:rsidRPr="0088357D">
        <w:rPr>
          <w:lang w:val="es-NI"/>
        </w:rPr>
        <w:t>A mi mamita, Petrona López Téllez, por su cariño infinito, sus oraciones constantes y por ser ese abrazo que me daba fuerza para seguir adelante.</w:t>
      </w:r>
    </w:p>
    <w:p w14:paraId="2A564544" w14:textId="77777777" w:rsidR="002D02B9" w:rsidRDefault="002D02B9" w:rsidP="002D02B9">
      <w:pPr>
        <w:rPr>
          <w:lang w:val="es-NI"/>
        </w:rPr>
      </w:pPr>
      <w:r w:rsidRPr="0088357D">
        <w:rPr>
          <w:lang w:val="es-NI"/>
        </w:rPr>
        <w:t>A mi papá , José Del Carmen Ortiz, cuya memoria honró hoy .Gracias por ser uno de mis primeros pacientes y por permitirme ejercer la medicina en ti. Fuiste la razón por la que entendí que esta profesión se ejerce con amor y empatía, incluso en los últimos momentos de vida. En tu memoria seguiré atendiendo a cada paciente con el mismo respeto y dedicación.</w:t>
      </w:r>
    </w:p>
    <w:p w14:paraId="4AAC0AE8" w14:textId="77777777" w:rsidR="002D02B9" w:rsidRDefault="002D02B9" w:rsidP="002D02B9">
      <w:pPr>
        <w:jc w:val="right"/>
        <w:rPr>
          <w:lang w:val="es-NI"/>
        </w:rPr>
      </w:pPr>
      <w:r w:rsidRPr="0088357D">
        <w:rPr>
          <w:lang w:val="es-NI"/>
        </w:rPr>
        <w:t>William Josué Zúniga Mairena</w:t>
      </w:r>
    </w:p>
    <w:p w14:paraId="3C989709" w14:textId="77777777" w:rsidR="002D02B9" w:rsidRDefault="002D02B9" w:rsidP="008536F7">
      <w:pPr>
        <w:rPr>
          <w:lang w:val="es-NI"/>
        </w:rPr>
      </w:pPr>
    </w:p>
    <w:p w14:paraId="0CB35F85" w14:textId="58641DD3" w:rsidR="002D02B9" w:rsidRDefault="002D02B9" w:rsidP="008536F7">
      <w:pPr>
        <w:rPr>
          <w:lang w:val="es-NI"/>
        </w:rPr>
      </w:pPr>
    </w:p>
    <w:p w14:paraId="13D8FD73" w14:textId="067FD76F" w:rsidR="002D02B9" w:rsidRDefault="002D02B9" w:rsidP="008536F7">
      <w:pPr>
        <w:rPr>
          <w:lang w:val="es-NI"/>
        </w:rPr>
      </w:pPr>
    </w:p>
    <w:p w14:paraId="717868B4" w14:textId="3355C81D" w:rsidR="002D02B9" w:rsidRDefault="002D02B9" w:rsidP="008536F7">
      <w:pPr>
        <w:rPr>
          <w:lang w:val="es-NI"/>
        </w:rPr>
      </w:pPr>
    </w:p>
    <w:p w14:paraId="7CEACAC9" w14:textId="77777777" w:rsidR="002D02B9" w:rsidRDefault="002D02B9" w:rsidP="008536F7">
      <w:pPr>
        <w:rPr>
          <w:lang w:val="es-NI"/>
        </w:rPr>
      </w:pPr>
    </w:p>
    <w:p w14:paraId="32D7109A" w14:textId="7FA4C101" w:rsidR="008536F7" w:rsidRDefault="008536F7" w:rsidP="008536F7">
      <w:pPr>
        <w:rPr>
          <w:lang w:val="es-NI"/>
        </w:rPr>
      </w:pPr>
    </w:p>
    <w:p w14:paraId="6E8D3421" w14:textId="3A15BE10" w:rsidR="008536F7" w:rsidRDefault="008536F7" w:rsidP="008536F7">
      <w:pPr>
        <w:rPr>
          <w:lang w:val="es-NI"/>
        </w:rPr>
      </w:pPr>
    </w:p>
    <w:p w14:paraId="1D92225A" w14:textId="5035F4E6" w:rsidR="008536F7" w:rsidRPr="008536F7" w:rsidRDefault="008536F7" w:rsidP="008536F7">
      <w:pPr>
        <w:jc w:val="center"/>
        <w:rPr>
          <w:b/>
          <w:bCs/>
          <w:sz w:val="28"/>
          <w:szCs w:val="24"/>
          <w:lang w:val="es-NI"/>
        </w:rPr>
      </w:pPr>
      <w:r w:rsidRPr="008536F7">
        <w:rPr>
          <w:b/>
          <w:bCs/>
          <w:sz w:val="28"/>
          <w:szCs w:val="24"/>
          <w:lang w:val="es-NI"/>
        </w:rPr>
        <w:lastRenderedPageBreak/>
        <w:t>AGRADECIMIENTOS</w:t>
      </w:r>
    </w:p>
    <w:p w14:paraId="10F9D130" w14:textId="77777777" w:rsidR="002D02B9" w:rsidRPr="002D02B9" w:rsidRDefault="002D02B9" w:rsidP="002D02B9">
      <w:pPr>
        <w:rPr>
          <w:lang w:val="es-NI"/>
        </w:rPr>
      </w:pPr>
      <w:r w:rsidRPr="002D02B9">
        <w:rPr>
          <w:lang w:val="es-NI"/>
        </w:rPr>
        <w:t>Primeramente, agradezco a Dios Todopoderoso por darme la vida, la sabiduría, la fortaleza y la perseverancia necesarias para culminar esta importante etapa de mi vida profesional. Sin su guía y bendiciones, nada de esto habría sido posible.</w:t>
      </w:r>
    </w:p>
    <w:p w14:paraId="5ADAE851" w14:textId="77777777" w:rsidR="002D02B9" w:rsidRPr="002D02B9" w:rsidRDefault="002D02B9" w:rsidP="002D02B9">
      <w:pPr>
        <w:rPr>
          <w:lang w:val="es-NI"/>
        </w:rPr>
      </w:pPr>
      <w:r w:rsidRPr="002D02B9">
        <w:rPr>
          <w:lang w:val="es-NI"/>
        </w:rPr>
        <w:t>A mi querida madre, Luisa Amalia Alonzo Cano, le agradezco profundamente por su amor incondicional, sus sacrificios, su apoyo constante y por ser siempre mi mayor ejemplo de lucha y fortaleza. Gracias por acompañarme en cada momento difícil y por impulsarme a nunca rendirme.</w:t>
      </w:r>
    </w:p>
    <w:p w14:paraId="1B0F4904" w14:textId="77777777" w:rsidR="002D02B9" w:rsidRPr="002D02B9" w:rsidRDefault="002D02B9" w:rsidP="002D02B9">
      <w:pPr>
        <w:rPr>
          <w:lang w:val="es-NI"/>
        </w:rPr>
      </w:pPr>
      <w:r w:rsidRPr="002D02B9">
        <w:rPr>
          <w:lang w:val="es-NI"/>
        </w:rPr>
        <w:t>En memoria de mi amado padre, René Augusto González Morales, agradezco cada enseñanza, consejo y valor que sembró en mi vida. Aunque físicamente ya no se encuentre conmigo, su recuerdo ha sido mi inspiración y motivación para seguir adelante y alcanzar esta meta.</w:t>
      </w:r>
    </w:p>
    <w:p w14:paraId="3470CCE9" w14:textId="77777777" w:rsidR="002D02B9" w:rsidRPr="002D02B9" w:rsidRDefault="002D02B9" w:rsidP="002D02B9">
      <w:pPr>
        <w:rPr>
          <w:lang w:val="es-NI"/>
        </w:rPr>
      </w:pPr>
      <w:r w:rsidRPr="002D02B9">
        <w:rPr>
          <w:lang w:val="es-NI"/>
        </w:rPr>
        <w:t>Expreso también mi más sincero agradecimiento a la universidad UNIDES, por abrirme las puertas del conocimiento y permitirme formarme como profesional.</w:t>
      </w:r>
    </w:p>
    <w:p w14:paraId="6671D1CC" w14:textId="77777777" w:rsidR="002D02B9" w:rsidRPr="002D02B9" w:rsidRDefault="002D02B9" w:rsidP="002D02B9">
      <w:pPr>
        <w:rPr>
          <w:lang w:val="es-NI"/>
        </w:rPr>
      </w:pPr>
      <w:r w:rsidRPr="002D02B9">
        <w:rPr>
          <w:lang w:val="es-NI"/>
        </w:rPr>
        <w:t>De igual manera, agradezco a cada uno de mis maestros, quienes fueron una pieza fundamental en mi formación académica y profesional. Gracias por compartir sus conocimientos, experiencias y enseñanzas, las cuales contribuirán siempre en mi crecimiento personal y laboral.</w:t>
      </w:r>
    </w:p>
    <w:p w14:paraId="378A6011" w14:textId="77777777" w:rsidR="002D02B9" w:rsidRDefault="002D02B9" w:rsidP="002D02B9">
      <w:pPr>
        <w:rPr>
          <w:lang w:val="es-NI"/>
        </w:rPr>
      </w:pPr>
      <w:r w:rsidRPr="002D02B9">
        <w:rPr>
          <w:lang w:val="es-NI"/>
        </w:rPr>
        <w:t>A todas las personas que de una u otra manera me brindaron su apoyo durante este proceso, muchas gracias.</w:t>
      </w:r>
    </w:p>
    <w:p w14:paraId="529447AA" w14:textId="77777777" w:rsidR="002D02B9" w:rsidRPr="00B8712F" w:rsidRDefault="002D02B9" w:rsidP="002D02B9">
      <w:pPr>
        <w:jc w:val="right"/>
        <w:rPr>
          <w:lang w:val="es-NI"/>
        </w:rPr>
      </w:pPr>
      <w:r w:rsidRPr="00B8712F">
        <w:rPr>
          <w:lang w:val="es-NI"/>
        </w:rPr>
        <w:t>Jeskania Mercedes González Alonzo</w:t>
      </w:r>
    </w:p>
    <w:p w14:paraId="647FAC17" w14:textId="6EF9939B" w:rsidR="002D02B9" w:rsidRDefault="002D02B9" w:rsidP="0088357D">
      <w:pPr>
        <w:rPr>
          <w:lang w:val="es-NI"/>
        </w:rPr>
      </w:pPr>
    </w:p>
    <w:p w14:paraId="77A09E23" w14:textId="67DF963B" w:rsidR="002D02B9" w:rsidRDefault="002D02B9" w:rsidP="0088357D">
      <w:pPr>
        <w:rPr>
          <w:lang w:val="es-NI"/>
        </w:rPr>
      </w:pPr>
    </w:p>
    <w:p w14:paraId="07933678" w14:textId="359D55B0" w:rsidR="002D02B9" w:rsidRDefault="002D02B9" w:rsidP="0088357D">
      <w:pPr>
        <w:rPr>
          <w:lang w:val="es-NI"/>
        </w:rPr>
      </w:pPr>
    </w:p>
    <w:p w14:paraId="6FED0E56" w14:textId="744BEB6E" w:rsidR="002D02B9" w:rsidRDefault="002D02B9" w:rsidP="0088357D">
      <w:pPr>
        <w:rPr>
          <w:lang w:val="es-NI"/>
        </w:rPr>
      </w:pPr>
    </w:p>
    <w:p w14:paraId="1F93D446" w14:textId="054337E8" w:rsidR="002D02B9" w:rsidRDefault="002D02B9" w:rsidP="0088357D">
      <w:pPr>
        <w:rPr>
          <w:lang w:val="es-NI"/>
        </w:rPr>
      </w:pPr>
    </w:p>
    <w:p w14:paraId="7EC474C7" w14:textId="51C0EAA8" w:rsidR="002D02B9" w:rsidRDefault="002D02B9" w:rsidP="000A215B">
      <w:pPr>
        <w:jc w:val="center"/>
        <w:rPr>
          <w:lang w:val="es-NI"/>
        </w:rPr>
      </w:pPr>
      <w:r w:rsidRPr="008536F7">
        <w:rPr>
          <w:b/>
          <w:bCs/>
          <w:sz w:val="28"/>
          <w:szCs w:val="24"/>
          <w:lang w:val="es-NI"/>
        </w:rPr>
        <w:lastRenderedPageBreak/>
        <w:t>AGRADECIMIENTOS</w:t>
      </w:r>
    </w:p>
    <w:p w14:paraId="231D900F" w14:textId="6928FD06" w:rsidR="0088357D" w:rsidRPr="0088357D" w:rsidRDefault="0088357D" w:rsidP="0088357D">
      <w:pPr>
        <w:rPr>
          <w:lang w:val="es-NI"/>
        </w:rPr>
      </w:pPr>
      <w:r w:rsidRPr="0088357D">
        <w:rPr>
          <w:lang w:val="es-NI"/>
        </w:rPr>
        <w:t>A Dios, ser supremo y trinidad única, fuente de toda sabiduría y fortaleza. Gracias por sostenerme en cada noche de estudio, por darme salud, paciencia y fe para no rendirme en los momentos más difíciles de esta carrera.</w:t>
      </w:r>
    </w:p>
    <w:p w14:paraId="402C64A5" w14:textId="77777777" w:rsidR="0088357D" w:rsidRPr="0088357D" w:rsidRDefault="0088357D" w:rsidP="0088357D">
      <w:pPr>
        <w:rPr>
          <w:lang w:val="es-NI"/>
        </w:rPr>
      </w:pPr>
      <w:r w:rsidRPr="0088357D">
        <w:rPr>
          <w:lang w:val="es-NI"/>
        </w:rPr>
        <w:t>Sin ti, nada de esto sería posible.</w:t>
      </w:r>
    </w:p>
    <w:p w14:paraId="4D9734C1" w14:textId="77777777" w:rsidR="0088357D" w:rsidRPr="0088357D" w:rsidRDefault="0088357D" w:rsidP="0088357D">
      <w:pPr>
        <w:rPr>
          <w:lang w:val="es-NI"/>
        </w:rPr>
      </w:pPr>
      <w:r w:rsidRPr="0088357D">
        <w:rPr>
          <w:lang w:val="es-NI"/>
        </w:rPr>
        <w:t>A mi madre, María Janet Mairena Pastora</w:t>
      </w:r>
    </w:p>
    <w:p w14:paraId="3CCFAD7A" w14:textId="77777777" w:rsidR="0088357D" w:rsidRPr="0088357D" w:rsidRDefault="0088357D" w:rsidP="0088357D">
      <w:pPr>
        <w:rPr>
          <w:lang w:val="es-NI"/>
        </w:rPr>
      </w:pPr>
      <w:r w:rsidRPr="0088357D">
        <w:rPr>
          <w:lang w:val="es-NI"/>
        </w:rPr>
        <w:t>A ti, mamá, te debo todo lo que soy y todo lo que he logrado. Durante estos 7 años fuiste mi pilar inquebrantable. Te vi madrugar y trasnochar trabajando sin descanso, renunciando a tus propias necesidades para que a mí no me faltara nada. Cargaste con preocupaciones que nunca me dejaste ver, y convertiste cada dificultad en un motivo para impulsarme hacia adelante.</w:t>
      </w:r>
    </w:p>
    <w:p w14:paraId="4100F76B" w14:textId="38C60A9C" w:rsidR="008536F7" w:rsidRDefault="0088357D" w:rsidP="0088357D">
      <w:pPr>
        <w:rPr>
          <w:lang w:val="es-NI"/>
        </w:rPr>
      </w:pPr>
      <w:r w:rsidRPr="0088357D">
        <w:rPr>
          <w:lang w:val="es-NI"/>
        </w:rPr>
        <w:t>Gracias por tu amor incondicional, por tu fe ciega en mí incluso cuando yo dudaba, y por sostenerme con palabras de aliento en los días más cansados. Tu esfuerzo incansable, tu entrega silenciosa y tu sacrificio constante fueron el motor que me permitió llegar hasta aquí.</w:t>
      </w:r>
    </w:p>
    <w:p w14:paraId="17CAF37F" w14:textId="77777777" w:rsidR="0088357D" w:rsidRDefault="0088357D" w:rsidP="0088357D">
      <w:pPr>
        <w:jc w:val="right"/>
        <w:rPr>
          <w:lang w:val="es-NI"/>
        </w:rPr>
      </w:pPr>
      <w:r w:rsidRPr="0088357D">
        <w:rPr>
          <w:lang w:val="es-NI"/>
        </w:rPr>
        <w:t>William Josué Zúniga Mairena</w:t>
      </w:r>
    </w:p>
    <w:p w14:paraId="2E030EFA" w14:textId="4662526E" w:rsidR="008536F7" w:rsidRDefault="008536F7" w:rsidP="002D02B9">
      <w:pPr>
        <w:jc w:val="right"/>
        <w:rPr>
          <w:lang w:val="es-NI"/>
        </w:rPr>
      </w:pPr>
    </w:p>
    <w:p w14:paraId="450115FC" w14:textId="55B53E16" w:rsidR="008536F7" w:rsidRDefault="008536F7" w:rsidP="008536F7">
      <w:pPr>
        <w:rPr>
          <w:lang w:val="es-NI"/>
        </w:rPr>
      </w:pPr>
    </w:p>
    <w:p w14:paraId="648A6E3B" w14:textId="77777777" w:rsidR="008536F7" w:rsidRDefault="008536F7" w:rsidP="008536F7">
      <w:pPr>
        <w:rPr>
          <w:lang w:val="es-NI"/>
        </w:rPr>
      </w:pPr>
    </w:p>
    <w:p w14:paraId="4588F539" w14:textId="77777777" w:rsidR="008536F7" w:rsidRPr="008536F7" w:rsidRDefault="008536F7" w:rsidP="008536F7">
      <w:pPr>
        <w:rPr>
          <w:lang w:val="es-NI"/>
        </w:rPr>
      </w:pPr>
    </w:p>
    <w:p w14:paraId="352A0513" w14:textId="77777777" w:rsidR="008536F7" w:rsidRDefault="008536F7" w:rsidP="0032432F">
      <w:pPr>
        <w:pStyle w:val="Ttulo1"/>
        <w:rPr>
          <w:lang w:val="es-NI"/>
        </w:rPr>
        <w:sectPr w:rsidR="008536F7" w:rsidSect="008536F7">
          <w:pgSz w:w="12240" w:h="15840"/>
          <w:pgMar w:top="1417" w:right="1701" w:bottom="1417" w:left="1701" w:header="708" w:footer="708" w:gutter="0"/>
          <w:pgNumType w:fmt="lowerRoman" w:start="1"/>
          <w:cols w:space="708"/>
          <w:docGrid w:linePitch="360"/>
        </w:sectPr>
      </w:pPr>
    </w:p>
    <w:p w14:paraId="6172D65E" w14:textId="6ABB7951" w:rsidR="0032432F" w:rsidRPr="00B8712F" w:rsidRDefault="0032432F" w:rsidP="00124494">
      <w:pPr>
        <w:pStyle w:val="Ttulo1"/>
        <w:spacing w:after="0"/>
        <w:rPr>
          <w:lang w:val="es-NI"/>
        </w:rPr>
      </w:pPr>
      <w:bookmarkStart w:id="0" w:name="_Toc232986970"/>
      <w:r>
        <w:rPr>
          <w:lang w:val="es-NI"/>
        </w:rPr>
        <w:lastRenderedPageBreak/>
        <w:t>Resumen</w:t>
      </w:r>
      <w:bookmarkEnd w:id="0"/>
    </w:p>
    <w:p w14:paraId="7739984F" w14:textId="77777777" w:rsidR="002D13AA" w:rsidRPr="002D13AA" w:rsidRDefault="002D13AA" w:rsidP="00124494">
      <w:pPr>
        <w:spacing w:after="60"/>
        <w:rPr>
          <w:lang w:val="es-NI"/>
        </w:rPr>
      </w:pPr>
      <w:r w:rsidRPr="002D13AA">
        <w:rPr>
          <w:b/>
          <w:bCs/>
          <w:lang w:val="es-NI"/>
        </w:rPr>
        <w:t>Introducción:</w:t>
      </w:r>
      <w:r w:rsidRPr="002D13AA">
        <w:rPr>
          <w:lang w:val="es-NI"/>
        </w:rPr>
        <w:t xml:space="preserve"> El aborto espontáneo del primer trimestre es una causa frecuente de atención obstétrica. El misoprostol constituye una alternativa médica accesible; sin embargo, la síntesis de evidencia de América Latina es limitada, lo que dificulta valorar su incorporación en guías de práctica clínica regionales.</w:t>
      </w:r>
    </w:p>
    <w:p w14:paraId="2A727C39" w14:textId="75D66101" w:rsidR="002D13AA" w:rsidRPr="002D13AA" w:rsidRDefault="002D13AA" w:rsidP="00124494">
      <w:pPr>
        <w:spacing w:after="60"/>
        <w:rPr>
          <w:lang w:val="es-NI"/>
        </w:rPr>
      </w:pPr>
      <w:r w:rsidRPr="002D13AA">
        <w:rPr>
          <w:b/>
          <w:bCs/>
          <w:lang w:val="es-NI"/>
        </w:rPr>
        <w:t>Objetivo:</w:t>
      </w:r>
      <w:r w:rsidRPr="002D13AA">
        <w:rPr>
          <w:lang w:val="es-NI"/>
        </w:rPr>
        <w:t xml:space="preserve"> Evaluar los resultados clínicos del misoprostol para el éxito del manejo del aborto espontáneo del primer trimestre, de forma global y frente a otras estrategias de manejo, en mujeres de América Latina.</w:t>
      </w:r>
    </w:p>
    <w:p w14:paraId="7AF80A7F" w14:textId="259CB1F5" w:rsidR="002D13AA" w:rsidRPr="002D13AA" w:rsidRDefault="002D13AA" w:rsidP="00124494">
      <w:pPr>
        <w:spacing w:after="60"/>
        <w:rPr>
          <w:lang w:val="es-NI"/>
        </w:rPr>
      </w:pPr>
      <w:r w:rsidRPr="00124494">
        <w:rPr>
          <w:b/>
          <w:bCs/>
          <w:lang w:val="es-NI"/>
        </w:rPr>
        <w:t>Método:</w:t>
      </w:r>
      <w:r w:rsidRPr="002D13AA">
        <w:rPr>
          <w:lang w:val="es-NI"/>
        </w:rPr>
        <w:t xml:space="preserve"> Se realizó una revisión sistemática </w:t>
      </w:r>
      <w:r w:rsidR="00124494">
        <w:rPr>
          <w:lang w:val="es-NI"/>
        </w:rPr>
        <w:t xml:space="preserve">y metanálisis </w:t>
      </w:r>
      <w:r w:rsidRPr="002D13AA">
        <w:rPr>
          <w:lang w:val="es-NI"/>
        </w:rPr>
        <w:t xml:space="preserve">conforme </w:t>
      </w:r>
      <w:r w:rsidR="00124494">
        <w:rPr>
          <w:lang w:val="es-NI"/>
        </w:rPr>
        <w:t>a las guías</w:t>
      </w:r>
      <w:r w:rsidRPr="002D13AA">
        <w:rPr>
          <w:lang w:val="es-NI"/>
        </w:rPr>
        <w:t xml:space="preserve"> PRISMA. Se buscaron estudios en cinco fuentes y se incluyeron investigaciones latinoamericanas sobre manejo médico con misoprostol. </w:t>
      </w:r>
      <w:r w:rsidR="00124494">
        <w:rPr>
          <w:lang w:val="es-NI"/>
        </w:rPr>
        <w:t xml:space="preserve">La calidad y </w:t>
      </w:r>
      <w:r w:rsidRPr="002D13AA">
        <w:rPr>
          <w:lang w:val="es-NI"/>
        </w:rPr>
        <w:t>riesgo de sesgo se evaluó con</w:t>
      </w:r>
      <w:r w:rsidR="00124494">
        <w:rPr>
          <w:lang w:val="es-NI"/>
        </w:rPr>
        <w:t xml:space="preserve"> la herramienta</w:t>
      </w:r>
      <w:r w:rsidRPr="002D13AA">
        <w:rPr>
          <w:lang w:val="es-NI"/>
        </w:rPr>
        <w:t xml:space="preserve"> RoB 2 para el ensayo clínico aleatorizado y la escala Newcastle-Ottawa adaptada para estudios observacionales. Se efectuó un metaanálisis de proporciones, con efectos aleatorios, para estimar el éxito del manejo con misoprostol, definido como resolución completa sin intervención adicional.</w:t>
      </w:r>
      <w:r w:rsidR="00124494" w:rsidRPr="00124494">
        <w:rPr>
          <w:lang w:val="es-NI"/>
        </w:rPr>
        <w:t xml:space="preserve"> </w:t>
      </w:r>
      <w:r w:rsidR="00124494" w:rsidRPr="002D13AA">
        <w:rPr>
          <w:lang w:val="es-NI"/>
        </w:rPr>
        <w:t>Los datos disponibles no permitieron estimar comparativamente la eficacia del misoprostol frente a otras alternativas terapéuticas.</w:t>
      </w:r>
    </w:p>
    <w:p w14:paraId="56B2F882" w14:textId="36473A7C" w:rsidR="002D13AA" w:rsidRPr="002D13AA" w:rsidRDefault="002D13AA" w:rsidP="00124494">
      <w:pPr>
        <w:spacing w:after="60"/>
        <w:rPr>
          <w:lang w:val="es-NI"/>
        </w:rPr>
      </w:pPr>
      <w:r w:rsidRPr="002D13AA">
        <w:rPr>
          <w:lang w:val="es-NI"/>
        </w:rPr>
        <w:t>Resultados: De 962 registros identificados, se incluyeron ocho estudios</w:t>
      </w:r>
      <w:r w:rsidR="00124494">
        <w:rPr>
          <w:lang w:val="es-NI"/>
        </w:rPr>
        <w:t xml:space="preserve"> (</w:t>
      </w:r>
      <w:r w:rsidRPr="002D13AA">
        <w:rPr>
          <w:lang w:val="es-NI"/>
        </w:rPr>
        <w:t>cinco artículos y tres tesis</w:t>
      </w:r>
      <w:r w:rsidR="00124494">
        <w:rPr>
          <w:lang w:val="es-NI"/>
        </w:rPr>
        <w:t xml:space="preserve">), de estos 7 </w:t>
      </w:r>
      <w:r w:rsidRPr="002D13AA">
        <w:rPr>
          <w:lang w:val="es-NI"/>
        </w:rPr>
        <w:t xml:space="preserve">estudios, con 698 mujeres tratadas, aportaron datos al metaanálisis. La proporción de éxito fue 92,3% (IC95%: 83,1–96,7) en artículos, 53,5% (IC95%: 30,0–75,5) en tesis y 81,1% (IC95%: 63,8–91,3) en el análisis combinado. La calidad metodológica fue variable, y limitaciones relacionadas con la ausencia de grupos comparadores. </w:t>
      </w:r>
    </w:p>
    <w:p w14:paraId="0239269D" w14:textId="2DE109CF" w:rsidR="002D13AA" w:rsidRPr="002D13AA" w:rsidRDefault="002D13AA" w:rsidP="00124494">
      <w:pPr>
        <w:spacing w:after="60"/>
        <w:rPr>
          <w:lang w:val="es-NI"/>
        </w:rPr>
      </w:pPr>
      <w:r w:rsidRPr="002D13AA">
        <w:rPr>
          <w:lang w:val="es-NI"/>
        </w:rPr>
        <w:t xml:space="preserve">Conclusión: Pese </w:t>
      </w:r>
      <w:r w:rsidR="00124494">
        <w:rPr>
          <w:lang w:val="es-NI"/>
        </w:rPr>
        <w:t xml:space="preserve">a </w:t>
      </w:r>
      <w:r w:rsidRPr="002D13AA">
        <w:rPr>
          <w:lang w:val="es-NI"/>
        </w:rPr>
        <w:t>las limitaciones metodológicas, la proporción global de éxito fue alta, lo que sugiere que el misoprostol es una alternativa factible y eficaz para el manejo del aborto espontáneo del primer trimestre en América Latina. Se requieren estudios comparativos</w:t>
      </w:r>
      <w:r w:rsidR="00124494">
        <w:rPr>
          <w:lang w:val="es-NI"/>
        </w:rPr>
        <w:t xml:space="preserve">, especialmente, ensayos clínicos, </w:t>
      </w:r>
      <w:r w:rsidRPr="002D13AA">
        <w:rPr>
          <w:lang w:val="es-NI"/>
        </w:rPr>
        <w:t>para definir con mayor precisión su eficacia relativa.</w:t>
      </w:r>
    </w:p>
    <w:p w14:paraId="671E15F8" w14:textId="0E09AE4A" w:rsidR="002D13AA" w:rsidRPr="002D13AA" w:rsidRDefault="002D13AA" w:rsidP="00124494">
      <w:pPr>
        <w:spacing w:after="60"/>
        <w:rPr>
          <w:lang w:val="es-NI"/>
        </w:rPr>
      </w:pPr>
      <w:r w:rsidRPr="00124494">
        <w:rPr>
          <w:b/>
          <w:bCs/>
          <w:lang w:val="es-NI"/>
        </w:rPr>
        <w:t>Palabras clave:</w:t>
      </w:r>
      <w:r w:rsidRPr="002D13AA">
        <w:rPr>
          <w:lang w:val="es-NI"/>
        </w:rPr>
        <w:t xml:space="preserve"> Misoprostol;</w:t>
      </w:r>
      <w:r w:rsidR="00124494">
        <w:rPr>
          <w:lang w:val="es-NI"/>
        </w:rPr>
        <w:t xml:space="preserve"> resultados clínicos, </w:t>
      </w:r>
      <w:r w:rsidRPr="002D13AA">
        <w:rPr>
          <w:lang w:val="es-NI"/>
        </w:rPr>
        <w:t>aborto espontáneo;</w:t>
      </w:r>
      <w:r w:rsidR="00124494">
        <w:rPr>
          <w:lang w:val="es-NI"/>
        </w:rPr>
        <w:t xml:space="preserve"> </w:t>
      </w:r>
      <w:r w:rsidRPr="002D13AA">
        <w:rPr>
          <w:lang w:val="es-NI"/>
        </w:rPr>
        <w:t>revisión sistemática</w:t>
      </w:r>
      <w:r w:rsidR="00124494">
        <w:rPr>
          <w:lang w:val="es-NI"/>
        </w:rPr>
        <w:t>, América Latina.</w:t>
      </w:r>
    </w:p>
    <w:p w14:paraId="0AC317DD" w14:textId="71C10B13" w:rsidR="00124494" w:rsidRPr="00124494" w:rsidRDefault="00124494" w:rsidP="00124494">
      <w:pPr>
        <w:pStyle w:val="Ttulo1"/>
        <w:spacing w:after="12"/>
        <w:rPr>
          <w:lang w:val="en-US"/>
        </w:rPr>
      </w:pPr>
      <w:bookmarkStart w:id="1" w:name="_Toc232986971"/>
      <w:r w:rsidRPr="00124494">
        <w:rPr>
          <w:lang w:val="en-US"/>
        </w:rPr>
        <w:lastRenderedPageBreak/>
        <w:t>Abstract</w:t>
      </w:r>
      <w:bookmarkEnd w:id="1"/>
    </w:p>
    <w:p w14:paraId="6E5E6B18" w14:textId="77777777" w:rsidR="00124494" w:rsidRPr="00124494" w:rsidRDefault="00124494" w:rsidP="00124494">
      <w:pPr>
        <w:spacing w:after="12"/>
        <w:rPr>
          <w:lang w:val="en-US"/>
        </w:rPr>
      </w:pPr>
      <w:r w:rsidRPr="00124494">
        <w:rPr>
          <w:b/>
          <w:bCs/>
          <w:lang w:val="en-US"/>
        </w:rPr>
        <w:t>Introduction:</w:t>
      </w:r>
      <w:r w:rsidRPr="00124494">
        <w:rPr>
          <w:lang w:val="en-US"/>
        </w:rPr>
        <w:t xml:space="preserve"> First-trimester spontaneous abortion is a frequent cause of obstetric care. Misoprostol is an accessible medical alternative; however, the synthesis of evidence from Latin America remains limited, making it difficult to assess its incorporation into regional clinical practice guidelines.</w:t>
      </w:r>
    </w:p>
    <w:p w14:paraId="146A9E37" w14:textId="21A8DA4F" w:rsidR="00124494" w:rsidRPr="00124494" w:rsidRDefault="00124494" w:rsidP="00124494">
      <w:pPr>
        <w:spacing w:after="12"/>
        <w:rPr>
          <w:lang w:val="en-US"/>
        </w:rPr>
      </w:pPr>
      <w:r w:rsidRPr="00124494">
        <w:rPr>
          <w:b/>
          <w:bCs/>
          <w:lang w:val="en-US"/>
        </w:rPr>
        <w:t>Objective:</w:t>
      </w:r>
      <w:r w:rsidRPr="00124494">
        <w:rPr>
          <w:lang w:val="en-US"/>
        </w:rPr>
        <w:t xml:space="preserve"> To evaluate the clinical outcomes of misoprostol for successful management of first-trimester spontaneous abortion, overall and</w:t>
      </w:r>
      <w:r>
        <w:rPr>
          <w:lang w:val="en-US"/>
        </w:rPr>
        <w:t>,</w:t>
      </w:r>
      <w:r w:rsidRPr="00124494">
        <w:rPr>
          <w:lang w:val="en-US"/>
        </w:rPr>
        <w:t xml:space="preserve"> in comparison</w:t>
      </w:r>
      <w:r>
        <w:rPr>
          <w:lang w:val="en-US"/>
        </w:rPr>
        <w:t xml:space="preserve"> </w:t>
      </w:r>
      <w:r w:rsidRPr="00124494">
        <w:rPr>
          <w:lang w:val="en-US"/>
        </w:rPr>
        <w:t>with other management strategies, among women in Latin America.</w:t>
      </w:r>
    </w:p>
    <w:p w14:paraId="2EA80BFF" w14:textId="77777777" w:rsidR="00124494" w:rsidRPr="00124494" w:rsidRDefault="00124494" w:rsidP="00124494">
      <w:pPr>
        <w:spacing w:after="12"/>
        <w:rPr>
          <w:lang w:val="en-US"/>
        </w:rPr>
      </w:pPr>
      <w:r w:rsidRPr="00124494">
        <w:rPr>
          <w:b/>
          <w:bCs/>
          <w:lang w:val="en-US"/>
        </w:rPr>
        <w:t>Methods:</w:t>
      </w:r>
      <w:r w:rsidRPr="00124494">
        <w:rPr>
          <w:lang w:val="en-US"/>
        </w:rPr>
        <w:t xml:space="preserve"> A systematic review and meta-analysis were conducted in accordance with PRISMA guidelines. Studies were searched across five information sources, and Latin American studies on medical management with misoprostol were included. Quality and risk of bias were assessed using the RoB 2 tool for the randomized clinical trial and the adapted Newcastle–Ottawa Scale for observational studies. A random-effects meta-analysis of proportions was performed to estimate the success of misoprostol management, defined as complete resolution without additional intervention. Available data did not allow a comparative estimation of the effectiveness of misoprostol versus other therapeutic alternatives.</w:t>
      </w:r>
    </w:p>
    <w:p w14:paraId="746F9747" w14:textId="77777777" w:rsidR="00124494" w:rsidRPr="00124494" w:rsidRDefault="00124494" w:rsidP="00124494">
      <w:pPr>
        <w:spacing w:after="12"/>
        <w:rPr>
          <w:lang w:val="en-US"/>
        </w:rPr>
      </w:pPr>
      <w:r w:rsidRPr="00124494">
        <w:rPr>
          <w:b/>
          <w:bCs/>
          <w:lang w:val="en-US"/>
        </w:rPr>
        <w:t>Results:</w:t>
      </w:r>
      <w:r w:rsidRPr="00124494">
        <w:rPr>
          <w:lang w:val="en-US"/>
        </w:rPr>
        <w:t xml:space="preserve"> Of 962 identified records, eight studies were included, comprising five published articles and three theses. Seven studies, involving 698 women treated with misoprostol, contributed data to the meta-analysis. The estimated success proportion was 92.3% (95% CI: 83.1–96.7) in published articles, 53.5% (95% CI: 30.0–75.5) in theses, and 81.1% (95% CI: 63.8–91.3) in the combined analysis. Methodological quality was variable, with limitations mainly related to the absence of comparison groups.</w:t>
      </w:r>
    </w:p>
    <w:p w14:paraId="6CC0469F" w14:textId="77777777" w:rsidR="00124494" w:rsidRPr="00124494" w:rsidRDefault="00124494" w:rsidP="00124494">
      <w:pPr>
        <w:spacing w:after="12"/>
        <w:rPr>
          <w:lang w:val="en-US"/>
        </w:rPr>
      </w:pPr>
      <w:r w:rsidRPr="00124494">
        <w:rPr>
          <w:b/>
          <w:bCs/>
          <w:lang w:val="en-US"/>
        </w:rPr>
        <w:t>Conclusion:</w:t>
      </w:r>
      <w:r w:rsidRPr="00124494">
        <w:rPr>
          <w:lang w:val="en-US"/>
        </w:rPr>
        <w:t xml:space="preserve"> Despite methodological limitations, the overall success proportion was high, suggesting that misoprostol is a feasible and effective alternative for the management of first-trimester spontaneous abortion in Latin America. Comparative studies, particularly clinical trials, are needed to more precisely determine its relative effectiveness.</w:t>
      </w:r>
    </w:p>
    <w:p w14:paraId="0F902B67" w14:textId="7DF70494" w:rsidR="0032432F" w:rsidRPr="00124494" w:rsidRDefault="00124494" w:rsidP="00124494">
      <w:pPr>
        <w:spacing w:after="12"/>
        <w:rPr>
          <w:lang w:val="en-US"/>
        </w:rPr>
      </w:pPr>
      <w:r w:rsidRPr="00124494">
        <w:rPr>
          <w:b/>
          <w:bCs/>
          <w:lang w:val="en-US"/>
        </w:rPr>
        <w:t>Keywords:</w:t>
      </w:r>
      <w:r w:rsidRPr="00124494">
        <w:rPr>
          <w:lang w:val="en-US"/>
        </w:rPr>
        <w:t xml:space="preserve"> Misoprostol; clinical outcomes; spontaneous abortion; systematic review; Latin America.</w:t>
      </w:r>
    </w:p>
    <w:p w14:paraId="37FD1359" w14:textId="77777777" w:rsidR="00B8712F" w:rsidRPr="00B8712F" w:rsidRDefault="00B8712F" w:rsidP="009951F2">
      <w:pPr>
        <w:jc w:val="center"/>
        <w:rPr>
          <w:b/>
          <w:bCs/>
          <w:sz w:val="28"/>
          <w:szCs w:val="24"/>
          <w:lang w:val="es-NI"/>
        </w:rPr>
        <w:sectPr w:rsidR="00B8712F" w:rsidRPr="00B8712F" w:rsidSect="008536F7">
          <w:footerReference w:type="default" r:id="rId10"/>
          <w:pgSz w:w="12240" w:h="15840"/>
          <w:pgMar w:top="1417" w:right="1701" w:bottom="1417" w:left="1701" w:header="708" w:footer="708" w:gutter="0"/>
          <w:pgNumType w:fmt="lowerRoman" w:start="1"/>
          <w:cols w:space="708"/>
          <w:docGrid w:linePitch="360"/>
        </w:sectPr>
      </w:pPr>
    </w:p>
    <w:p w14:paraId="71472353" w14:textId="6615047C" w:rsidR="009951F2" w:rsidRPr="00B8712F" w:rsidRDefault="008536F7" w:rsidP="008536F7">
      <w:pPr>
        <w:pStyle w:val="Ttulo1"/>
        <w:rPr>
          <w:lang w:val="es-NI"/>
        </w:rPr>
      </w:pPr>
      <w:bookmarkStart w:id="2" w:name="_Toc232986972"/>
      <w:r w:rsidRPr="00B8712F">
        <w:rPr>
          <w:lang w:val="es-NI"/>
        </w:rPr>
        <w:lastRenderedPageBreak/>
        <w:t>Índice</w:t>
      </w:r>
      <w:r>
        <w:rPr>
          <w:lang w:val="es-NI"/>
        </w:rPr>
        <w:t xml:space="preserve"> general</w:t>
      </w:r>
      <w:bookmarkEnd w:id="2"/>
    </w:p>
    <w:sdt>
      <w:sdtPr>
        <w:rPr>
          <w:rFonts w:ascii="Arial" w:eastAsiaTheme="minorHAnsi" w:hAnsi="Arial" w:cstheme="minorBidi"/>
          <w:caps w:val="0"/>
          <w:color w:val="auto"/>
          <w:sz w:val="24"/>
          <w:szCs w:val="22"/>
          <w:lang w:val="es-NI" w:eastAsia="en-US"/>
        </w:rPr>
        <w:id w:val="-1161772813"/>
        <w:docPartObj>
          <w:docPartGallery w:val="Table of Contents"/>
          <w:docPartUnique/>
        </w:docPartObj>
      </w:sdtPr>
      <w:sdtEndPr>
        <w:rPr>
          <w:b/>
          <w:bCs/>
        </w:rPr>
      </w:sdtEndPr>
      <w:sdtContent>
        <w:p w14:paraId="6B50B64C" w14:textId="431683EA" w:rsidR="00B8712F" w:rsidRPr="009D3A94" w:rsidRDefault="00B8712F" w:rsidP="00B8712F">
          <w:pPr>
            <w:pStyle w:val="TtuloTDC"/>
            <w:spacing w:before="0"/>
            <w:rPr>
              <w:sz w:val="2"/>
              <w:szCs w:val="2"/>
              <w:lang w:val="es-NI"/>
            </w:rPr>
          </w:pPr>
        </w:p>
        <w:p w14:paraId="5495C3E7" w14:textId="683C8CFC" w:rsidR="00B87DDE" w:rsidRDefault="00B8712F">
          <w:pPr>
            <w:pStyle w:val="TDC1"/>
            <w:tabs>
              <w:tab w:val="right" w:leader="dot" w:pos="8828"/>
            </w:tabs>
            <w:rPr>
              <w:rFonts w:asciiTheme="minorHAnsi" w:eastAsiaTheme="minorEastAsia" w:hAnsiTheme="minorHAnsi"/>
              <w:b w:val="0"/>
              <w:noProof/>
              <w:sz w:val="22"/>
              <w:lang w:eastAsia="es-ES"/>
            </w:rPr>
          </w:pPr>
          <w:r>
            <w:rPr>
              <w:lang w:val="es-NI"/>
            </w:rPr>
            <w:fldChar w:fldCharType="begin"/>
          </w:r>
          <w:r>
            <w:rPr>
              <w:lang w:val="es-NI"/>
            </w:rPr>
            <w:instrText xml:space="preserve"> TOC \o "1-3" \h \z \u </w:instrText>
          </w:r>
          <w:r>
            <w:rPr>
              <w:lang w:val="es-NI"/>
            </w:rPr>
            <w:fldChar w:fldCharType="separate"/>
          </w:r>
          <w:hyperlink w:anchor="_Toc232986970" w:history="1">
            <w:r w:rsidR="00B87DDE" w:rsidRPr="00237922">
              <w:rPr>
                <w:rStyle w:val="Hipervnculo"/>
                <w:noProof/>
                <w:lang w:val="es-NI"/>
              </w:rPr>
              <w:t>Resumen</w:t>
            </w:r>
            <w:r w:rsidR="00B87DDE">
              <w:rPr>
                <w:noProof/>
                <w:webHidden/>
              </w:rPr>
              <w:tab/>
            </w:r>
            <w:r w:rsidR="00B87DDE">
              <w:rPr>
                <w:noProof/>
                <w:webHidden/>
              </w:rPr>
              <w:fldChar w:fldCharType="begin"/>
            </w:r>
            <w:r w:rsidR="00B87DDE">
              <w:rPr>
                <w:noProof/>
                <w:webHidden/>
              </w:rPr>
              <w:instrText xml:space="preserve"> PAGEREF _Toc232986970 \h </w:instrText>
            </w:r>
            <w:r w:rsidR="00B87DDE">
              <w:rPr>
                <w:noProof/>
                <w:webHidden/>
              </w:rPr>
            </w:r>
            <w:r w:rsidR="00B87DDE">
              <w:rPr>
                <w:noProof/>
                <w:webHidden/>
              </w:rPr>
              <w:fldChar w:fldCharType="separate"/>
            </w:r>
            <w:r w:rsidR="00B87DDE">
              <w:rPr>
                <w:noProof/>
                <w:webHidden/>
              </w:rPr>
              <w:t>i</w:t>
            </w:r>
            <w:r w:rsidR="00B87DDE">
              <w:rPr>
                <w:noProof/>
                <w:webHidden/>
              </w:rPr>
              <w:fldChar w:fldCharType="end"/>
            </w:r>
          </w:hyperlink>
        </w:p>
        <w:p w14:paraId="108956A1" w14:textId="2840A24D"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1" w:history="1">
            <w:r w:rsidR="00B87DDE" w:rsidRPr="00237922">
              <w:rPr>
                <w:rStyle w:val="Hipervnculo"/>
                <w:noProof/>
                <w:lang w:val="en-US"/>
              </w:rPr>
              <w:t>Abstract</w:t>
            </w:r>
            <w:r w:rsidR="00B87DDE">
              <w:rPr>
                <w:noProof/>
                <w:webHidden/>
              </w:rPr>
              <w:tab/>
            </w:r>
            <w:r w:rsidR="00B87DDE">
              <w:rPr>
                <w:noProof/>
                <w:webHidden/>
              </w:rPr>
              <w:fldChar w:fldCharType="begin"/>
            </w:r>
            <w:r w:rsidR="00B87DDE">
              <w:rPr>
                <w:noProof/>
                <w:webHidden/>
              </w:rPr>
              <w:instrText xml:space="preserve"> PAGEREF _Toc232986971 \h </w:instrText>
            </w:r>
            <w:r w:rsidR="00B87DDE">
              <w:rPr>
                <w:noProof/>
                <w:webHidden/>
              </w:rPr>
            </w:r>
            <w:r w:rsidR="00B87DDE">
              <w:rPr>
                <w:noProof/>
                <w:webHidden/>
              </w:rPr>
              <w:fldChar w:fldCharType="separate"/>
            </w:r>
            <w:r w:rsidR="00B87DDE">
              <w:rPr>
                <w:noProof/>
                <w:webHidden/>
              </w:rPr>
              <w:t>ii</w:t>
            </w:r>
            <w:r w:rsidR="00B87DDE">
              <w:rPr>
                <w:noProof/>
                <w:webHidden/>
              </w:rPr>
              <w:fldChar w:fldCharType="end"/>
            </w:r>
          </w:hyperlink>
        </w:p>
        <w:p w14:paraId="7FCD0C91" w14:textId="53662055"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2" w:history="1">
            <w:r w:rsidR="00B87DDE" w:rsidRPr="00237922">
              <w:rPr>
                <w:rStyle w:val="Hipervnculo"/>
                <w:noProof/>
                <w:lang w:val="es-NI"/>
              </w:rPr>
              <w:t>Índice general</w:t>
            </w:r>
            <w:r w:rsidR="00B87DDE">
              <w:rPr>
                <w:noProof/>
                <w:webHidden/>
              </w:rPr>
              <w:tab/>
            </w:r>
            <w:r w:rsidR="00B87DDE">
              <w:rPr>
                <w:noProof/>
                <w:webHidden/>
              </w:rPr>
              <w:fldChar w:fldCharType="begin"/>
            </w:r>
            <w:r w:rsidR="00B87DDE">
              <w:rPr>
                <w:noProof/>
                <w:webHidden/>
              </w:rPr>
              <w:instrText xml:space="preserve"> PAGEREF _Toc232986972 \h </w:instrText>
            </w:r>
            <w:r w:rsidR="00B87DDE">
              <w:rPr>
                <w:noProof/>
                <w:webHidden/>
              </w:rPr>
            </w:r>
            <w:r w:rsidR="00B87DDE">
              <w:rPr>
                <w:noProof/>
                <w:webHidden/>
              </w:rPr>
              <w:fldChar w:fldCharType="separate"/>
            </w:r>
            <w:r w:rsidR="00B87DDE">
              <w:rPr>
                <w:noProof/>
                <w:webHidden/>
              </w:rPr>
              <w:t>iii</w:t>
            </w:r>
            <w:r w:rsidR="00B87DDE">
              <w:rPr>
                <w:noProof/>
                <w:webHidden/>
              </w:rPr>
              <w:fldChar w:fldCharType="end"/>
            </w:r>
          </w:hyperlink>
        </w:p>
        <w:p w14:paraId="78680BB6" w14:textId="1FF10C21"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3" w:history="1">
            <w:r w:rsidR="00B87DDE" w:rsidRPr="00237922">
              <w:rPr>
                <w:rStyle w:val="Hipervnculo"/>
                <w:noProof/>
                <w:lang w:val="es-NI"/>
              </w:rPr>
              <w:t>Índice de tablas</w:t>
            </w:r>
            <w:r w:rsidR="00B87DDE">
              <w:rPr>
                <w:noProof/>
                <w:webHidden/>
              </w:rPr>
              <w:tab/>
            </w:r>
            <w:r w:rsidR="00B87DDE">
              <w:rPr>
                <w:noProof/>
                <w:webHidden/>
              </w:rPr>
              <w:fldChar w:fldCharType="begin"/>
            </w:r>
            <w:r w:rsidR="00B87DDE">
              <w:rPr>
                <w:noProof/>
                <w:webHidden/>
              </w:rPr>
              <w:instrText xml:space="preserve"> PAGEREF _Toc232986973 \h </w:instrText>
            </w:r>
            <w:r w:rsidR="00B87DDE">
              <w:rPr>
                <w:noProof/>
                <w:webHidden/>
              </w:rPr>
            </w:r>
            <w:r w:rsidR="00B87DDE">
              <w:rPr>
                <w:noProof/>
                <w:webHidden/>
              </w:rPr>
              <w:fldChar w:fldCharType="separate"/>
            </w:r>
            <w:r w:rsidR="00B87DDE">
              <w:rPr>
                <w:noProof/>
                <w:webHidden/>
              </w:rPr>
              <w:t>vi</w:t>
            </w:r>
            <w:r w:rsidR="00B87DDE">
              <w:rPr>
                <w:noProof/>
                <w:webHidden/>
              </w:rPr>
              <w:fldChar w:fldCharType="end"/>
            </w:r>
          </w:hyperlink>
        </w:p>
        <w:p w14:paraId="4A963AD4" w14:textId="65A65FFD"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4" w:history="1">
            <w:r w:rsidR="00B87DDE" w:rsidRPr="00237922">
              <w:rPr>
                <w:rStyle w:val="Hipervnculo"/>
                <w:noProof/>
                <w:lang w:val="es-NI"/>
              </w:rPr>
              <w:t>Índice de figuras</w:t>
            </w:r>
            <w:r w:rsidR="00B87DDE">
              <w:rPr>
                <w:noProof/>
                <w:webHidden/>
              </w:rPr>
              <w:tab/>
            </w:r>
            <w:r w:rsidR="00B87DDE">
              <w:rPr>
                <w:noProof/>
                <w:webHidden/>
              </w:rPr>
              <w:fldChar w:fldCharType="begin"/>
            </w:r>
            <w:r w:rsidR="00B87DDE">
              <w:rPr>
                <w:noProof/>
                <w:webHidden/>
              </w:rPr>
              <w:instrText xml:space="preserve"> PAGEREF _Toc232986974 \h </w:instrText>
            </w:r>
            <w:r w:rsidR="00B87DDE">
              <w:rPr>
                <w:noProof/>
                <w:webHidden/>
              </w:rPr>
            </w:r>
            <w:r w:rsidR="00B87DDE">
              <w:rPr>
                <w:noProof/>
                <w:webHidden/>
              </w:rPr>
              <w:fldChar w:fldCharType="separate"/>
            </w:r>
            <w:r w:rsidR="00B87DDE">
              <w:rPr>
                <w:noProof/>
                <w:webHidden/>
              </w:rPr>
              <w:t>viii</w:t>
            </w:r>
            <w:r w:rsidR="00B87DDE">
              <w:rPr>
                <w:noProof/>
                <w:webHidden/>
              </w:rPr>
              <w:fldChar w:fldCharType="end"/>
            </w:r>
          </w:hyperlink>
        </w:p>
        <w:p w14:paraId="005BBEA5" w14:textId="54807ECF"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5" w:history="1">
            <w:r w:rsidR="00B87DDE" w:rsidRPr="00237922">
              <w:rPr>
                <w:rStyle w:val="Hipervnculo"/>
                <w:noProof/>
                <w:lang w:val="es-NI"/>
              </w:rPr>
              <w:t>Siglas y abreviaturas</w:t>
            </w:r>
            <w:r w:rsidR="00B87DDE">
              <w:rPr>
                <w:noProof/>
                <w:webHidden/>
              </w:rPr>
              <w:tab/>
            </w:r>
            <w:r w:rsidR="00B87DDE">
              <w:rPr>
                <w:noProof/>
                <w:webHidden/>
              </w:rPr>
              <w:fldChar w:fldCharType="begin"/>
            </w:r>
            <w:r w:rsidR="00B87DDE">
              <w:rPr>
                <w:noProof/>
                <w:webHidden/>
              </w:rPr>
              <w:instrText xml:space="preserve"> PAGEREF _Toc232986975 \h </w:instrText>
            </w:r>
            <w:r w:rsidR="00B87DDE">
              <w:rPr>
                <w:noProof/>
                <w:webHidden/>
              </w:rPr>
            </w:r>
            <w:r w:rsidR="00B87DDE">
              <w:rPr>
                <w:noProof/>
                <w:webHidden/>
              </w:rPr>
              <w:fldChar w:fldCharType="separate"/>
            </w:r>
            <w:r w:rsidR="00B87DDE">
              <w:rPr>
                <w:noProof/>
                <w:webHidden/>
              </w:rPr>
              <w:t>ix</w:t>
            </w:r>
            <w:r w:rsidR="00B87DDE">
              <w:rPr>
                <w:noProof/>
                <w:webHidden/>
              </w:rPr>
              <w:fldChar w:fldCharType="end"/>
            </w:r>
          </w:hyperlink>
        </w:p>
        <w:p w14:paraId="5AAD7B6F" w14:textId="44E5DCC5"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6" w:history="1">
            <w:r w:rsidR="00B87DDE" w:rsidRPr="00237922">
              <w:rPr>
                <w:rStyle w:val="Hipervnculo"/>
                <w:noProof/>
                <w:lang w:val="es-NI"/>
              </w:rPr>
              <w:t>Introducción</w:t>
            </w:r>
            <w:r w:rsidR="00B87DDE">
              <w:rPr>
                <w:noProof/>
                <w:webHidden/>
              </w:rPr>
              <w:tab/>
            </w:r>
            <w:r w:rsidR="00B87DDE">
              <w:rPr>
                <w:noProof/>
                <w:webHidden/>
              </w:rPr>
              <w:fldChar w:fldCharType="begin"/>
            </w:r>
            <w:r w:rsidR="00B87DDE">
              <w:rPr>
                <w:noProof/>
                <w:webHidden/>
              </w:rPr>
              <w:instrText xml:space="preserve"> PAGEREF _Toc232986976 \h </w:instrText>
            </w:r>
            <w:r w:rsidR="00B87DDE">
              <w:rPr>
                <w:noProof/>
                <w:webHidden/>
              </w:rPr>
            </w:r>
            <w:r w:rsidR="00B87DDE">
              <w:rPr>
                <w:noProof/>
                <w:webHidden/>
              </w:rPr>
              <w:fldChar w:fldCharType="separate"/>
            </w:r>
            <w:r w:rsidR="00B87DDE">
              <w:rPr>
                <w:noProof/>
                <w:webHidden/>
              </w:rPr>
              <w:t>1</w:t>
            </w:r>
            <w:r w:rsidR="00B87DDE">
              <w:rPr>
                <w:noProof/>
                <w:webHidden/>
              </w:rPr>
              <w:fldChar w:fldCharType="end"/>
            </w:r>
          </w:hyperlink>
        </w:p>
        <w:p w14:paraId="4C6533B5" w14:textId="786D7940"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77" w:history="1">
            <w:r w:rsidR="00B87DDE" w:rsidRPr="00237922">
              <w:rPr>
                <w:rStyle w:val="Hipervnculo"/>
                <w:noProof/>
                <w:lang w:val="es-NI"/>
              </w:rPr>
              <w:t>Antecedentes</w:t>
            </w:r>
            <w:r w:rsidR="00B87DDE">
              <w:rPr>
                <w:noProof/>
                <w:webHidden/>
              </w:rPr>
              <w:tab/>
            </w:r>
            <w:r w:rsidR="00B87DDE">
              <w:rPr>
                <w:noProof/>
                <w:webHidden/>
              </w:rPr>
              <w:fldChar w:fldCharType="begin"/>
            </w:r>
            <w:r w:rsidR="00B87DDE">
              <w:rPr>
                <w:noProof/>
                <w:webHidden/>
              </w:rPr>
              <w:instrText xml:space="preserve"> PAGEREF _Toc232986977 \h </w:instrText>
            </w:r>
            <w:r w:rsidR="00B87DDE">
              <w:rPr>
                <w:noProof/>
                <w:webHidden/>
              </w:rPr>
            </w:r>
            <w:r w:rsidR="00B87DDE">
              <w:rPr>
                <w:noProof/>
                <w:webHidden/>
              </w:rPr>
              <w:fldChar w:fldCharType="separate"/>
            </w:r>
            <w:r w:rsidR="00B87DDE">
              <w:rPr>
                <w:noProof/>
                <w:webHidden/>
              </w:rPr>
              <w:t>3</w:t>
            </w:r>
            <w:r w:rsidR="00B87DDE">
              <w:rPr>
                <w:noProof/>
                <w:webHidden/>
              </w:rPr>
              <w:fldChar w:fldCharType="end"/>
            </w:r>
          </w:hyperlink>
        </w:p>
        <w:p w14:paraId="617D7B92" w14:textId="326EE922" w:rsidR="00B87DDE" w:rsidRDefault="00747E0A">
          <w:pPr>
            <w:pStyle w:val="TDC2"/>
            <w:tabs>
              <w:tab w:val="right" w:leader="dot" w:pos="8828"/>
            </w:tabs>
            <w:rPr>
              <w:rFonts w:asciiTheme="minorHAnsi" w:eastAsiaTheme="minorEastAsia" w:hAnsiTheme="minorHAnsi"/>
              <w:noProof/>
              <w:sz w:val="22"/>
              <w:lang w:eastAsia="es-ES"/>
            </w:rPr>
          </w:pPr>
          <w:hyperlink w:anchor="_Toc232986978" w:history="1">
            <w:r w:rsidR="00B87DDE" w:rsidRPr="00237922">
              <w:rPr>
                <w:rStyle w:val="Hipervnculo"/>
                <w:noProof/>
                <w:lang w:val="es-NI"/>
              </w:rPr>
              <w:t>Estudios internacionales</w:t>
            </w:r>
            <w:r w:rsidR="00B87DDE">
              <w:rPr>
                <w:noProof/>
                <w:webHidden/>
              </w:rPr>
              <w:tab/>
            </w:r>
            <w:r w:rsidR="00B87DDE">
              <w:rPr>
                <w:noProof/>
                <w:webHidden/>
              </w:rPr>
              <w:fldChar w:fldCharType="begin"/>
            </w:r>
            <w:r w:rsidR="00B87DDE">
              <w:rPr>
                <w:noProof/>
                <w:webHidden/>
              </w:rPr>
              <w:instrText xml:space="preserve"> PAGEREF _Toc232986978 \h </w:instrText>
            </w:r>
            <w:r w:rsidR="00B87DDE">
              <w:rPr>
                <w:noProof/>
                <w:webHidden/>
              </w:rPr>
            </w:r>
            <w:r w:rsidR="00B87DDE">
              <w:rPr>
                <w:noProof/>
                <w:webHidden/>
              </w:rPr>
              <w:fldChar w:fldCharType="separate"/>
            </w:r>
            <w:r w:rsidR="00B87DDE">
              <w:rPr>
                <w:noProof/>
                <w:webHidden/>
              </w:rPr>
              <w:t>3</w:t>
            </w:r>
            <w:r w:rsidR="00B87DDE">
              <w:rPr>
                <w:noProof/>
                <w:webHidden/>
              </w:rPr>
              <w:fldChar w:fldCharType="end"/>
            </w:r>
          </w:hyperlink>
        </w:p>
        <w:p w14:paraId="25FA818F" w14:textId="07B6AC8D" w:rsidR="00B87DDE" w:rsidRDefault="00747E0A">
          <w:pPr>
            <w:pStyle w:val="TDC2"/>
            <w:tabs>
              <w:tab w:val="right" w:leader="dot" w:pos="8828"/>
            </w:tabs>
            <w:rPr>
              <w:rFonts w:asciiTheme="minorHAnsi" w:eastAsiaTheme="minorEastAsia" w:hAnsiTheme="minorHAnsi"/>
              <w:noProof/>
              <w:sz w:val="22"/>
              <w:lang w:eastAsia="es-ES"/>
            </w:rPr>
          </w:pPr>
          <w:hyperlink w:anchor="_Toc232986979" w:history="1">
            <w:r w:rsidR="00B87DDE" w:rsidRPr="00237922">
              <w:rPr>
                <w:rStyle w:val="Hipervnculo"/>
                <w:noProof/>
                <w:lang w:val="es-NI"/>
              </w:rPr>
              <w:t>Estudios en Nicaragua</w:t>
            </w:r>
            <w:r w:rsidR="00B87DDE">
              <w:rPr>
                <w:noProof/>
                <w:webHidden/>
              </w:rPr>
              <w:tab/>
            </w:r>
            <w:r w:rsidR="00B87DDE">
              <w:rPr>
                <w:noProof/>
                <w:webHidden/>
              </w:rPr>
              <w:fldChar w:fldCharType="begin"/>
            </w:r>
            <w:r w:rsidR="00B87DDE">
              <w:rPr>
                <w:noProof/>
                <w:webHidden/>
              </w:rPr>
              <w:instrText xml:space="preserve"> PAGEREF _Toc232986979 \h </w:instrText>
            </w:r>
            <w:r w:rsidR="00B87DDE">
              <w:rPr>
                <w:noProof/>
                <w:webHidden/>
              </w:rPr>
            </w:r>
            <w:r w:rsidR="00B87DDE">
              <w:rPr>
                <w:noProof/>
                <w:webHidden/>
              </w:rPr>
              <w:fldChar w:fldCharType="separate"/>
            </w:r>
            <w:r w:rsidR="00B87DDE">
              <w:rPr>
                <w:noProof/>
                <w:webHidden/>
              </w:rPr>
              <w:t>5</w:t>
            </w:r>
            <w:r w:rsidR="00B87DDE">
              <w:rPr>
                <w:noProof/>
                <w:webHidden/>
              </w:rPr>
              <w:fldChar w:fldCharType="end"/>
            </w:r>
          </w:hyperlink>
        </w:p>
        <w:p w14:paraId="1649058C" w14:textId="0FCFC925"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80" w:history="1">
            <w:r w:rsidR="00B87DDE" w:rsidRPr="00237922">
              <w:rPr>
                <w:rStyle w:val="Hipervnculo"/>
                <w:noProof/>
                <w:lang w:val="es-NI"/>
              </w:rPr>
              <w:t>Justificación</w:t>
            </w:r>
            <w:r w:rsidR="00B87DDE">
              <w:rPr>
                <w:noProof/>
                <w:webHidden/>
              </w:rPr>
              <w:tab/>
            </w:r>
            <w:r w:rsidR="00B87DDE">
              <w:rPr>
                <w:noProof/>
                <w:webHidden/>
              </w:rPr>
              <w:fldChar w:fldCharType="begin"/>
            </w:r>
            <w:r w:rsidR="00B87DDE">
              <w:rPr>
                <w:noProof/>
                <w:webHidden/>
              </w:rPr>
              <w:instrText xml:space="preserve"> PAGEREF _Toc232986980 \h </w:instrText>
            </w:r>
            <w:r w:rsidR="00B87DDE">
              <w:rPr>
                <w:noProof/>
                <w:webHidden/>
              </w:rPr>
            </w:r>
            <w:r w:rsidR="00B87DDE">
              <w:rPr>
                <w:noProof/>
                <w:webHidden/>
              </w:rPr>
              <w:fldChar w:fldCharType="separate"/>
            </w:r>
            <w:r w:rsidR="00B87DDE">
              <w:rPr>
                <w:noProof/>
                <w:webHidden/>
              </w:rPr>
              <w:t>7</w:t>
            </w:r>
            <w:r w:rsidR="00B87DDE">
              <w:rPr>
                <w:noProof/>
                <w:webHidden/>
              </w:rPr>
              <w:fldChar w:fldCharType="end"/>
            </w:r>
          </w:hyperlink>
        </w:p>
        <w:p w14:paraId="0A6680FD" w14:textId="47295C08"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81" w:history="1">
            <w:r w:rsidR="00B87DDE" w:rsidRPr="00237922">
              <w:rPr>
                <w:rStyle w:val="Hipervnculo"/>
                <w:noProof/>
                <w:lang w:val="es-NI"/>
              </w:rPr>
              <w:t>Planteamiento del problema</w:t>
            </w:r>
            <w:r w:rsidR="00B87DDE">
              <w:rPr>
                <w:noProof/>
                <w:webHidden/>
              </w:rPr>
              <w:tab/>
            </w:r>
            <w:r w:rsidR="00B87DDE">
              <w:rPr>
                <w:noProof/>
                <w:webHidden/>
              </w:rPr>
              <w:fldChar w:fldCharType="begin"/>
            </w:r>
            <w:r w:rsidR="00B87DDE">
              <w:rPr>
                <w:noProof/>
                <w:webHidden/>
              </w:rPr>
              <w:instrText xml:space="preserve"> PAGEREF _Toc232986981 \h </w:instrText>
            </w:r>
            <w:r w:rsidR="00B87DDE">
              <w:rPr>
                <w:noProof/>
                <w:webHidden/>
              </w:rPr>
            </w:r>
            <w:r w:rsidR="00B87DDE">
              <w:rPr>
                <w:noProof/>
                <w:webHidden/>
              </w:rPr>
              <w:fldChar w:fldCharType="separate"/>
            </w:r>
            <w:r w:rsidR="00B87DDE">
              <w:rPr>
                <w:noProof/>
                <w:webHidden/>
              </w:rPr>
              <w:t>8</w:t>
            </w:r>
            <w:r w:rsidR="00B87DDE">
              <w:rPr>
                <w:noProof/>
                <w:webHidden/>
              </w:rPr>
              <w:fldChar w:fldCharType="end"/>
            </w:r>
          </w:hyperlink>
        </w:p>
        <w:p w14:paraId="196F1512" w14:textId="7D0614DE"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82" w:history="1">
            <w:r w:rsidR="00B87DDE" w:rsidRPr="00237922">
              <w:rPr>
                <w:rStyle w:val="Hipervnculo"/>
                <w:noProof/>
                <w:lang w:val="es-NI"/>
              </w:rPr>
              <w:t>Objetivos</w:t>
            </w:r>
            <w:r w:rsidR="00B87DDE">
              <w:rPr>
                <w:noProof/>
                <w:webHidden/>
              </w:rPr>
              <w:tab/>
            </w:r>
            <w:r w:rsidR="00B87DDE">
              <w:rPr>
                <w:noProof/>
                <w:webHidden/>
              </w:rPr>
              <w:fldChar w:fldCharType="begin"/>
            </w:r>
            <w:r w:rsidR="00B87DDE">
              <w:rPr>
                <w:noProof/>
                <w:webHidden/>
              </w:rPr>
              <w:instrText xml:space="preserve"> PAGEREF _Toc232986982 \h </w:instrText>
            </w:r>
            <w:r w:rsidR="00B87DDE">
              <w:rPr>
                <w:noProof/>
                <w:webHidden/>
              </w:rPr>
            </w:r>
            <w:r w:rsidR="00B87DDE">
              <w:rPr>
                <w:noProof/>
                <w:webHidden/>
              </w:rPr>
              <w:fldChar w:fldCharType="separate"/>
            </w:r>
            <w:r w:rsidR="00B87DDE">
              <w:rPr>
                <w:noProof/>
                <w:webHidden/>
              </w:rPr>
              <w:t>9</w:t>
            </w:r>
            <w:r w:rsidR="00B87DDE">
              <w:rPr>
                <w:noProof/>
                <w:webHidden/>
              </w:rPr>
              <w:fldChar w:fldCharType="end"/>
            </w:r>
          </w:hyperlink>
        </w:p>
        <w:p w14:paraId="55881EFE" w14:textId="4AD5A916" w:rsidR="00B87DDE" w:rsidRDefault="00747E0A">
          <w:pPr>
            <w:pStyle w:val="TDC2"/>
            <w:tabs>
              <w:tab w:val="right" w:leader="dot" w:pos="8828"/>
            </w:tabs>
            <w:rPr>
              <w:rFonts w:asciiTheme="minorHAnsi" w:eastAsiaTheme="minorEastAsia" w:hAnsiTheme="minorHAnsi"/>
              <w:noProof/>
              <w:sz w:val="22"/>
              <w:lang w:eastAsia="es-ES"/>
            </w:rPr>
          </w:pPr>
          <w:hyperlink w:anchor="_Toc232986983" w:history="1">
            <w:r w:rsidR="00B87DDE" w:rsidRPr="00237922">
              <w:rPr>
                <w:rStyle w:val="Hipervnculo"/>
                <w:noProof/>
                <w:lang w:val="es-NI"/>
              </w:rPr>
              <w:t>Objetivo general</w:t>
            </w:r>
            <w:r w:rsidR="00B87DDE">
              <w:rPr>
                <w:noProof/>
                <w:webHidden/>
              </w:rPr>
              <w:tab/>
            </w:r>
            <w:r w:rsidR="00B87DDE">
              <w:rPr>
                <w:noProof/>
                <w:webHidden/>
              </w:rPr>
              <w:fldChar w:fldCharType="begin"/>
            </w:r>
            <w:r w:rsidR="00B87DDE">
              <w:rPr>
                <w:noProof/>
                <w:webHidden/>
              </w:rPr>
              <w:instrText xml:space="preserve"> PAGEREF _Toc232986983 \h </w:instrText>
            </w:r>
            <w:r w:rsidR="00B87DDE">
              <w:rPr>
                <w:noProof/>
                <w:webHidden/>
              </w:rPr>
            </w:r>
            <w:r w:rsidR="00B87DDE">
              <w:rPr>
                <w:noProof/>
                <w:webHidden/>
              </w:rPr>
              <w:fldChar w:fldCharType="separate"/>
            </w:r>
            <w:r w:rsidR="00B87DDE">
              <w:rPr>
                <w:noProof/>
                <w:webHidden/>
              </w:rPr>
              <w:t>9</w:t>
            </w:r>
            <w:r w:rsidR="00B87DDE">
              <w:rPr>
                <w:noProof/>
                <w:webHidden/>
              </w:rPr>
              <w:fldChar w:fldCharType="end"/>
            </w:r>
          </w:hyperlink>
        </w:p>
        <w:p w14:paraId="6219CCBD" w14:textId="49579A0B" w:rsidR="00B87DDE" w:rsidRDefault="00747E0A">
          <w:pPr>
            <w:pStyle w:val="TDC2"/>
            <w:tabs>
              <w:tab w:val="right" w:leader="dot" w:pos="8828"/>
            </w:tabs>
            <w:rPr>
              <w:rFonts w:asciiTheme="minorHAnsi" w:eastAsiaTheme="minorEastAsia" w:hAnsiTheme="minorHAnsi"/>
              <w:noProof/>
              <w:sz w:val="22"/>
              <w:lang w:eastAsia="es-ES"/>
            </w:rPr>
          </w:pPr>
          <w:hyperlink w:anchor="_Toc232986984" w:history="1">
            <w:r w:rsidR="00B87DDE" w:rsidRPr="00237922">
              <w:rPr>
                <w:rStyle w:val="Hipervnculo"/>
                <w:noProof/>
                <w:lang w:val="es-NI"/>
              </w:rPr>
              <w:t>Objetivos específicos</w:t>
            </w:r>
            <w:r w:rsidR="00B87DDE">
              <w:rPr>
                <w:noProof/>
                <w:webHidden/>
              </w:rPr>
              <w:tab/>
            </w:r>
            <w:r w:rsidR="00B87DDE">
              <w:rPr>
                <w:noProof/>
                <w:webHidden/>
              </w:rPr>
              <w:fldChar w:fldCharType="begin"/>
            </w:r>
            <w:r w:rsidR="00B87DDE">
              <w:rPr>
                <w:noProof/>
                <w:webHidden/>
              </w:rPr>
              <w:instrText xml:space="preserve"> PAGEREF _Toc232986984 \h </w:instrText>
            </w:r>
            <w:r w:rsidR="00B87DDE">
              <w:rPr>
                <w:noProof/>
                <w:webHidden/>
              </w:rPr>
            </w:r>
            <w:r w:rsidR="00B87DDE">
              <w:rPr>
                <w:noProof/>
                <w:webHidden/>
              </w:rPr>
              <w:fldChar w:fldCharType="separate"/>
            </w:r>
            <w:r w:rsidR="00B87DDE">
              <w:rPr>
                <w:noProof/>
                <w:webHidden/>
              </w:rPr>
              <w:t>9</w:t>
            </w:r>
            <w:r w:rsidR="00B87DDE">
              <w:rPr>
                <w:noProof/>
                <w:webHidden/>
              </w:rPr>
              <w:fldChar w:fldCharType="end"/>
            </w:r>
          </w:hyperlink>
        </w:p>
        <w:p w14:paraId="12D06008" w14:textId="1DB07C8F"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85" w:history="1">
            <w:r w:rsidR="00B87DDE" w:rsidRPr="00237922">
              <w:rPr>
                <w:rStyle w:val="Hipervnculo"/>
                <w:noProof/>
                <w:lang w:val="es-NI"/>
              </w:rPr>
              <w:t>Marco teórico</w:t>
            </w:r>
            <w:r w:rsidR="00B87DDE">
              <w:rPr>
                <w:noProof/>
                <w:webHidden/>
              </w:rPr>
              <w:tab/>
            </w:r>
            <w:r w:rsidR="00B87DDE">
              <w:rPr>
                <w:noProof/>
                <w:webHidden/>
              </w:rPr>
              <w:fldChar w:fldCharType="begin"/>
            </w:r>
            <w:r w:rsidR="00B87DDE">
              <w:rPr>
                <w:noProof/>
                <w:webHidden/>
              </w:rPr>
              <w:instrText xml:space="preserve"> PAGEREF _Toc232986985 \h </w:instrText>
            </w:r>
            <w:r w:rsidR="00B87DDE">
              <w:rPr>
                <w:noProof/>
                <w:webHidden/>
              </w:rPr>
            </w:r>
            <w:r w:rsidR="00B87DDE">
              <w:rPr>
                <w:noProof/>
                <w:webHidden/>
              </w:rPr>
              <w:fldChar w:fldCharType="separate"/>
            </w:r>
            <w:r w:rsidR="00B87DDE">
              <w:rPr>
                <w:noProof/>
                <w:webHidden/>
              </w:rPr>
              <w:t>10</w:t>
            </w:r>
            <w:r w:rsidR="00B87DDE">
              <w:rPr>
                <w:noProof/>
                <w:webHidden/>
              </w:rPr>
              <w:fldChar w:fldCharType="end"/>
            </w:r>
          </w:hyperlink>
        </w:p>
        <w:p w14:paraId="5F00BF90" w14:textId="102DB6D4" w:rsidR="00B87DDE" w:rsidRDefault="00747E0A">
          <w:pPr>
            <w:pStyle w:val="TDC2"/>
            <w:tabs>
              <w:tab w:val="right" w:leader="dot" w:pos="8828"/>
            </w:tabs>
            <w:rPr>
              <w:rFonts w:asciiTheme="minorHAnsi" w:eastAsiaTheme="minorEastAsia" w:hAnsiTheme="minorHAnsi"/>
              <w:noProof/>
              <w:sz w:val="22"/>
              <w:lang w:eastAsia="es-ES"/>
            </w:rPr>
          </w:pPr>
          <w:hyperlink w:anchor="_Toc232986986" w:history="1">
            <w:r w:rsidR="00B87DDE" w:rsidRPr="00237922">
              <w:rPr>
                <w:rStyle w:val="Hipervnculo"/>
                <w:noProof/>
              </w:rPr>
              <w:t>Aborto espontáneo en el primer trimestre</w:t>
            </w:r>
            <w:r w:rsidR="00B87DDE">
              <w:rPr>
                <w:noProof/>
                <w:webHidden/>
              </w:rPr>
              <w:tab/>
            </w:r>
            <w:r w:rsidR="00B87DDE">
              <w:rPr>
                <w:noProof/>
                <w:webHidden/>
              </w:rPr>
              <w:fldChar w:fldCharType="begin"/>
            </w:r>
            <w:r w:rsidR="00B87DDE">
              <w:rPr>
                <w:noProof/>
                <w:webHidden/>
              </w:rPr>
              <w:instrText xml:space="preserve"> PAGEREF _Toc232986986 \h </w:instrText>
            </w:r>
            <w:r w:rsidR="00B87DDE">
              <w:rPr>
                <w:noProof/>
                <w:webHidden/>
              </w:rPr>
            </w:r>
            <w:r w:rsidR="00B87DDE">
              <w:rPr>
                <w:noProof/>
                <w:webHidden/>
              </w:rPr>
              <w:fldChar w:fldCharType="separate"/>
            </w:r>
            <w:r w:rsidR="00B87DDE">
              <w:rPr>
                <w:noProof/>
                <w:webHidden/>
              </w:rPr>
              <w:t>10</w:t>
            </w:r>
            <w:r w:rsidR="00B87DDE">
              <w:rPr>
                <w:noProof/>
                <w:webHidden/>
              </w:rPr>
              <w:fldChar w:fldCharType="end"/>
            </w:r>
          </w:hyperlink>
        </w:p>
        <w:p w14:paraId="3AC1DB0B" w14:textId="28589C43" w:rsidR="00B87DDE" w:rsidRDefault="00747E0A">
          <w:pPr>
            <w:pStyle w:val="TDC2"/>
            <w:tabs>
              <w:tab w:val="right" w:leader="dot" w:pos="8828"/>
            </w:tabs>
            <w:rPr>
              <w:rFonts w:asciiTheme="minorHAnsi" w:eastAsiaTheme="minorEastAsia" w:hAnsiTheme="minorHAnsi"/>
              <w:noProof/>
              <w:sz w:val="22"/>
              <w:lang w:eastAsia="es-ES"/>
            </w:rPr>
          </w:pPr>
          <w:hyperlink w:anchor="_Toc232986987" w:history="1">
            <w:r w:rsidR="00B87DDE" w:rsidRPr="00237922">
              <w:rPr>
                <w:rStyle w:val="Hipervnculo"/>
                <w:noProof/>
              </w:rPr>
              <w:t>Epidemiología y factores asociados al aborto espontáneo</w:t>
            </w:r>
            <w:r w:rsidR="00B87DDE">
              <w:rPr>
                <w:noProof/>
                <w:webHidden/>
              </w:rPr>
              <w:tab/>
            </w:r>
            <w:r w:rsidR="00B87DDE">
              <w:rPr>
                <w:noProof/>
                <w:webHidden/>
              </w:rPr>
              <w:fldChar w:fldCharType="begin"/>
            </w:r>
            <w:r w:rsidR="00B87DDE">
              <w:rPr>
                <w:noProof/>
                <w:webHidden/>
              </w:rPr>
              <w:instrText xml:space="preserve"> PAGEREF _Toc232986987 \h </w:instrText>
            </w:r>
            <w:r w:rsidR="00B87DDE">
              <w:rPr>
                <w:noProof/>
                <w:webHidden/>
              </w:rPr>
            </w:r>
            <w:r w:rsidR="00B87DDE">
              <w:rPr>
                <w:noProof/>
                <w:webHidden/>
              </w:rPr>
              <w:fldChar w:fldCharType="separate"/>
            </w:r>
            <w:r w:rsidR="00B87DDE">
              <w:rPr>
                <w:noProof/>
                <w:webHidden/>
              </w:rPr>
              <w:t>11</w:t>
            </w:r>
            <w:r w:rsidR="00B87DDE">
              <w:rPr>
                <w:noProof/>
                <w:webHidden/>
              </w:rPr>
              <w:fldChar w:fldCharType="end"/>
            </w:r>
          </w:hyperlink>
        </w:p>
        <w:p w14:paraId="39FD05C5" w14:textId="2D428505" w:rsidR="00B87DDE" w:rsidRDefault="00747E0A">
          <w:pPr>
            <w:pStyle w:val="TDC2"/>
            <w:tabs>
              <w:tab w:val="right" w:leader="dot" w:pos="8828"/>
            </w:tabs>
            <w:rPr>
              <w:rFonts w:asciiTheme="minorHAnsi" w:eastAsiaTheme="minorEastAsia" w:hAnsiTheme="minorHAnsi"/>
              <w:noProof/>
              <w:sz w:val="22"/>
              <w:lang w:eastAsia="es-ES"/>
            </w:rPr>
          </w:pPr>
          <w:hyperlink w:anchor="_Toc232986988" w:history="1">
            <w:r w:rsidR="00B87DDE" w:rsidRPr="00237922">
              <w:rPr>
                <w:rStyle w:val="Hipervnculo"/>
                <w:noProof/>
              </w:rPr>
              <w:t>Diagnóstico del aborto espontáneo del primer trimestre</w:t>
            </w:r>
            <w:r w:rsidR="00B87DDE">
              <w:rPr>
                <w:noProof/>
                <w:webHidden/>
              </w:rPr>
              <w:tab/>
            </w:r>
            <w:r w:rsidR="00B87DDE">
              <w:rPr>
                <w:noProof/>
                <w:webHidden/>
              </w:rPr>
              <w:fldChar w:fldCharType="begin"/>
            </w:r>
            <w:r w:rsidR="00B87DDE">
              <w:rPr>
                <w:noProof/>
                <w:webHidden/>
              </w:rPr>
              <w:instrText xml:space="preserve"> PAGEREF _Toc232986988 \h </w:instrText>
            </w:r>
            <w:r w:rsidR="00B87DDE">
              <w:rPr>
                <w:noProof/>
                <w:webHidden/>
              </w:rPr>
            </w:r>
            <w:r w:rsidR="00B87DDE">
              <w:rPr>
                <w:noProof/>
                <w:webHidden/>
              </w:rPr>
              <w:fldChar w:fldCharType="separate"/>
            </w:r>
            <w:r w:rsidR="00B87DDE">
              <w:rPr>
                <w:noProof/>
                <w:webHidden/>
              </w:rPr>
              <w:t>13</w:t>
            </w:r>
            <w:r w:rsidR="00B87DDE">
              <w:rPr>
                <w:noProof/>
                <w:webHidden/>
              </w:rPr>
              <w:fldChar w:fldCharType="end"/>
            </w:r>
          </w:hyperlink>
        </w:p>
        <w:p w14:paraId="3AD32910" w14:textId="3A030986" w:rsidR="00B87DDE" w:rsidRDefault="00747E0A">
          <w:pPr>
            <w:pStyle w:val="TDC2"/>
            <w:tabs>
              <w:tab w:val="right" w:leader="dot" w:pos="8828"/>
            </w:tabs>
            <w:rPr>
              <w:rFonts w:asciiTheme="minorHAnsi" w:eastAsiaTheme="minorEastAsia" w:hAnsiTheme="minorHAnsi"/>
              <w:noProof/>
              <w:sz w:val="22"/>
              <w:lang w:eastAsia="es-ES"/>
            </w:rPr>
          </w:pPr>
          <w:hyperlink w:anchor="_Toc232986989" w:history="1">
            <w:r w:rsidR="00B87DDE" w:rsidRPr="00237922">
              <w:rPr>
                <w:rStyle w:val="Hipervnculo"/>
                <w:noProof/>
              </w:rPr>
              <w:t>Manejo del aborto espontáneo del primer trimestre</w:t>
            </w:r>
            <w:r w:rsidR="00B87DDE">
              <w:rPr>
                <w:noProof/>
                <w:webHidden/>
              </w:rPr>
              <w:tab/>
            </w:r>
            <w:r w:rsidR="00B87DDE">
              <w:rPr>
                <w:noProof/>
                <w:webHidden/>
              </w:rPr>
              <w:fldChar w:fldCharType="begin"/>
            </w:r>
            <w:r w:rsidR="00B87DDE">
              <w:rPr>
                <w:noProof/>
                <w:webHidden/>
              </w:rPr>
              <w:instrText xml:space="preserve"> PAGEREF _Toc232986989 \h </w:instrText>
            </w:r>
            <w:r w:rsidR="00B87DDE">
              <w:rPr>
                <w:noProof/>
                <w:webHidden/>
              </w:rPr>
            </w:r>
            <w:r w:rsidR="00B87DDE">
              <w:rPr>
                <w:noProof/>
                <w:webHidden/>
              </w:rPr>
              <w:fldChar w:fldCharType="separate"/>
            </w:r>
            <w:r w:rsidR="00B87DDE">
              <w:rPr>
                <w:noProof/>
                <w:webHidden/>
              </w:rPr>
              <w:t>14</w:t>
            </w:r>
            <w:r w:rsidR="00B87DDE">
              <w:rPr>
                <w:noProof/>
                <w:webHidden/>
              </w:rPr>
              <w:fldChar w:fldCharType="end"/>
            </w:r>
          </w:hyperlink>
        </w:p>
        <w:p w14:paraId="51DB2420" w14:textId="19477719" w:rsidR="00B87DDE" w:rsidRDefault="00747E0A">
          <w:pPr>
            <w:pStyle w:val="TDC2"/>
            <w:tabs>
              <w:tab w:val="right" w:leader="dot" w:pos="8828"/>
            </w:tabs>
            <w:rPr>
              <w:rFonts w:asciiTheme="minorHAnsi" w:eastAsiaTheme="minorEastAsia" w:hAnsiTheme="minorHAnsi"/>
              <w:noProof/>
              <w:sz w:val="22"/>
              <w:lang w:eastAsia="es-ES"/>
            </w:rPr>
          </w:pPr>
          <w:hyperlink w:anchor="_Toc232986990" w:history="1">
            <w:r w:rsidR="00B87DDE" w:rsidRPr="00237922">
              <w:rPr>
                <w:rStyle w:val="Hipervnculo"/>
                <w:noProof/>
              </w:rPr>
              <w:t>Misoprostol: generalidades y desarrollo farmacológico</w:t>
            </w:r>
            <w:r w:rsidR="00B87DDE">
              <w:rPr>
                <w:noProof/>
                <w:webHidden/>
              </w:rPr>
              <w:tab/>
            </w:r>
            <w:r w:rsidR="00B87DDE">
              <w:rPr>
                <w:noProof/>
                <w:webHidden/>
              </w:rPr>
              <w:fldChar w:fldCharType="begin"/>
            </w:r>
            <w:r w:rsidR="00B87DDE">
              <w:rPr>
                <w:noProof/>
                <w:webHidden/>
              </w:rPr>
              <w:instrText xml:space="preserve"> PAGEREF _Toc232986990 \h </w:instrText>
            </w:r>
            <w:r w:rsidR="00B87DDE">
              <w:rPr>
                <w:noProof/>
                <w:webHidden/>
              </w:rPr>
            </w:r>
            <w:r w:rsidR="00B87DDE">
              <w:rPr>
                <w:noProof/>
                <w:webHidden/>
              </w:rPr>
              <w:fldChar w:fldCharType="separate"/>
            </w:r>
            <w:r w:rsidR="00B87DDE">
              <w:rPr>
                <w:noProof/>
                <w:webHidden/>
              </w:rPr>
              <w:t>16</w:t>
            </w:r>
            <w:r w:rsidR="00B87DDE">
              <w:rPr>
                <w:noProof/>
                <w:webHidden/>
              </w:rPr>
              <w:fldChar w:fldCharType="end"/>
            </w:r>
          </w:hyperlink>
        </w:p>
        <w:p w14:paraId="5F05CD3E" w14:textId="334DD3F6" w:rsidR="00B87DDE" w:rsidRDefault="00747E0A">
          <w:pPr>
            <w:pStyle w:val="TDC2"/>
            <w:tabs>
              <w:tab w:val="right" w:leader="dot" w:pos="8828"/>
            </w:tabs>
            <w:rPr>
              <w:rFonts w:asciiTheme="minorHAnsi" w:eastAsiaTheme="minorEastAsia" w:hAnsiTheme="minorHAnsi"/>
              <w:noProof/>
              <w:sz w:val="22"/>
              <w:lang w:eastAsia="es-ES"/>
            </w:rPr>
          </w:pPr>
          <w:hyperlink w:anchor="_Toc232986991" w:history="1">
            <w:r w:rsidR="00B87DDE" w:rsidRPr="00237922">
              <w:rPr>
                <w:rStyle w:val="Hipervnculo"/>
                <w:noProof/>
              </w:rPr>
              <w:t>Farmacocinética y farmacodinamia del misoprostol</w:t>
            </w:r>
            <w:r w:rsidR="00B87DDE">
              <w:rPr>
                <w:noProof/>
                <w:webHidden/>
              </w:rPr>
              <w:tab/>
            </w:r>
            <w:r w:rsidR="00B87DDE">
              <w:rPr>
                <w:noProof/>
                <w:webHidden/>
              </w:rPr>
              <w:fldChar w:fldCharType="begin"/>
            </w:r>
            <w:r w:rsidR="00B87DDE">
              <w:rPr>
                <w:noProof/>
                <w:webHidden/>
              </w:rPr>
              <w:instrText xml:space="preserve"> PAGEREF _Toc232986991 \h </w:instrText>
            </w:r>
            <w:r w:rsidR="00B87DDE">
              <w:rPr>
                <w:noProof/>
                <w:webHidden/>
              </w:rPr>
            </w:r>
            <w:r w:rsidR="00B87DDE">
              <w:rPr>
                <w:noProof/>
                <w:webHidden/>
              </w:rPr>
              <w:fldChar w:fldCharType="separate"/>
            </w:r>
            <w:r w:rsidR="00B87DDE">
              <w:rPr>
                <w:noProof/>
                <w:webHidden/>
              </w:rPr>
              <w:t>18</w:t>
            </w:r>
            <w:r w:rsidR="00B87DDE">
              <w:rPr>
                <w:noProof/>
                <w:webHidden/>
              </w:rPr>
              <w:fldChar w:fldCharType="end"/>
            </w:r>
          </w:hyperlink>
        </w:p>
        <w:p w14:paraId="7C9FB9C2" w14:textId="5E32565E" w:rsidR="00B87DDE" w:rsidRDefault="00747E0A">
          <w:pPr>
            <w:pStyle w:val="TDC2"/>
            <w:tabs>
              <w:tab w:val="right" w:leader="dot" w:pos="8828"/>
            </w:tabs>
            <w:rPr>
              <w:rFonts w:asciiTheme="minorHAnsi" w:eastAsiaTheme="minorEastAsia" w:hAnsiTheme="minorHAnsi"/>
              <w:noProof/>
              <w:sz w:val="22"/>
              <w:lang w:eastAsia="es-ES"/>
            </w:rPr>
          </w:pPr>
          <w:hyperlink w:anchor="_Toc232986992" w:history="1">
            <w:r w:rsidR="00B87DDE" w:rsidRPr="00237922">
              <w:rPr>
                <w:rStyle w:val="Hipervnculo"/>
                <w:noProof/>
              </w:rPr>
              <w:t>Seguridad del misoprostol</w:t>
            </w:r>
            <w:r w:rsidR="00B87DDE">
              <w:rPr>
                <w:noProof/>
                <w:webHidden/>
              </w:rPr>
              <w:tab/>
            </w:r>
            <w:r w:rsidR="00B87DDE">
              <w:rPr>
                <w:noProof/>
                <w:webHidden/>
              </w:rPr>
              <w:fldChar w:fldCharType="begin"/>
            </w:r>
            <w:r w:rsidR="00B87DDE">
              <w:rPr>
                <w:noProof/>
                <w:webHidden/>
              </w:rPr>
              <w:instrText xml:space="preserve"> PAGEREF _Toc232986992 \h </w:instrText>
            </w:r>
            <w:r w:rsidR="00B87DDE">
              <w:rPr>
                <w:noProof/>
                <w:webHidden/>
              </w:rPr>
            </w:r>
            <w:r w:rsidR="00B87DDE">
              <w:rPr>
                <w:noProof/>
                <w:webHidden/>
              </w:rPr>
              <w:fldChar w:fldCharType="separate"/>
            </w:r>
            <w:r w:rsidR="00B87DDE">
              <w:rPr>
                <w:noProof/>
                <w:webHidden/>
              </w:rPr>
              <w:t>20</w:t>
            </w:r>
            <w:r w:rsidR="00B87DDE">
              <w:rPr>
                <w:noProof/>
                <w:webHidden/>
              </w:rPr>
              <w:fldChar w:fldCharType="end"/>
            </w:r>
          </w:hyperlink>
        </w:p>
        <w:p w14:paraId="16A63972" w14:textId="60342020" w:rsidR="00B87DDE" w:rsidRDefault="00747E0A">
          <w:pPr>
            <w:pStyle w:val="TDC2"/>
            <w:tabs>
              <w:tab w:val="right" w:leader="dot" w:pos="8828"/>
            </w:tabs>
            <w:rPr>
              <w:rFonts w:asciiTheme="minorHAnsi" w:eastAsiaTheme="minorEastAsia" w:hAnsiTheme="minorHAnsi"/>
              <w:noProof/>
              <w:sz w:val="22"/>
              <w:lang w:eastAsia="es-ES"/>
            </w:rPr>
          </w:pPr>
          <w:hyperlink w:anchor="_Toc232986993" w:history="1">
            <w:r w:rsidR="00B87DDE" w:rsidRPr="00237922">
              <w:rPr>
                <w:rStyle w:val="Hipervnculo"/>
                <w:noProof/>
              </w:rPr>
              <w:t>Misoprostol en ginecología y obstetricia</w:t>
            </w:r>
            <w:r w:rsidR="00B87DDE">
              <w:rPr>
                <w:noProof/>
                <w:webHidden/>
              </w:rPr>
              <w:tab/>
            </w:r>
            <w:r w:rsidR="00B87DDE">
              <w:rPr>
                <w:noProof/>
                <w:webHidden/>
              </w:rPr>
              <w:fldChar w:fldCharType="begin"/>
            </w:r>
            <w:r w:rsidR="00B87DDE">
              <w:rPr>
                <w:noProof/>
                <w:webHidden/>
              </w:rPr>
              <w:instrText xml:space="preserve"> PAGEREF _Toc232986993 \h </w:instrText>
            </w:r>
            <w:r w:rsidR="00B87DDE">
              <w:rPr>
                <w:noProof/>
                <w:webHidden/>
              </w:rPr>
            </w:r>
            <w:r w:rsidR="00B87DDE">
              <w:rPr>
                <w:noProof/>
                <w:webHidden/>
              </w:rPr>
              <w:fldChar w:fldCharType="separate"/>
            </w:r>
            <w:r w:rsidR="00B87DDE">
              <w:rPr>
                <w:noProof/>
                <w:webHidden/>
              </w:rPr>
              <w:t>21</w:t>
            </w:r>
            <w:r w:rsidR="00B87DDE">
              <w:rPr>
                <w:noProof/>
                <w:webHidden/>
              </w:rPr>
              <w:fldChar w:fldCharType="end"/>
            </w:r>
          </w:hyperlink>
        </w:p>
        <w:p w14:paraId="01F68889" w14:textId="6676C375" w:rsidR="00B87DDE" w:rsidRDefault="00747E0A">
          <w:pPr>
            <w:pStyle w:val="TDC2"/>
            <w:tabs>
              <w:tab w:val="right" w:leader="dot" w:pos="8828"/>
            </w:tabs>
            <w:rPr>
              <w:rFonts w:asciiTheme="minorHAnsi" w:eastAsiaTheme="minorEastAsia" w:hAnsiTheme="minorHAnsi"/>
              <w:noProof/>
              <w:sz w:val="22"/>
              <w:lang w:eastAsia="es-ES"/>
            </w:rPr>
          </w:pPr>
          <w:hyperlink w:anchor="_Toc232986994" w:history="1">
            <w:r w:rsidR="00B87DDE" w:rsidRPr="00237922">
              <w:rPr>
                <w:rStyle w:val="Hipervnculo"/>
                <w:noProof/>
              </w:rPr>
              <w:t>Misoprostol en el manejo del aborto espontáneo del primer trimestre</w:t>
            </w:r>
            <w:r w:rsidR="00B87DDE">
              <w:rPr>
                <w:noProof/>
                <w:webHidden/>
              </w:rPr>
              <w:tab/>
            </w:r>
            <w:r w:rsidR="00B87DDE">
              <w:rPr>
                <w:noProof/>
                <w:webHidden/>
              </w:rPr>
              <w:fldChar w:fldCharType="begin"/>
            </w:r>
            <w:r w:rsidR="00B87DDE">
              <w:rPr>
                <w:noProof/>
                <w:webHidden/>
              </w:rPr>
              <w:instrText xml:space="preserve"> PAGEREF _Toc232986994 \h </w:instrText>
            </w:r>
            <w:r w:rsidR="00B87DDE">
              <w:rPr>
                <w:noProof/>
                <w:webHidden/>
              </w:rPr>
            </w:r>
            <w:r w:rsidR="00B87DDE">
              <w:rPr>
                <w:noProof/>
                <w:webHidden/>
              </w:rPr>
              <w:fldChar w:fldCharType="separate"/>
            </w:r>
            <w:r w:rsidR="00B87DDE">
              <w:rPr>
                <w:noProof/>
                <w:webHidden/>
              </w:rPr>
              <w:t>23</w:t>
            </w:r>
            <w:r w:rsidR="00B87DDE">
              <w:rPr>
                <w:noProof/>
                <w:webHidden/>
              </w:rPr>
              <w:fldChar w:fldCharType="end"/>
            </w:r>
          </w:hyperlink>
        </w:p>
        <w:p w14:paraId="69E09322" w14:textId="4AADE668" w:rsidR="00B87DDE" w:rsidRDefault="00747E0A">
          <w:pPr>
            <w:pStyle w:val="TDC2"/>
            <w:tabs>
              <w:tab w:val="right" w:leader="dot" w:pos="8828"/>
            </w:tabs>
            <w:rPr>
              <w:rFonts w:asciiTheme="minorHAnsi" w:eastAsiaTheme="minorEastAsia" w:hAnsiTheme="minorHAnsi"/>
              <w:noProof/>
              <w:sz w:val="22"/>
              <w:lang w:eastAsia="es-ES"/>
            </w:rPr>
          </w:pPr>
          <w:hyperlink w:anchor="_Toc232986995" w:history="1">
            <w:r w:rsidR="00B87DDE" w:rsidRPr="00237922">
              <w:rPr>
                <w:rStyle w:val="Hipervnculo"/>
                <w:noProof/>
              </w:rPr>
              <w:t>Normas y guías del Ministerio de Salud de Nicaragua: Normativa 109</w:t>
            </w:r>
            <w:r w:rsidR="00B87DDE">
              <w:rPr>
                <w:noProof/>
                <w:webHidden/>
              </w:rPr>
              <w:tab/>
            </w:r>
            <w:r w:rsidR="00B87DDE">
              <w:rPr>
                <w:noProof/>
                <w:webHidden/>
              </w:rPr>
              <w:fldChar w:fldCharType="begin"/>
            </w:r>
            <w:r w:rsidR="00B87DDE">
              <w:rPr>
                <w:noProof/>
                <w:webHidden/>
              </w:rPr>
              <w:instrText xml:space="preserve"> PAGEREF _Toc232986995 \h </w:instrText>
            </w:r>
            <w:r w:rsidR="00B87DDE">
              <w:rPr>
                <w:noProof/>
                <w:webHidden/>
              </w:rPr>
            </w:r>
            <w:r w:rsidR="00B87DDE">
              <w:rPr>
                <w:noProof/>
                <w:webHidden/>
              </w:rPr>
              <w:fldChar w:fldCharType="separate"/>
            </w:r>
            <w:r w:rsidR="00B87DDE">
              <w:rPr>
                <w:noProof/>
                <w:webHidden/>
              </w:rPr>
              <w:t>26</w:t>
            </w:r>
            <w:r w:rsidR="00B87DDE">
              <w:rPr>
                <w:noProof/>
                <w:webHidden/>
              </w:rPr>
              <w:fldChar w:fldCharType="end"/>
            </w:r>
          </w:hyperlink>
        </w:p>
        <w:p w14:paraId="6779755D" w14:textId="38AF6EC3"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96" w:history="1">
            <w:r w:rsidR="00B87DDE" w:rsidRPr="00237922">
              <w:rPr>
                <w:rStyle w:val="Hipervnculo"/>
                <w:noProof/>
                <w:lang w:val="es-NI"/>
              </w:rPr>
              <w:t>Hipótesis</w:t>
            </w:r>
            <w:r w:rsidR="00B87DDE">
              <w:rPr>
                <w:noProof/>
                <w:webHidden/>
              </w:rPr>
              <w:tab/>
            </w:r>
            <w:r w:rsidR="00B87DDE">
              <w:rPr>
                <w:noProof/>
                <w:webHidden/>
              </w:rPr>
              <w:fldChar w:fldCharType="begin"/>
            </w:r>
            <w:r w:rsidR="00B87DDE">
              <w:rPr>
                <w:noProof/>
                <w:webHidden/>
              </w:rPr>
              <w:instrText xml:space="preserve"> PAGEREF _Toc232986996 \h </w:instrText>
            </w:r>
            <w:r w:rsidR="00B87DDE">
              <w:rPr>
                <w:noProof/>
                <w:webHidden/>
              </w:rPr>
            </w:r>
            <w:r w:rsidR="00B87DDE">
              <w:rPr>
                <w:noProof/>
                <w:webHidden/>
              </w:rPr>
              <w:fldChar w:fldCharType="separate"/>
            </w:r>
            <w:r w:rsidR="00B87DDE">
              <w:rPr>
                <w:noProof/>
                <w:webHidden/>
              </w:rPr>
              <w:t>28</w:t>
            </w:r>
            <w:r w:rsidR="00B87DDE">
              <w:rPr>
                <w:noProof/>
                <w:webHidden/>
              </w:rPr>
              <w:fldChar w:fldCharType="end"/>
            </w:r>
          </w:hyperlink>
        </w:p>
        <w:p w14:paraId="399864DA" w14:textId="1D9E19FA" w:rsidR="00B87DDE" w:rsidRDefault="00747E0A">
          <w:pPr>
            <w:pStyle w:val="TDC1"/>
            <w:tabs>
              <w:tab w:val="right" w:leader="dot" w:pos="8828"/>
            </w:tabs>
            <w:rPr>
              <w:rFonts w:asciiTheme="minorHAnsi" w:eastAsiaTheme="minorEastAsia" w:hAnsiTheme="minorHAnsi"/>
              <w:b w:val="0"/>
              <w:noProof/>
              <w:sz w:val="22"/>
              <w:lang w:eastAsia="es-ES"/>
            </w:rPr>
          </w:pPr>
          <w:hyperlink w:anchor="_Toc232986997" w:history="1">
            <w:r w:rsidR="00B87DDE" w:rsidRPr="00237922">
              <w:rPr>
                <w:rStyle w:val="Hipervnculo"/>
                <w:noProof/>
                <w:lang w:val="es-NI"/>
              </w:rPr>
              <w:t>Diseño metodológico</w:t>
            </w:r>
            <w:r w:rsidR="00B87DDE">
              <w:rPr>
                <w:noProof/>
                <w:webHidden/>
              </w:rPr>
              <w:tab/>
            </w:r>
            <w:r w:rsidR="00B87DDE">
              <w:rPr>
                <w:noProof/>
                <w:webHidden/>
              </w:rPr>
              <w:fldChar w:fldCharType="begin"/>
            </w:r>
            <w:r w:rsidR="00B87DDE">
              <w:rPr>
                <w:noProof/>
                <w:webHidden/>
              </w:rPr>
              <w:instrText xml:space="preserve"> PAGEREF _Toc232986997 \h </w:instrText>
            </w:r>
            <w:r w:rsidR="00B87DDE">
              <w:rPr>
                <w:noProof/>
                <w:webHidden/>
              </w:rPr>
            </w:r>
            <w:r w:rsidR="00B87DDE">
              <w:rPr>
                <w:noProof/>
                <w:webHidden/>
              </w:rPr>
              <w:fldChar w:fldCharType="separate"/>
            </w:r>
            <w:r w:rsidR="00B87DDE">
              <w:rPr>
                <w:noProof/>
                <w:webHidden/>
              </w:rPr>
              <w:t>29</w:t>
            </w:r>
            <w:r w:rsidR="00B87DDE">
              <w:rPr>
                <w:noProof/>
                <w:webHidden/>
              </w:rPr>
              <w:fldChar w:fldCharType="end"/>
            </w:r>
          </w:hyperlink>
        </w:p>
        <w:p w14:paraId="2661C089" w14:textId="54AEF175" w:rsidR="00B87DDE" w:rsidRDefault="00747E0A">
          <w:pPr>
            <w:pStyle w:val="TDC2"/>
            <w:tabs>
              <w:tab w:val="right" w:leader="dot" w:pos="8828"/>
            </w:tabs>
            <w:rPr>
              <w:rFonts w:asciiTheme="minorHAnsi" w:eastAsiaTheme="minorEastAsia" w:hAnsiTheme="minorHAnsi"/>
              <w:noProof/>
              <w:sz w:val="22"/>
              <w:lang w:eastAsia="es-ES"/>
            </w:rPr>
          </w:pPr>
          <w:hyperlink w:anchor="_Toc232986998" w:history="1">
            <w:r w:rsidR="00B87DDE" w:rsidRPr="00237922">
              <w:rPr>
                <w:rStyle w:val="Hipervnculo"/>
                <w:noProof/>
              </w:rPr>
              <w:t>Formato de reporte</w:t>
            </w:r>
            <w:r w:rsidR="00B87DDE">
              <w:rPr>
                <w:noProof/>
                <w:webHidden/>
              </w:rPr>
              <w:tab/>
            </w:r>
            <w:r w:rsidR="00B87DDE">
              <w:rPr>
                <w:noProof/>
                <w:webHidden/>
              </w:rPr>
              <w:fldChar w:fldCharType="begin"/>
            </w:r>
            <w:r w:rsidR="00B87DDE">
              <w:rPr>
                <w:noProof/>
                <w:webHidden/>
              </w:rPr>
              <w:instrText xml:space="preserve"> PAGEREF _Toc232986998 \h </w:instrText>
            </w:r>
            <w:r w:rsidR="00B87DDE">
              <w:rPr>
                <w:noProof/>
                <w:webHidden/>
              </w:rPr>
            </w:r>
            <w:r w:rsidR="00B87DDE">
              <w:rPr>
                <w:noProof/>
                <w:webHidden/>
              </w:rPr>
              <w:fldChar w:fldCharType="separate"/>
            </w:r>
            <w:r w:rsidR="00B87DDE">
              <w:rPr>
                <w:noProof/>
                <w:webHidden/>
              </w:rPr>
              <w:t>29</w:t>
            </w:r>
            <w:r w:rsidR="00B87DDE">
              <w:rPr>
                <w:noProof/>
                <w:webHidden/>
              </w:rPr>
              <w:fldChar w:fldCharType="end"/>
            </w:r>
          </w:hyperlink>
        </w:p>
        <w:p w14:paraId="0F240A3C" w14:textId="7DC7B39A" w:rsidR="00B87DDE" w:rsidRDefault="00747E0A">
          <w:pPr>
            <w:pStyle w:val="TDC2"/>
            <w:tabs>
              <w:tab w:val="right" w:leader="dot" w:pos="8828"/>
            </w:tabs>
            <w:rPr>
              <w:rFonts w:asciiTheme="minorHAnsi" w:eastAsiaTheme="minorEastAsia" w:hAnsiTheme="minorHAnsi"/>
              <w:noProof/>
              <w:sz w:val="22"/>
              <w:lang w:eastAsia="es-ES"/>
            </w:rPr>
          </w:pPr>
          <w:hyperlink w:anchor="_Toc232986999" w:history="1">
            <w:r w:rsidR="00B87DDE" w:rsidRPr="00237922">
              <w:rPr>
                <w:rStyle w:val="Hipervnculo"/>
                <w:rFonts w:cs="Arial"/>
                <w:noProof/>
              </w:rPr>
              <w:t>Criterios de elegibilidad</w:t>
            </w:r>
            <w:r w:rsidR="00B87DDE">
              <w:rPr>
                <w:noProof/>
                <w:webHidden/>
              </w:rPr>
              <w:tab/>
            </w:r>
            <w:r w:rsidR="00B87DDE">
              <w:rPr>
                <w:noProof/>
                <w:webHidden/>
              </w:rPr>
              <w:fldChar w:fldCharType="begin"/>
            </w:r>
            <w:r w:rsidR="00B87DDE">
              <w:rPr>
                <w:noProof/>
                <w:webHidden/>
              </w:rPr>
              <w:instrText xml:space="preserve"> PAGEREF _Toc232986999 \h </w:instrText>
            </w:r>
            <w:r w:rsidR="00B87DDE">
              <w:rPr>
                <w:noProof/>
                <w:webHidden/>
              </w:rPr>
            </w:r>
            <w:r w:rsidR="00B87DDE">
              <w:rPr>
                <w:noProof/>
                <w:webHidden/>
              </w:rPr>
              <w:fldChar w:fldCharType="separate"/>
            </w:r>
            <w:r w:rsidR="00B87DDE">
              <w:rPr>
                <w:noProof/>
                <w:webHidden/>
              </w:rPr>
              <w:t>30</w:t>
            </w:r>
            <w:r w:rsidR="00B87DDE">
              <w:rPr>
                <w:noProof/>
                <w:webHidden/>
              </w:rPr>
              <w:fldChar w:fldCharType="end"/>
            </w:r>
          </w:hyperlink>
        </w:p>
        <w:p w14:paraId="74A957B1" w14:textId="31CB8CC6" w:rsidR="00B87DDE" w:rsidRDefault="00747E0A">
          <w:pPr>
            <w:pStyle w:val="TDC3"/>
            <w:tabs>
              <w:tab w:val="right" w:leader="dot" w:pos="8828"/>
            </w:tabs>
            <w:rPr>
              <w:rFonts w:asciiTheme="minorHAnsi" w:eastAsiaTheme="minorEastAsia" w:hAnsiTheme="minorHAnsi"/>
              <w:noProof/>
              <w:sz w:val="22"/>
              <w:lang w:eastAsia="es-ES"/>
            </w:rPr>
          </w:pPr>
          <w:hyperlink w:anchor="_Toc232987000" w:history="1">
            <w:r w:rsidR="00B87DDE" w:rsidRPr="00237922">
              <w:rPr>
                <w:rStyle w:val="Hipervnculo"/>
                <w:rFonts w:cs="Arial"/>
                <w:noProof/>
              </w:rPr>
              <w:t>Criterios de inclusión</w:t>
            </w:r>
            <w:r w:rsidR="00B87DDE">
              <w:rPr>
                <w:noProof/>
                <w:webHidden/>
              </w:rPr>
              <w:tab/>
            </w:r>
            <w:r w:rsidR="00B87DDE">
              <w:rPr>
                <w:noProof/>
                <w:webHidden/>
              </w:rPr>
              <w:fldChar w:fldCharType="begin"/>
            </w:r>
            <w:r w:rsidR="00B87DDE">
              <w:rPr>
                <w:noProof/>
                <w:webHidden/>
              </w:rPr>
              <w:instrText xml:space="preserve"> PAGEREF _Toc232987000 \h </w:instrText>
            </w:r>
            <w:r w:rsidR="00B87DDE">
              <w:rPr>
                <w:noProof/>
                <w:webHidden/>
              </w:rPr>
            </w:r>
            <w:r w:rsidR="00B87DDE">
              <w:rPr>
                <w:noProof/>
                <w:webHidden/>
              </w:rPr>
              <w:fldChar w:fldCharType="separate"/>
            </w:r>
            <w:r w:rsidR="00B87DDE">
              <w:rPr>
                <w:noProof/>
                <w:webHidden/>
              </w:rPr>
              <w:t>30</w:t>
            </w:r>
            <w:r w:rsidR="00B87DDE">
              <w:rPr>
                <w:noProof/>
                <w:webHidden/>
              </w:rPr>
              <w:fldChar w:fldCharType="end"/>
            </w:r>
          </w:hyperlink>
        </w:p>
        <w:p w14:paraId="1F960E79" w14:textId="76D204D1" w:rsidR="00B87DDE" w:rsidRDefault="00747E0A">
          <w:pPr>
            <w:pStyle w:val="TDC3"/>
            <w:tabs>
              <w:tab w:val="right" w:leader="dot" w:pos="8828"/>
            </w:tabs>
            <w:rPr>
              <w:rFonts w:asciiTheme="minorHAnsi" w:eastAsiaTheme="minorEastAsia" w:hAnsiTheme="minorHAnsi"/>
              <w:noProof/>
              <w:sz w:val="22"/>
              <w:lang w:eastAsia="es-ES"/>
            </w:rPr>
          </w:pPr>
          <w:hyperlink w:anchor="_Toc232987001" w:history="1">
            <w:r w:rsidR="00B87DDE" w:rsidRPr="00237922">
              <w:rPr>
                <w:rStyle w:val="Hipervnculo"/>
                <w:rFonts w:cs="Arial"/>
                <w:noProof/>
              </w:rPr>
              <w:t>Criterios de exclusión</w:t>
            </w:r>
            <w:r w:rsidR="00B87DDE">
              <w:rPr>
                <w:noProof/>
                <w:webHidden/>
              </w:rPr>
              <w:tab/>
            </w:r>
            <w:r w:rsidR="00B87DDE">
              <w:rPr>
                <w:noProof/>
                <w:webHidden/>
              </w:rPr>
              <w:fldChar w:fldCharType="begin"/>
            </w:r>
            <w:r w:rsidR="00B87DDE">
              <w:rPr>
                <w:noProof/>
                <w:webHidden/>
              </w:rPr>
              <w:instrText xml:space="preserve"> PAGEREF _Toc232987001 \h </w:instrText>
            </w:r>
            <w:r w:rsidR="00B87DDE">
              <w:rPr>
                <w:noProof/>
                <w:webHidden/>
              </w:rPr>
            </w:r>
            <w:r w:rsidR="00B87DDE">
              <w:rPr>
                <w:noProof/>
                <w:webHidden/>
              </w:rPr>
              <w:fldChar w:fldCharType="separate"/>
            </w:r>
            <w:r w:rsidR="00B87DDE">
              <w:rPr>
                <w:noProof/>
                <w:webHidden/>
              </w:rPr>
              <w:t>31</w:t>
            </w:r>
            <w:r w:rsidR="00B87DDE">
              <w:rPr>
                <w:noProof/>
                <w:webHidden/>
              </w:rPr>
              <w:fldChar w:fldCharType="end"/>
            </w:r>
          </w:hyperlink>
        </w:p>
        <w:p w14:paraId="5AB60475" w14:textId="2694F84E" w:rsidR="00B87DDE" w:rsidRDefault="00747E0A">
          <w:pPr>
            <w:pStyle w:val="TDC2"/>
            <w:tabs>
              <w:tab w:val="right" w:leader="dot" w:pos="8828"/>
            </w:tabs>
            <w:rPr>
              <w:rFonts w:asciiTheme="minorHAnsi" w:eastAsiaTheme="minorEastAsia" w:hAnsiTheme="minorHAnsi"/>
              <w:noProof/>
              <w:sz w:val="22"/>
              <w:lang w:eastAsia="es-ES"/>
            </w:rPr>
          </w:pPr>
          <w:hyperlink w:anchor="_Toc232987002" w:history="1">
            <w:r w:rsidR="00B87DDE" w:rsidRPr="00237922">
              <w:rPr>
                <w:rStyle w:val="Hipervnculo"/>
                <w:rFonts w:cs="Arial"/>
                <w:noProof/>
              </w:rPr>
              <w:t>Fuentes de información y estrategia de búsqueda</w:t>
            </w:r>
            <w:r w:rsidR="00B87DDE">
              <w:rPr>
                <w:noProof/>
                <w:webHidden/>
              </w:rPr>
              <w:tab/>
            </w:r>
            <w:r w:rsidR="00B87DDE">
              <w:rPr>
                <w:noProof/>
                <w:webHidden/>
              </w:rPr>
              <w:fldChar w:fldCharType="begin"/>
            </w:r>
            <w:r w:rsidR="00B87DDE">
              <w:rPr>
                <w:noProof/>
                <w:webHidden/>
              </w:rPr>
              <w:instrText xml:space="preserve"> PAGEREF _Toc232987002 \h </w:instrText>
            </w:r>
            <w:r w:rsidR="00B87DDE">
              <w:rPr>
                <w:noProof/>
                <w:webHidden/>
              </w:rPr>
            </w:r>
            <w:r w:rsidR="00B87DDE">
              <w:rPr>
                <w:noProof/>
                <w:webHidden/>
              </w:rPr>
              <w:fldChar w:fldCharType="separate"/>
            </w:r>
            <w:r w:rsidR="00B87DDE">
              <w:rPr>
                <w:noProof/>
                <w:webHidden/>
              </w:rPr>
              <w:t>32</w:t>
            </w:r>
            <w:r w:rsidR="00B87DDE">
              <w:rPr>
                <w:noProof/>
                <w:webHidden/>
              </w:rPr>
              <w:fldChar w:fldCharType="end"/>
            </w:r>
          </w:hyperlink>
        </w:p>
        <w:p w14:paraId="13D5E7CE" w14:textId="5C43D60E" w:rsidR="00B87DDE" w:rsidRDefault="00747E0A">
          <w:pPr>
            <w:pStyle w:val="TDC2"/>
            <w:tabs>
              <w:tab w:val="right" w:leader="dot" w:pos="8828"/>
            </w:tabs>
            <w:rPr>
              <w:rFonts w:asciiTheme="minorHAnsi" w:eastAsiaTheme="minorEastAsia" w:hAnsiTheme="minorHAnsi"/>
              <w:noProof/>
              <w:sz w:val="22"/>
              <w:lang w:eastAsia="es-ES"/>
            </w:rPr>
          </w:pPr>
          <w:hyperlink w:anchor="_Toc232987003" w:history="1">
            <w:r w:rsidR="00B87DDE" w:rsidRPr="00237922">
              <w:rPr>
                <w:rStyle w:val="Hipervnculo"/>
                <w:rFonts w:cs="Arial"/>
                <w:noProof/>
              </w:rPr>
              <w:t>Proceso de selección de estudios</w:t>
            </w:r>
            <w:r w:rsidR="00B87DDE">
              <w:rPr>
                <w:noProof/>
                <w:webHidden/>
              </w:rPr>
              <w:tab/>
            </w:r>
            <w:r w:rsidR="00B87DDE">
              <w:rPr>
                <w:noProof/>
                <w:webHidden/>
              </w:rPr>
              <w:fldChar w:fldCharType="begin"/>
            </w:r>
            <w:r w:rsidR="00B87DDE">
              <w:rPr>
                <w:noProof/>
                <w:webHidden/>
              </w:rPr>
              <w:instrText xml:space="preserve"> PAGEREF _Toc232987003 \h </w:instrText>
            </w:r>
            <w:r w:rsidR="00B87DDE">
              <w:rPr>
                <w:noProof/>
                <w:webHidden/>
              </w:rPr>
            </w:r>
            <w:r w:rsidR="00B87DDE">
              <w:rPr>
                <w:noProof/>
                <w:webHidden/>
              </w:rPr>
              <w:fldChar w:fldCharType="separate"/>
            </w:r>
            <w:r w:rsidR="00B87DDE">
              <w:rPr>
                <w:noProof/>
                <w:webHidden/>
              </w:rPr>
              <w:t>33</w:t>
            </w:r>
            <w:r w:rsidR="00B87DDE">
              <w:rPr>
                <w:noProof/>
                <w:webHidden/>
              </w:rPr>
              <w:fldChar w:fldCharType="end"/>
            </w:r>
          </w:hyperlink>
        </w:p>
        <w:p w14:paraId="102A8183" w14:textId="67989D0F" w:rsidR="00B87DDE" w:rsidRDefault="00747E0A">
          <w:pPr>
            <w:pStyle w:val="TDC2"/>
            <w:tabs>
              <w:tab w:val="right" w:leader="dot" w:pos="8828"/>
            </w:tabs>
            <w:rPr>
              <w:rFonts w:asciiTheme="minorHAnsi" w:eastAsiaTheme="minorEastAsia" w:hAnsiTheme="minorHAnsi"/>
              <w:noProof/>
              <w:sz w:val="22"/>
              <w:lang w:eastAsia="es-ES"/>
            </w:rPr>
          </w:pPr>
          <w:hyperlink w:anchor="_Toc232987004" w:history="1">
            <w:r w:rsidR="00B87DDE" w:rsidRPr="00237922">
              <w:rPr>
                <w:rStyle w:val="Hipervnculo"/>
                <w:rFonts w:cs="Arial"/>
                <w:noProof/>
              </w:rPr>
              <w:t>Extracción de datos</w:t>
            </w:r>
            <w:r w:rsidR="00B87DDE">
              <w:rPr>
                <w:noProof/>
                <w:webHidden/>
              </w:rPr>
              <w:tab/>
            </w:r>
            <w:r w:rsidR="00B87DDE">
              <w:rPr>
                <w:noProof/>
                <w:webHidden/>
              </w:rPr>
              <w:fldChar w:fldCharType="begin"/>
            </w:r>
            <w:r w:rsidR="00B87DDE">
              <w:rPr>
                <w:noProof/>
                <w:webHidden/>
              </w:rPr>
              <w:instrText xml:space="preserve"> PAGEREF _Toc232987004 \h </w:instrText>
            </w:r>
            <w:r w:rsidR="00B87DDE">
              <w:rPr>
                <w:noProof/>
                <w:webHidden/>
              </w:rPr>
            </w:r>
            <w:r w:rsidR="00B87DDE">
              <w:rPr>
                <w:noProof/>
                <w:webHidden/>
              </w:rPr>
              <w:fldChar w:fldCharType="separate"/>
            </w:r>
            <w:r w:rsidR="00B87DDE">
              <w:rPr>
                <w:noProof/>
                <w:webHidden/>
              </w:rPr>
              <w:t>34</w:t>
            </w:r>
            <w:r w:rsidR="00B87DDE">
              <w:rPr>
                <w:noProof/>
                <w:webHidden/>
              </w:rPr>
              <w:fldChar w:fldCharType="end"/>
            </w:r>
          </w:hyperlink>
        </w:p>
        <w:p w14:paraId="49B7307E" w14:textId="2C39F744" w:rsidR="00B87DDE" w:rsidRDefault="00747E0A">
          <w:pPr>
            <w:pStyle w:val="TDC2"/>
            <w:tabs>
              <w:tab w:val="right" w:leader="dot" w:pos="8828"/>
            </w:tabs>
            <w:rPr>
              <w:rFonts w:asciiTheme="minorHAnsi" w:eastAsiaTheme="minorEastAsia" w:hAnsiTheme="minorHAnsi"/>
              <w:noProof/>
              <w:sz w:val="22"/>
              <w:lang w:eastAsia="es-ES"/>
            </w:rPr>
          </w:pPr>
          <w:hyperlink w:anchor="_Toc232987005" w:history="1">
            <w:r w:rsidR="00B87DDE" w:rsidRPr="00237922">
              <w:rPr>
                <w:rStyle w:val="Hipervnculo"/>
                <w:rFonts w:cs="Arial"/>
                <w:noProof/>
              </w:rPr>
              <w:t>Evaluación del riesgo de sesgo y calidad metodológica</w:t>
            </w:r>
            <w:r w:rsidR="00B87DDE">
              <w:rPr>
                <w:noProof/>
                <w:webHidden/>
              </w:rPr>
              <w:tab/>
            </w:r>
            <w:r w:rsidR="00B87DDE">
              <w:rPr>
                <w:noProof/>
                <w:webHidden/>
              </w:rPr>
              <w:fldChar w:fldCharType="begin"/>
            </w:r>
            <w:r w:rsidR="00B87DDE">
              <w:rPr>
                <w:noProof/>
                <w:webHidden/>
              </w:rPr>
              <w:instrText xml:space="preserve"> PAGEREF _Toc232987005 \h </w:instrText>
            </w:r>
            <w:r w:rsidR="00B87DDE">
              <w:rPr>
                <w:noProof/>
                <w:webHidden/>
              </w:rPr>
            </w:r>
            <w:r w:rsidR="00B87DDE">
              <w:rPr>
                <w:noProof/>
                <w:webHidden/>
              </w:rPr>
              <w:fldChar w:fldCharType="separate"/>
            </w:r>
            <w:r w:rsidR="00B87DDE">
              <w:rPr>
                <w:noProof/>
                <w:webHidden/>
              </w:rPr>
              <w:t>36</w:t>
            </w:r>
            <w:r w:rsidR="00B87DDE">
              <w:rPr>
                <w:noProof/>
                <w:webHidden/>
              </w:rPr>
              <w:fldChar w:fldCharType="end"/>
            </w:r>
          </w:hyperlink>
        </w:p>
        <w:p w14:paraId="13CC2A91" w14:textId="5F6680F1" w:rsidR="00B87DDE" w:rsidRDefault="00747E0A">
          <w:pPr>
            <w:pStyle w:val="TDC2"/>
            <w:tabs>
              <w:tab w:val="right" w:leader="dot" w:pos="8828"/>
            </w:tabs>
            <w:rPr>
              <w:rFonts w:asciiTheme="minorHAnsi" w:eastAsiaTheme="minorEastAsia" w:hAnsiTheme="minorHAnsi"/>
              <w:noProof/>
              <w:sz w:val="22"/>
              <w:lang w:eastAsia="es-ES"/>
            </w:rPr>
          </w:pPr>
          <w:hyperlink w:anchor="_Toc232987006" w:history="1">
            <w:r w:rsidR="00B87DDE" w:rsidRPr="00237922">
              <w:rPr>
                <w:rStyle w:val="Hipervnculo"/>
                <w:rFonts w:cs="Arial"/>
                <w:noProof/>
              </w:rPr>
              <w:t>Métodos de síntesis y análisis estadístico</w:t>
            </w:r>
            <w:r w:rsidR="00B87DDE">
              <w:rPr>
                <w:noProof/>
                <w:webHidden/>
              </w:rPr>
              <w:tab/>
            </w:r>
            <w:r w:rsidR="00B87DDE">
              <w:rPr>
                <w:noProof/>
                <w:webHidden/>
              </w:rPr>
              <w:fldChar w:fldCharType="begin"/>
            </w:r>
            <w:r w:rsidR="00B87DDE">
              <w:rPr>
                <w:noProof/>
                <w:webHidden/>
              </w:rPr>
              <w:instrText xml:space="preserve"> PAGEREF _Toc232987006 \h </w:instrText>
            </w:r>
            <w:r w:rsidR="00B87DDE">
              <w:rPr>
                <w:noProof/>
                <w:webHidden/>
              </w:rPr>
            </w:r>
            <w:r w:rsidR="00B87DDE">
              <w:rPr>
                <w:noProof/>
                <w:webHidden/>
              </w:rPr>
              <w:fldChar w:fldCharType="separate"/>
            </w:r>
            <w:r w:rsidR="00B87DDE">
              <w:rPr>
                <w:noProof/>
                <w:webHidden/>
              </w:rPr>
              <w:t>37</w:t>
            </w:r>
            <w:r w:rsidR="00B87DDE">
              <w:rPr>
                <w:noProof/>
                <w:webHidden/>
              </w:rPr>
              <w:fldChar w:fldCharType="end"/>
            </w:r>
          </w:hyperlink>
        </w:p>
        <w:p w14:paraId="1A89B985" w14:textId="742D8BB9" w:rsidR="00B87DDE" w:rsidRDefault="00747E0A">
          <w:pPr>
            <w:pStyle w:val="TDC2"/>
            <w:tabs>
              <w:tab w:val="right" w:leader="dot" w:pos="8828"/>
            </w:tabs>
            <w:rPr>
              <w:rFonts w:asciiTheme="minorHAnsi" w:eastAsiaTheme="minorEastAsia" w:hAnsiTheme="minorHAnsi"/>
              <w:noProof/>
              <w:sz w:val="22"/>
              <w:lang w:eastAsia="es-ES"/>
            </w:rPr>
          </w:pPr>
          <w:hyperlink w:anchor="_Toc232987007" w:history="1">
            <w:r w:rsidR="00B87DDE" w:rsidRPr="00237922">
              <w:rPr>
                <w:rStyle w:val="Hipervnculo"/>
                <w:rFonts w:cs="Arial"/>
                <w:noProof/>
              </w:rPr>
              <w:t>Evaluación del sesgo de publicación</w:t>
            </w:r>
            <w:r w:rsidR="00B87DDE">
              <w:rPr>
                <w:noProof/>
                <w:webHidden/>
              </w:rPr>
              <w:tab/>
            </w:r>
            <w:r w:rsidR="00B87DDE">
              <w:rPr>
                <w:noProof/>
                <w:webHidden/>
              </w:rPr>
              <w:fldChar w:fldCharType="begin"/>
            </w:r>
            <w:r w:rsidR="00B87DDE">
              <w:rPr>
                <w:noProof/>
                <w:webHidden/>
              </w:rPr>
              <w:instrText xml:space="preserve"> PAGEREF _Toc232987007 \h </w:instrText>
            </w:r>
            <w:r w:rsidR="00B87DDE">
              <w:rPr>
                <w:noProof/>
                <w:webHidden/>
              </w:rPr>
            </w:r>
            <w:r w:rsidR="00B87DDE">
              <w:rPr>
                <w:noProof/>
                <w:webHidden/>
              </w:rPr>
              <w:fldChar w:fldCharType="separate"/>
            </w:r>
            <w:r w:rsidR="00B87DDE">
              <w:rPr>
                <w:noProof/>
                <w:webHidden/>
              </w:rPr>
              <w:t>40</w:t>
            </w:r>
            <w:r w:rsidR="00B87DDE">
              <w:rPr>
                <w:noProof/>
                <w:webHidden/>
              </w:rPr>
              <w:fldChar w:fldCharType="end"/>
            </w:r>
          </w:hyperlink>
        </w:p>
        <w:p w14:paraId="309EE9AD" w14:textId="76502A24"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08" w:history="1">
            <w:r w:rsidR="00B87DDE" w:rsidRPr="00237922">
              <w:rPr>
                <w:rStyle w:val="Hipervnculo"/>
                <w:noProof/>
                <w:lang w:val="es-NI"/>
              </w:rPr>
              <w:t>Resultados</w:t>
            </w:r>
            <w:r w:rsidR="00B87DDE">
              <w:rPr>
                <w:noProof/>
                <w:webHidden/>
              </w:rPr>
              <w:tab/>
            </w:r>
            <w:r w:rsidR="00B87DDE">
              <w:rPr>
                <w:noProof/>
                <w:webHidden/>
              </w:rPr>
              <w:fldChar w:fldCharType="begin"/>
            </w:r>
            <w:r w:rsidR="00B87DDE">
              <w:rPr>
                <w:noProof/>
                <w:webHidden/>
              </w:rPr>
              <w:instrText xml:space="preserve"> PAGEREF _Toc232987008 \h </w:instrText>
            </w:r>
            <w:r w:rsidR="00B87DDE">
              <w:rPr>
                <w:noProof/>
                <w:webHidden/>
              </w:rPr>
            </w:r>
            <w:r w:rsidR="00B87DDE">
              <w:rPr>
                <w:noProof/>
                <w:webHidden/>
              </w:rPr>
              <w:fldChar w:fldCharType="separate"/>
            </w:r>
            <w:r w:rsidR="00B87DDE">
              <w:rPr>
                <w:noProof/>
                <w:webHidden/>
              </w:rPr>
              <w:t>41</w:t>
            </w:r>
            <w:r w:rsidR="00B87DDE">
              <w:rPr>
                <w:noProof/>
                <w:webHidden/>
              </w:rPr>
              <w:fldChar w:fldCharType="end"/>
            </w:r>
          </w:hyperlink>
        </w:p>
        <w:p w14:paraId="5B775AD4" w14:textId="71E33442" w:rsidR="00B87DDE" w:rsidRDefault="00747E0A">
          <w:pPr>
            <w:pStyle w:val="TDC2"/>
            <w:tabs>
              <w:tab w:val="right" w:leader="dot" w:pos="8828"/>
            </w:tabs>
            <w:rPr>
              <w:rFonts w:asciiTheme="minorHAnsi" w:eastAsiaTheme="minorEastAsia" w:hAnsiTheme="minorHAnsi"/>
              <w:noProof/>
              <w:sz w:val="22"/>
              <w:lang w:eastAsia="es-ES"/>
            </w:rPr>
          </w:pPr>
          <w:hyperlink w:anchor="_Toc232987009" w:history="1">
            <w:r w:rsidR="00B87DDE" w:rsidRPr="00237922">
              <w:rPr>
                <w:rStyle w:val="Hipervnculo"/>
                <w:noProof/>
                <w:lang w:val="es-NI"/>
              </w:rPr>
              <w:t>Resultados del objetivo 1. Características generales, clínicas y metodológicas de los estudios incluidos</w:t>
            </w:r>
            <w:r w:rsidR="00B87DDE">
              <w:rPr>
                <w:noProof/>
                <w:webHidden/>
              </w:rPr>
              <w:tab/>
            </w:r>
            <w:r w:rsidR="00B87DDE">
              <w:rPr>
                <w:noProof/>
                <w:webHidden/>
              </w:rPr>
              <w:fldChar w:fldCharType="begin"/>
            </w:r>
            <w:r w:rsidR="00B87DDE">
              <w:rPr>
                <w:noProof/>
                <w:webHidden/>
              </w:rPr>
              <w:instrText xml:space="preserve"> PAGEREF _Toc232987009 \h </w:instrText>
            </w:r>
            <w:r w:rsidR="00B87DDE">
              <w:rPr>
                <w:noProof/>
                <w:webHidden/>
              </w:rPr>
            </w:r>
            <w:r w:rsidR="00B87DDE">
              <w:rPr>
                <w:noProof/>
                <w:webHidden/>
              </w:rPr>
              <w:fldChar w:fldCharType="separate"/>
            </w:r>
            <w:r w:rsidR="00B87DDE">
              <w:rPr>
                <w:noProof/>
                <w:webHidden/>
              </w:rPr>
              <w:t>43</w:t>
            </w:r>
            <w:r w:rsidR="00B87DDE">
              <w:rPr>
                <w:noProof/>
                <w:webHidden/>
              </w:rPr>
              <w:fldChar w:fldCharType="end"/>
            </w:r>
          </w:hyperlink>
        </w:p>
        <w:p w14:paraId="0CE44DB6" w14:textId="58190211" w:rsidR="00B87DDE" w:rsidRDefault="00747E0A">
          <w:pPr>
            <w:pStyle w:val="TDC2"/>
            <w:tabs>
              <w:tab w:val="right" w:leader="dot" w:pos="8828"/>
            </w:tabs>
            <w:rPr>
              <w:rFonts w:asciiTheme="minorHAnsi" w:eastAsiaTheme="minorEastAsia" w:hAnsiTheme="minorHAnsi"/>
              <w:noProof/>
              <w:sz w:val="22"/>
              <w:lang w:eastAsia="es-ES"/>
            </w:rPr>
          </w:pPr>
          <w:hyperlink w:anchor="_Toc232987010" w:history="1">
            <w:r w:rsidR="00B87DDE" w:rsidRPr="00237922">
              <w:rPr>
                <w:rStyle w:val="Hipervnculo"/>
                <w:noProof/>
                <w:lang w:val="es-NI"/>
              </w:rPr>
              <w:t>Resultados del objetivo 2. Evaluación del riesgo de sesgo de los estudios incluidos y la calidad global de la evidencia disponible</w:t>
            </w:r>
            <w:r w:rsidR="00B87DDE">
              <w:rPr>
                <w:noProof/>
                <w:webHidden/>
              </w:rPr>
              <w:tab/>
            </w:r>
            <w:r w:rsidR="00B87DDE">
              <w:rPr>
                <w:noProof/>
                <w:webHidden/>
              </w:rPr>
              <w:fldChar w:fldCharType="begin"/>
            </w:r>
            <w:r w:rsidR="00B87DDE">
              <w:rPr>
                <w:noProof/>
                <w:webHidden/>
              </w:rPr>
              <w:instrText xml:space="preserve"> PAGEREF _Toc232987010 \h </w:instrText>
            </w:r>
            <w:r w:rsidR="00B87DDE">
              <w:rPr>
                <w:noProof/>
                <w:webHidden/>
              </w:rPr>
            </w:r>
            <w:r w:rsidR="00B87DDE">
              <w:rPr>
                <w:noProof/>
                <w:webHidden/>
              </w:rPr>
              <w:fldChar w:fldCharType="separate"/>
            </w:r>
            <w:r w:rsidR="00B87DDE">
              <w:rPr>
                <w:noProof/>
                <w:webHidden/>
              </w:rPr>
              <w:t>51</w:t>
            </w:r>
            <w:r w:rsidR="00B87DDE">
              <w:rPr>
                <w:noProof/>
                <w:webHidden/>
              </w:rPr>
              <w:fldChar w:fldCharType="end"/>
            </w:r>
          </w:hyperlink>
        </w:p>
        <w:p w14:paraId="2D85F8AA" w14:textId="0586F58A" w:rsidR="00B87DDE" w:rsidRDefault="00747E0A">
          <w:pPr>
            <w:pStyle w:val="TDC2"/>
            <w:tabs>
              <w:tab w:val="right" w:leader="dot" w:pos="8828"/>
            </w:tabs>
            <w:rPr>
              <w:rFonts w:asciiTheme="minorHAnsi" w:eastAsiaTheme="minorEastAsia" w:hAnsiTheme="minorHAnsi"/>
              <w:noProof/>
              <w:sz w:val="22"/>
              <w:lang w:eastAsia="es-ES"/>
            </w:rPr>
          </w:pPr>
          <w:hyperlink w:anchor="_Toc232987011" w:history="1">
            <w:r w:rsidR="00B87DDE" w:rsidRPr="00237922">
              <w:rPr>
                <w:rStyle w:val="Hipervnculo"/>
                <w:noProof/>
              </w:rPr>
              <w:t>Resultado del objetivo 3. Metaanálisis global y síntesis comparativa de los resultados clínicos del misoprostol</w:t>
            </w:r>
            <w:r w:rsidR="00B87DDE">
              <w:rPr>
                <w:noProof/>
                <w:webHidden/>
              </w:rPr>
              <w:tab/>
            </w:r>
            <w:r w:rsidR="00B87DDE">
              <w:rPr>
                <w:noProof/>
                <w:webHidden/>
              </w:rPr>
              <w:fldChar w:fldCharType="begin"/>
            </w:r>
            <w:r w:rsidR="00B87DDE">
              <w:rPr>
                <w:noProof/>
                <w:webHidden/>
              </w:rPr>
              <w:instrText xml:space="preserve"> PAGEREF _Toc232987011 \h </w:instrText>
            </w:r>
            <w:r w:rsidR="00B87DDE">
              <w:rPr>
                <w:noProof/>
                <w:webHidden/>
              </w:rPr>
            </w:r>
            <w:r w:rsidR="00B87DDE">
              <w:rPr>
                <w:noProof/>
                <w:webHidden/>
              </w:rPr>
              <w:fldChar w:fldCharType="separate"/>
            </w:r>
            <w:r w:rsidR="00B87DDE">
              <w:rPr>
                <w:noProof/>
                <w:webHidden/>
              </w:rPr>
              <w:t>57</w:t>
            </w:r>
            <w:r w:rsidR="00B87DDE">
              <w:rPr>
                <w:noProof/>
                <w:webHidden/>
              </w:rPr>
              <w:fldChar w:fldCharType="end"/>
            </w:r>
          </w:hyperlink>
        </w:p>
        <w:p w14:paraId="07A1586B" w14:textId="333BC0ED" w:rsidR="00B87DDE" w:rsidRDefault="00747E0A">
          <w:pPr>
            <w:pStyle w:val="TDC3"/>
            <w:tabs>
              <w:tab w:val="right" w:leader="dot" w:pos="8828"/>
            </w:tabs>
            <w:rPr>
              <w:rFonts w:asciiTheme="minorHAnsi" w:eastAsiaTheme="minorEastAsia" w:hAnsiTheme="minorHAnsi"/>
              <w:noProof/>
              <w:sz w:val="22"/>
              <w:lang w:eastAsia="es-ES"/>
            </w:rPr>
          </w:pPr>
          <w:hyperlink w:anchor="_Toc232987012" w:history="1">
            <w:r w:rsidR="00B87DDE" w:rsidRPr="00237922">
              <w:rPr>
                <w:rStyle w:val="Hipervnculo"/>
                <w:noProof/>
              </w:rPr>
              <w:t>Hallazgos de los estudios incluidos en el metaanálisis de proporción de éxito del manejo con misoprostol</w:t>
            </w:r>
            <w:r w:rsidR="00B87DDE">
              <w:rPr>
                <w:noProof/>
                <w:webHidden/>
              </w:rPr>
              <w:tab/>
            </w:r>
            <w:r w:rsidR="00B87DDE">
              <w:rPr>
                <w:noProof/>
                <w:webHidden/>
              </w:rPr>
              <w:fldChar w:fldCharType="begin"/>
            </w:r>
            <w:r w:rsidR="00B87DDE">
              <w:rPr>
                <w:noProof/>
                <w:webHidden/>
              </w:rPr>
              <w:instrText xml:space="preserve"> PAGEREF _Toc232987012 \h </w:instrText>
            </w:r>
            <w:r w:rsidR="00B87DDE">
              <w:rPr>
                <w:noProof/>
                <w:webHidden/>
              </w:rPr>
            </w:r>
            <w:r w:rsidR="00B87DDE">
              <w:rPr>
                <w:noProof/>
                <w:webHidden/>
              </w:rPr>
              <w:fldChar w:fldCharType="separate"/>
            </w:r>
            <w:r w:rsidR="00B87DDE">
              <w:rPr>
                <w:noProof/>
                <w:webHidden/>
              </w:rPr>
              <w:t>57</w:t>
            </w:r>
            <w:r w:rsidR="00B87DDE">
              <w:rPr>
                <w:noProof/>
                <w:webHidden/>
              </w:rPr>
              <w:fldChar w:fldCharType="end"/>
            </w:r>
          </w:hyperlink>
        </w:p>
        <w:p w14:paraId="53C9BF5C" w14:textId="3EE8734A" w:rsidR="00B87DDE" w:rsidRDefault="00747E0A">
          <w:pPr>
            <w:pStyle w:val="TDC3"/>
            <w:tabs>
              <w:tab w:val="right" w:leader="dot" w:pos="8828"/>
            </w:tabs>
            <w:rPr>
              <w:rFonts w:asciiTheme="minorHAnsi" w:eastAsiaTheme="minorEastAsia" w:hAnsiTheme="minorHAnsi"/>
              <w:noProof/>
              <w:sz w:val="22"/>
              <w:lang w:eastAsia="es-ES"/>
            </w:rPr>
          </w:pPr>
          <w:hyperlink w:anchor="_Toc232987013" w:history="1">
            <w:r w:rsidR="00B87DDE" w:rsidRPr="00237922">
              <w:rPr>
                <w:rStyle w:val="Hipervnculo"/>
                <w:noProof/>
                <w:lang w:val="es-NI"/>
              </w:rPr>
              <w:t>Resultados del metaanálisis de proporción de éxito del manejo del aborto espontaneo con misoprostol según tipo de publicación</w:t>
            </w:r>
            <w:r w:rsidR="00B87DDE">
              <w:rPr>
                <w:noProof/>
                <w:webHidden/>
              </w:rPr>
              <w:tab/>
            </w:r>
            <w:r w:rsidR="00B87DDE">
              <w:rPr>
                <w:noProof/>
                <w:webHidden/>
              </w:rPr>
              <w:fldChar w:fldCharType="begin"/>
            </w:r>
            <w:r w:rsidR="00B87DDE">
              <w:rPr>
                <w:noProof/>
                <w:webHidden/>
              </w:rPr>
              <w:instrText xml:space="preserve"> PAGEREF _Toc232987013 \h </w:instrText>
            </w:r>
            <w:r w:rsidR="00B87DDE">
              <w:rPr>
                <w:noProof/>
                <w:webHidden/>
              </w:rPr>
            </w:r>
            <w:r w:rsidR="00B87DDE">
              <w:rPr>
                <w:noProof/>
                <w:webHidden/>
              </w:rPr>
              <w:fldChar w:fldCharType="separate"/>
            </w:r>
            <w:r w:rsidR="00B87DDE">
              <w:rPr>
                <w:noProof/>
                <w:webHidden/>
              </w:rPr>
              <w:t>60</w:t>
            </w:r>
            <w:r w:rsidR="00B87DDE">
              <w:rPr>
                <w:noProof/>
                <w:webHidden/>
              </w:rPr>
              <w:fldChar w:fldCharType="end"/>
            </w:r>
          </w:hyperlink>
        </w:p>
        <w:p w14:paraId="7DBF18FD" w14:textId="7BF1F581" w:rsidR="00B87DDE" w:rsidRDefault="00747E0A">
          <w:pPr>
            <w:pStyle w:val="TDC3"/>
            <w:tabs>
              <w:tab w:val="right" w:leader="dot" w:pos="8828"/>
            </w:tabs>
            <w:rPr>
              <w:rFonts w:asciiTheme="minorHAnsi" w:eastAsiaTheme="minorEastAsia" w:hAnsiTheme="minorHAnsi"/>
              <w:noProof/>
              <w:sz w:val="22"/>
              <w:lang w:eastAsia="es-ES"/>
            </w:rPr>
          </w:pPr>
          <w:hyperlink w:anchor="_Toc232987014" w:history="1">
            <w:r w:rsidR="00B87DDE" w:rsidRPr="00237922">
              <w:rPr>
                <w:rStyle w:val="Hipervnculo"/>
                <w:noProof/>
              </w:rPr>
              <w:t>Evaluación del sesgo de publicación de estudios incluidos en el metanálisis</w:t>
            </w:r>
            <w:r w:rsidR="00B87DDE">
              <w:rPr>
                <w:noProof/>
                <w:webHidden/>
              </w:rPr>
              <w:tab/>
            </w:r>
            <w:r w:rsidR="00B87DDE">
              <w:rPr>
                <w:noProof/>
                <w:webHidden/>
              </w:rPr>
              <w:fldChar w:fldCharType="begin"/>
            </w:r>
            <w:r w:rsidR="00B87DDE">
              <w:rPr>
                <w:noProof/>
                <w:webHidden/>
              </w:rPr>
              <w:instrText xml:space="preserve"> PAGEREF _Toc232987014 \h </w:instrText>
            </w:r>
            <w:r w:rsidR="00B87DDE">
              <w:rPr>
                <w:noProof/>
                <w:webHidden/>
              </w:rPr>
            </w:r>
            <w:r w:rsidR="00B87DDE">
              <w:rPr>
                <w:noProof/>
                <w:webHidden/>
              </w:rPr>
              <w:fldChar w:fldCharType="separate"/>
            </w:r>
            <w:r w:rsidR="00B87DDE">
              <w:rPr>
                <w:noProof/>
                <w:webHidden/>
              </w:rPr>
              <w:t>65</w:t>
            </w:r>
            <w:r w:rsidR="00B87DDE">
              <w:rPr>
                <w:noProof/>
                <w:webHidden/>
              </w:rPr>
              <w:fldChar w:fldCharType="end"/>
            </w:r>
          </w:hyperlink>
        </w:p>
        <w:p w14:paraId="272EA9AF" w14:textId="55AA64D6" w:rsidR="00B87DDE" w:rsidRDefault="00747E0A">
          <w:pPr>
            <w:pStyle w:val="TDC3"/>
            <w:tabs>
              <w:tab w:val="right" w:leader="dot" w:pos="8828"/>
            </w:tabs>
            <w:rPr>
              <w:rFonts w:asciiTheme="minorHAnsi" w:eastAsiaTheme="minorEastAsia" w:hAnsiTheme="minorHAnsi"/>
              <w:noProof/>
              <w:sz w:val="22"/>
              <w:lang w:eastAsia="es-ES"/>
            </w:rPr>
          </w:pPr>
          <w:hyperlink w:anchor="_Toc232987015" w:history="1">
            <w:r w:rsidR="00B87DDE" w:rsidRPr="00237922">
              <w:rPr>
                <w:rStyle w:val="Hipervnculo"/>
                <w:noProof/>
                <w:lang w:val="es-NI"/>
              </w:rPr>
              <w:t>Síntesis comparativa de los resultados frente a otras estrategias de manejo</w:t>
            </w:r>
            <w:r w:rsidR="00B87DDE">
              <w:rPr>
                <w:noProof/>
                <w:webHidden/>
              </w:rPr>
              <w:tab/>
            </w:r>
            <w:r w:rsidR="00B87DDE">
              <w:rPr>
                <w:noProof/>
                <w:webHidden/>
              </w:rPr>
              <w:fldChar w:fldCharType="begin"/>
            </w:r>
            <w:r w:rsidR="00B87DDE">
              <w:rPr>
                <w:noProof/>
                <w:webHidden/>
              </w:rPr>
              <w:instrText xml:space="preserve"> PAGEREF _Toc232987015 \h </w:instrText>
            </w:r>
            <w:r w:rsidR="00B87DDE">
              <w:rPr>
                <w:noProof/>
                <w:webHidden/>
              </w:rPr>
            </w:r>
            <w:r w:rsidR="00B87DDE">
              <w:rPr>
                <w:noProof/>
                <w:webHidden/>
              </w:rPr>
              <w:fldChar w:fldCharType="separate"/>
            </w:r>
            <w:r w:rsidR="00B87DDE">
              <w:rPr>
                <w:noProof/>
                <w:webHidden/>
              </w:rPr>
              <w:t>67</w:t>
            </w:r>
            <w:r w:rsidR="00B87DDE">
              <w:rPr>
                <w:noProof/>
                <w:webHidden/>
              </w:rPr>
              <w:fldChar w:fldCharType="end"/>
            </w:r>
          </w:hyperlink>
        </w:p>
        <w:p w14:paraId="44305725" w14:textId="6DF8D1D7" w:rsidR="00B87DDE" w:rsidRDefault="00747E0A">
          <w:pPr>
            <w:pStyle w:val="TDC2"/>
            <w:tabs>
              <w:tab w:val="right" w:leader="dot" w:pos="8828"/>
            </w:tabs>
            <w:rPr>
              <w:rFonts w:asciiTheme="minorHAnsi" w:eastAsiaTheme="minorEastAsia" w:hAnsiTheme="minorHAnsi"/>
              <w:noProof/>
              <w:sz w:val="22"/>
              <w:lang w:eastAsia="es-ES"/>
            </w:rPr>
          </w:pPr>
          <w:hyperlink w:anchor="_Toc232987016" w:history="1">
            <w:r w:rsidR="00B87DDE" w:rsidRPr="00237922">
              <w:rPr>
                <w:rStyle w:val="Hipervnculo"/>
                <w:noProof/>
                <w:lang w:val="es-NI"/>
              </w:rPr>
              <w:t xml:space="preserve">Resultados del objetivo 4. </w:t>
            </w:r>
            <w:r w:rsidR="00B87DDE" w:rsidRPr="00237922">
              <w:rPr>
                <w:rStyle w:val="Hipervnculo"/>
                <w:noProof/>
              </w:rPr>
              <w:t>Reacciones adversas y complicaciones reportadas en los estudios incluidos sobre manejo con misoprostol</w:t>
            </w:r>
            <w:r w:rsidR="00B87DDE">
              <w:rPr>
                <w:noProof/>
                <w:webHidden/>
              </w:rPr>
              <w:tab/>
            </w:r>
            <w:r w:rsidR="00B87DDE">
              <w:rPr>
                <w:noProof/>
                <w:webHidden/>
              </w:rPr>
              <w:fldChar w:fldCharType="begin"/>
            </w:r>
            <w:r w:rsidR="00B87DDE">
              <w:rPr>
                <w:noProof/>
                <w:webHidden/>
              </w:rPr>
              <w:instrText xml:space="preserve"> PAGEREF _Toc232987016 \h </w:instrText>
            </w:r>
            <w:r w:rsidR="00B87DDE">
              <w:rPr>
                <w:noProof/>
                <w:webHidden/>
              </w:rPr>
            </w:r>
            <w:r w:rsidR="00B87DDE">
              <w:rPr>
                <w:noProof/>
                <w:webHidden/>
              </w:rPr>
              <w:fldChar w:fldCharType="separate"/>
            </w:r>
            <w:r w:rsidR="00B87DDE">
              <w:rPr>
                <w:noProof/>
                <w:webHidden/>
              </w:rPr>
              <w:t>68</w:t>
            </w:r>
            <w:r w:rsidR="00B87DDE">
              <w:rPr>
                <w:noProof/>
                <w:webHidden/>
              </w:rPr>
              <w:fldChar w:fldCharType="end"/>
            </w:r>
          </w:hyperlink>
        </w:p>
        <w:p w14:paraId="0D8C059B" w14:textId="60147B64"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17" w:history="1">
            <w:r w:rsidR="00B87DDE" w:rsidRPr="00237922">
              <w:rPr>
                <w:rStyle w:val="Hipervnculo"/>
                <w:noProof/>
                <w:lang w:val="es-NI"/>
              </w:rPr>
              <w:t>Discusión</w:t>
            </w:r>
            <w:r w:rsidR="00B87DDE">
              <w:rPr>
                <w:noProof/>
                <w:webHidden/>
              </w:rPr>
              <w:tab/>
            </w:r>
            <w:r w:rsidR="00B87DDE">
              <w:rPr>
                <w:noProof/>
                <w:webHidden/>
              </w:rPr>
              <w:fldChar w:fldCharType="begin"/>
            </w:r>
            <w:r w:rsidR="00B87DDE">
              <w:rPr>
                <w:noProof/>
                <w:webHidden/>
              </w:rPr>
              <w:instrText xml:space="preserve"> PAGEREF _Toc232987017 \h </w:instrText>
            </w:r>
            <w:r w:rsidR="00B87DDE">
              <w:rPr>
                <w:noProof/>
                <w:webHidden/>
              </w:rPr>
            </w:r>
            <w:r w:rsidR="00B87DDE">
              <w:rPr>
                <w:noProof/>
                <w:webHidden/>
              </w:rPr>
              <w:fldChar w:fldCharType="separate"/>
            </w:r>
            <w:r w:rsidR="00B87DDE">
              <w:rPr>
                <w:noProof/>
                <w:webHidden/>
              </w:rPr>
              <w:t>71</w:t>
            </w:r>
            <w:r w:rsidR="00B87DDE">
              <w:rPr>
                <w:noProof/>
                <w:webHidden/>
              </w:rPr>
              <w:fldChar w:fldCharType="end"/>
            </w:r>
          </w:hyperlink>
        </w:p>
        <w:p w14:paraId="4FBFB2A5" w14:textId="092ECF3E" w:rsidR="00B87DDE" w:rsidRDefault="00747E0A">
          <w:pPr>
            <w:pStyle w:val="TDC2"/>
            <w:tabs>
              <w:tab w:val="right" w:leader="dot" w:pos="8828"/>
            </w:tabs>
            <w:rPr>
              <w:rFonts w:asciiTheme="minorHAnsi" w:eastAsiaTheme="minorEastAsia" w:hAnsiTheme="minorHAnsi"/>
              <w:noProof/>
              <w:sz w:val="22"/>
              <w:lang w:eastAsia="es-ES"/>
            </w:rPr>
          </w:pPr>
          <w:hyperlink w:anchor="_Toc232987018" w:history="1">
            <w:r w:rsidR="00B87DDE" w:rsidRPr="00237922">
              <w:rPr>
                <w:rStyle w:val="Hipervnculo"/>
                <w:noProof/>
                <w:lang w:val="es-NI"/>
              </w:rPr>
              <w:t>Síntesis e interpretación de los hallazgos principales</w:t>
            </w:r>
            <w:r w:rsidR="00B87DDE">
              <w:rPr>
                <w:noProof/>
                <w:webHidden/>
              </w:rPr>
              <w:tab/>
            </w:r>
            <w:r w:rsidR="00B87DDE">
              <w:rPr>
                <w:noProof/>
                <w:webHidden/>
              </w:rPr>
              <w:fldChar w:fldCharType="begin"/>
            </w:r>
            <w:r w:rsidR="00B87DDE">
              <w:rPr>
                <w:noProof/>
                <w:webHidden/>
              </w:rPr>
              <w:instrText xml:space="preserve"> PAGEREF _Toc232987018 \h </w:instrText>
            </w:r>
            <w:r w:rsidR="00B87DDE">
              <w:rPr>
                <w:noProof/>
                <w:webHidden/>
              </w:rPr>
            </w:r>
            <w:r w:rsidR="00B87DDE">
              <w:rPr>
                <w:noProof/>
                <w:webHidden/>
              </w:rPr>
              <w:fldChar w:fldCharType="separate"/>
            </w:r>
            <w:r w:rsidR="00B87DDE">
              <w:rPr>
                <w:noProof/>
                <w:webHidden/>
              </w:rPr>
              <w:t>71</w:t>
            </w:r>
            <w:r w:rsidR="00B87DDE">
              <w:rPr>
                <w:noProof/>
                <w:webHidden/>
              </w:rPr>
              <w:fldChar w:fldCharType="end"/>
            </w:r>
          </w:hyperlink>
        </w:p>
        <w:p w14:paraId="08354BA5" w14:textId="486DBCC9" w:rsidR="00B87DDE" w:rsidRDefault="00747E0A">
          <w:pPr>
            <w:pStyle w:val="TDC2"/>
            <w:tabs>
              <w:tab w:val="right" w:leader="dot" w:pos="8828"/>
            </w:tabs>
            <w:rPr>
              <w:rFonts w:asciiTheme="minorHAnsi" w:eastAsiaTheme="minorEastAsia" w:hAnsiTheme="minorHAnsi"/>
              <w:noProof/>
              <w:sz w:val="22"/>
              <w:lang w:eastAsia="es-ES"/>
            </w:rPr>
          </w:pPr>
          <w:hyperlink w:anchor="_Toc232987019" w:history="1">
            <w:r w:rsidR="00B87DDE" w:rsidRPr="00237922">
              <w:rPr>
                <w:rStyle w:val="Hipervnculo"/>
                <w:noProof/>
                <w:lang w:val="es-NI"/>
              </w:rPr>
              <w:t>Comparación de los resultados con la evidencia internacional disponible</w:t>
            </w:r>
            <w:r w:rsidR="00B87DDE">
              <w:rPr>
                <w:noProof/>
                <w:webHidden/>
              </w:rPr>
              <w:tab/>
            </w:r>
            <w:r w:rsidR="00B87DDE">
              <w:rPr>
                <w:noProof/>
                <w:webHidden/>
              </w:rPr>
              <w:fldChar w:fldCharType="begin"/>
            </w:r>
            <w:r w:rsidR="00B87DDE">
              <w:rPr>
                <w:noProof/>
                <w:webHidden/>
              </w:rPr>
              <w:instrText xml:space="preserve"> PAGEREF _Toc232987019 \h </w:instrText>
            </w:r>
            <w:r w:rsidR="00B87DDE">
              <w:rPr>
                <w:noProof/>
                <w:webHidden/>
              </w:rPr>
            </w:r>
            <w:r w:rsidR="00B87DDE">
              <w:rPr>
                <w:noProof/>
                <w:webHidden/>
              </w:rPr>
              <w:fldChar w:fldCharType="separate"/>
            </w:r>
            <w:r w:rsidR="00B87DDE">
              <w:rPr>
                <w:noProof/>
                <w:webHidden/>
              </w:rPr>
              <w:t>72</w:t>
            </w:r>
            <w:r w:rsidR="00B87DDE">
              <w:rPr>
                <w:noProof/>
                <w:webHidden/>
              </w:rPr>
              <w:fldChar w:fldCharType="end"/>
            </w:r>
          </w:hyperlink>
        </w:p>
        <w:p w14:paraId="7FA3BB66" w14:textId="5027B85C" w:rsidR="00B87DDE" w:rsidRDefault="00747E0A">
          <w:pPr>
            <w:pStyle w:val="TDC2"/>
            <w:tabs>
              <w:tab w:val="right" w:leader="dot" w:pos="8828"/>
            </w:tabs>
            <w:rPr>
              <w:rFonts w:asciiTheme="minorHAnsi" w:eastAsiaTheme="minorEastAsia" w:hAnsiTheme="minorHAnsi"/>
              <w:noProof/>
              <w:sz w:val="22"/>
              <w:lang w:eastAsia="es-ES"/>
            </w:rPr>
          </w:pPr>
          <w:hyperlink w:anchor="_Toc232987020" w:history="1">
            <w:r w:rsidR="00B87DDE" w:rsidRPr="00237922">
              <w:rPr>
                <w:rStyle w:val="Hipervnculo"/>
                <w:noProof/>
                <w:lang w:val="es-NI"/>
              </w:rPr>
              <w:t>Autoevaluación del nivel de evidencia generado por la revisión sistemática</w:t>
            </w:r>
            <w:r w:rsidR="00B87DDE">
              <w:rPr>
                <w:noProof/>
                <w:webHidden/>
              </w:rPr>
              <w:tab/>
            </w:r>
            <w:r w:rsidR="00B87DDE">
              <w:rPr>
                <w:noProof/>
                <w:webHidden/>
              </w:rPr>
              <w:fldChar w:fldCharType="begin"/>
            </w:r>
            <w:r w:rsidR="00B87DDE">
              <w:rPr>
                <w:noProof/>
                <w:webHidden/>
              </w:rPr>
              <w:instrText xml:space="preserve"> PAGEREF _Toc232987020 \h </w:instrText>
            </w:r>
            <w:r w:rsidR="00B87DDE">
              <w:rPr>
                <w:noProof/>
                <w:webHidden/>
              </w:rPr>
            </w:r>
            <w:r w:rsidR="00B87DDE">
              <w:rPr>
                <w:noProof/>
                <w:webHidden/>
              </w:rPr>
              <w:fldChar w:fldCharType="separate"/>
            </w:r>
            <w:r w:rsidR="00B87DDE">
              <w:rPr>
                <w:noProof/>
                <w:webHidden/>
              </w:rPr>
              <w:t>80</w:t>
            </w:r>
            <w:r w:rsidR="00B87DDE">
              <w:rPr>
                <w:noProof/>
                <w:webHidden/>
              </w:rPr>
              <w:fldChar w:fldCharType="end"/>
            </w:r>
          </w:hyperlink>
        </w:p>
        <w:p w14:paraId="47593CAD" w14:textId="32BC80B7" w:rsidR="00B87DDE" w:rsidRDefault="00747E0A">
          <w:pPr>
            <w:pStyle w:val="TDC2"/>
            <w:tabs>
              <w:tab w:val="right" w:leader="dot" w:pos="8828"/>
            </w:tabs>
            <w:rPr>
              <w:rFonts w:asciiTheme="minorHAnsi" w:eastAsiaTheme="minorEastAsia" w:hAnsiTheme="minorHAnsi"/>
              <w:noProof/>
              <w:sz w:val="22"/>
              <w:lang w:eastAsia="es-ES"/>
            </w:rPr>
          </w:pPr>
          <w:hyperlink w:anchor="_Toc232987021" w:history="1">
            <w:r w:rsidR="00B87DDE" w:rsidRPr="00237922">
              <w:rPr>
                <w:rStyle w:val="Hipervnculo"/>
                <w:noProof/>
                <w:lang w:val="es-NI"/>
              </w:rPr>
              <w:t>Implicaciones para la práctica clínica y las políticas de salud en América Latina y Nicaragua</w:t>
            </w:r>
            <w:r w:rsidR="00B87DDE">
              <w:rPr>
                <w:noProof/>
                <w:webHidden/>
              </w:rPr>
              <w:tab/>
            </w:r>
            <w:r w:rsidR="00B87DDE">
              <w:rPr>
                <w:noProof/>
                <w:webHidden/>
              </w:rPr>
              <w:fldChar w:fldCharType="begin"/>
            </w:r>
            <w:r w:rsidR="00B87DDE">
              <w:rPr>
                <w:noProof/>
                <w:webHidden/>
              </w:rPr>
              <w:instrText xml:space="preserve"> PAGEREF _Toc232987021 \h </w:instrText>
            </w:r>
            <w:r w:rsidR="00B87DDE">
              <w:rPr>
                <w:noProof/>
                <w:webHidden/>
              </w:rPr>
            </w:r>
            <w:r w:rsidR="00B87DDE">
              <w:rPr>
                <w:noProof/>
                <w:webHidden/>
              </w:rPr>
              <w:fldChar w:fldCharType="separate"/>
            </w:r>
            <w:r w:rsidR="00B87DDE">
              <w:rPr>
                <w:noProof/>
                <w:webHidden/>
              </w:rPr>
              <w:t>81</w:t>
            </w:r>
            <w:r w:rsidR="00B87DDE">
              <w:rPr>
                <w:noProof/>
                <w:webHidden/>
              </w:rPr>
              <w:fldChar w:fldCharType="end"/>
            </w:r>
          </w:hyperlink>
        </w:p>
        <w:p w14:paraId="4579A62B" w14:textId="3047F41F" w:rsidR="00B87DDE" w:rsidRDefault="00747E0A">
          <w:pPr>
            <w:pStyle w:val="TDC2"/>
            <w:tabs>
              <w:tab w:val="right" w:leader="dot" w:pos="8828"/>
            </w:tabs>
            <w:rPr>
              <w:rFonts w:asciiTheme="minorHAnsi" w:eastAsiaTheme="minorEastAsia" w:hAnsiTheme="minorHAnsi"/>
              <w:noProof/>
              <w:sz w:val="22"/>
              <w:lang w:eastAsia="es-ES"/>
            </w:rPr>
          </w:pPr>
          <w:hyperlink w:anchor="_Toc232987022" w:history="1">
            <w:r w:rsidR="00B87DDE" w:rsidRPr="00237922">
              <w:rPr>
                <w:rStyle w:val="Hipervnculo"/>
                <w:noProof/>
                <w:lang w:val="es-NI"/>
              </w:rPr>
              <w:t>Implicaciones para investigaciones futuras</w:t>
            </w:r>
            <w:r w:rsidR="00B87DDE">
              <w:rPr>
                <w:noProof/>
                <w:webHidden/>
              </w:rPr>
              <w:tab/>
            </w:r>
            <w:r w:rsidR="00B87DDE">
              <w:rPr>
                <w:noProof/>
                <w:webHidden/>
              </w:rPr>
              <w:fldChar w:fldCharType="begin"/>
            </w:r>
            <w:r w:rsidR="00B87DDE">
              <w:rPr>
                <w:noProof/>
                <w:webHidden/>
              </w:rPr>
              <w:instrText xml:space="preserve"> PAGEREF _Toc232987022 \h </w:instrText>
            </w:r>
            <w:r w:rsidR="00B87DDE">
              <w:rPr>
                <w:noProof/>
                <w:webHidden/>
              </w:rPr>
            </w:r>
            <w:r w:rsidR="00B87DDE">
              <w:rPr>
                <w:noProof/>
                <w:webHidden/>
              </w:rPr>
              <w:fldChar w:fldCharType="separate"/>
            </w:r>
            <w:r w:rsidR="00B87DDE">
              <w:rPr>
                <w:noProof/>
                <w:webHidden/>
              </w:rPr>
              <w:t>83</w:t>
            </w:r>
            <w:r w:rsidR="00B87DDE">
              <w:rPr>
                <w:noProof/>
                <w:webHidden/>
              </w:rPr>
              <w:fldChar w:fldCharType="end"/>
            </w:r>
          </w:hyperlink>
        </w:p>
        <w:p w14:paraId="66E899FC" w14:textId="7CABC629" w:rsidR="00B87DDE" w:rsidRDefault="00747E0A">
          <w:pPr>
            <w:pStyle w:val="TDC2"/>
            <w:tabs>
              <w:tab w:val="right" w:leader="dot" w:pos="8828"/>
            </w:tabs>
            <w:rPr>
              <w:rFonts w:asciiTheme="minorHAnsi" w:eastAsiaTheme="minorEastAsia" w:hAnsiTheme="minorHAnsi"/>
              <w:noProof/>
              <w:sz w:val="22"/>
              <w:lang w:eastAsia="es-ES"/>
            </w:rPr>
          </w:pPr>
          <w:hyperlink w:anchor="_Toc232987023" w:history="1">
            <w:r w:rsidR="00B87DDE" w:rsidRPr="00237922">
              <w:rPr>
                <w:rStyle w:val="Hipervnculo"/>
                <w:noProof/>
                <w:lang w:val="es-NI"/>
              </w:rPr>
              <w:t>Fortalezas y limitaciones de la revisión sistemática y el metaanálisis</w:t>
            </w:r>
            <w:r w:rsidR="00B87DDE">
              <w:rPr>
                <w:noProof/>
                <w:webHidden/>
              </w:rPr>
              <w:tab/>
            </w:r>
            <w:r w:rsidR="00B87DDE">
              <w:rPr>
                <w:noProof/>
                <w:webHidden/>
              </w:rPr>
              <w:fldChar w:fldCharType="begin"/>
            </w:r>
            <w:r w:rsidR="00B87DDE">
              <w:rPr>
                <w:noProof/>
                <w:webHidden/>
              </w:rPr>
              <w:instrText xml:space="preserve"> PAGEREF _Toc232987023 \h </w:instrText>
            </w:r>
            <w:r w:rsidR="00B87DDE">
              <w:rPr>
                <w:noProof/>
                <w:webHidden/>
              </w:rPr>
            </w:r>
            <w:r w:rsidR="00B87DDE">
              <w:rPr>
                <w:noProof/>
                <w:webHidden/>
              </w:rPr>
              <w:fldChar w:fldCharType="separate"/>
            </w:r>
            <w:r w:rsidR="00B87DDE">
              <w:rPr>
                <w:noProof/>
                <w:webHidden/>
              </w:rPr>
              <w:t>84</w:t>
            </w:r>
            <w:r w:rsidR="00B87DDE">
              <w:rPr>
                <w:noProof/>
                <w:webHidden/>
              </w:rPr>
              <w:fldChar w:fldCharType="end"/>
            </w:r>
          </w:hyperlink>
        </w:p>
        <w:p w14:paraId="046834A3" w14:textId="431E95C3"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24" w:history="1">
            <w:r w:rsidR="00B87DDE" w:rsidRPr="00237922">
              <w:rPr>
                <w:rStyle w:val="Hipervnculo"/>
                <w:noProof/>
                <w:lang w:val="es-NI"/>
              </w:rPr>
              <w:t>Conclusiones</w:t>
            </w:r>
            <w:r w:rsidR="00B87DDE">
              <w:rPr>
                <w:noProof/>
                <w:webHidden/>
              </w:rPr>
              <w:tab/>
            </w:r>
            <w:r w:rsidR="00B87DDE">
              <w:rPr>
                <w:noProof/>
                <w:webHidden/>
              </w:rPr>
              <w:fldChar w:fldCharType="begin"/>
            </w:r>
            <w:r w:rsidR="00B87DDE">
              <w:rPr>
                <w:noProof/>
                <w:webHidden/>
              </w:rPr>
              <w:instrText xml:space="preserve"> PAGEREF _Toc232987024 \h </w:instrText>
            </w:r>
            <w:r w:rsidR="00B87DDE">
              <w:rPr>
                <w:noProof/>
                <w:webHidden/>
              </w:rPr>
            </w:r>
            <w:r w:rsidR="00B87DDE">
              <w:rPr>
                <w:noProof/>
                <w:webHidden/>
              </w:rPr>
              <w:fldChar w:fldCharType="separate"/>
            </w:r>
            <w:r w:rsidR="00B87DDE">
              <w:rPr>
                <w:noProof/>
                <w:webHidden/>
              </w:rPr>
              <w:t>86</w:t>
            </w:r>
            <w:r w:rsidR="00B87DDE">
              <w:rPr>
                <w:noProof/>
                <w:webHidden/>
              </w:rPr>
              <w:fldChar w:fldCharType="end"/>
            </w:r>
          </w:hyperlink>
        </w:p>
        <w:p w14:paraId="2CB80DC2" w14:textId="03889D6F"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25" w:history="1">
            <w:r w:rsidR="00B87DDE" w:rsidRPr="00237922">
              <w:rPr>
                <w:rStyle w:val="Hipervnculo"/>
                <w:noProof/>
                <w:lang w:val="es-NI"/>
              </w:rPr>
              <w:t>Recomendaciones</w:t>
            </w:r>
            <w:r w:rsidR="00B87DDE">
              <w:rPr>
                <w:noProof/>
                <w:webHidden/>
              </w:rPr>
              <w:tab/>
            </w:r>
            <w:r w:rsidR="00B87DDE">
              <w:rPr>
                <w:noProof/>
                <w:webHidden/>
              </w:rPr>
              <w:fldChar w:fldCharType="begin"/>
            </w:r>
            <w:r w:rsidR="00B87DDE">
              <w:rPr>
                <w:noProof/>
                <w:webHidden/>
              </w:rPr>
              <w:instrText xml:space="preserve"> PAGEREF _Toc232987025 \h </w:instrText>
            </w:r>
            <w:r w:rsidR="00B87DDE">
              <w:rPr>
                <w:noProof/>
                <w:webHidden/>
              </w:rPr>
            </w:r>
            <w:r w:rsidR="00B87DDE">
              <w:rPr>
                <w:noProof/>
                <w:webHidden/>
              </w:rPr>
              <w:fldChar w:fldCharType="separate"/>
            </w:r>
            <w:r w:rsidR="00B87DDE">
              <w:rPr>
                <w:noProof/>
                <w:webHidden/>
              </w:rPr>
              <w:t>87</w:t>
            </w:r>
            <w:r w:rsidR="00B87DDE">
              <w:rPr>
                <w:noProof/>
                <w:webHidden/>
              </w:rPr>
              <w:fldChar w:fldCharType="end"/>
            </w:r>
          </w:hyperlink>
        </w:p>
        <w:p w14:paraId="2BF49C53" w14:textId="140D2AD4"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26" w:history="1">
            <w:r w:rsidR="00B87DDE" w:rsidRPr="00237922">
              <w:rPr>
                <w:rStyle w:val="Hipervnculo"/>
                <w:noProof/>
                <w:lang w:val="es-NI"/>
              </w:rPr>
              <w:t>Referencias</w:t>
            </w:r>
            <w:r w:rsidR="00B87DDE">
              <w:rPr>
                <w:noProof/>
                <w:webHidden/>
              </w:rPr>
              <w:tab/>
            </w:r>
            <w:r w:rsidR="00B87DDE">
              <w:rPr>
                <w:noProof/>
                <w:webHidden/>
              </w:rPr>
              <w:fldChar w:fldCharType="begin"/>
            </w:r>
            <w:r w:rsidR="00B87DDE">
              <w:rPr>
                <w:noProof/>
                <w:webHidden/>
              </w:rPr>
              <w:instrText xml:space="preserve"> PAGEREF _Toc232987026 \h </w:instrText>
            </w:r>
            <w:r w:rsidR="00B87DDE">
              <w:rPr>
                <w:noProof/>
                <w:webHidden/>
              </w:rPr>
            </w:r>
            <w:r w:rsidR="00B87DDE">
              <w:rPr>
                <w:noProof/>
                <w:webHidden/>
              </w:rPr>
              <w:fldChar w:fldCharType="separate"/>
            </w:r>
            <w:r w:rsidR="00B87DDE">
              <w:rPr>
                <w:noProof/>
                <w:webHidden/>
              </w:rPr>
              <w:t>89</w:t>
            </w:r>
            <w:r w:rsidR="00B87DDE">
              <w:rPr>
                <w:noProof/>
                <w:webHidden/>
              </w:rPr>
              <w:fldChar w:fldCharType="end"/>
            </w:r>
          </w:hyperlink>
        </w:p>
        <w:p w14:paraId="621DF59D" w14:textId="333A31DB" w:rsidR="00B87DDE" w:rsidRDefault="00747E0A">
          <w:pPr>
            <w:pStyle w:val="TDC1"/>
            <w:tabs>
              <w:tab w:val="right" w:leader="dot" w:pos="8828"/>
            </w:tabs>
            <w:rPr>
              <w:rFonts w:asciiTheme="minorHAnsi" w:eastAsiaTheme="minorEastAsia" w:hAnsiTheme="minorHAnsi"/>
              <w:b w:val="0"/>
              <w:noProof/>
              <w:sz w:val="22"/>
              <w:lang w:eastAsia="es-ES"/>
            </w:rPr>
          </w:pPr>
          <w:hyperlink w:anchor="_Toc232987027" w:history="1">
            <w:r w:rsidR="00B87DDE" w:rsidRPr="00237922">
              <w:rPr>
                <w:rStyle w:val="Hipervnculo"/>
                <w:noProof/>
                <w:lang w:val="es-NI"/>
              </w:rPr>
              <w:t>Anexos</w:t>
            </w:r>
            <w:r w:rsidR="00B87DDE">
              <w:rPr>
                <w:noProof/>
                <w:webHidden/>
              </w:rPr>
              <w:tab/>
            </w:r>
            <w:r w:rsidR="00B87DDE">
              <w:rPr>
                <w:noProof/>
                <w:webHidden/>
              </w:rPr>
              <w:fldChar w:fldCharType="begin"/>
            </w:r>
            <w:r w:rsidR="00B87DDE">
              <w:rPr>
                <w:noProof/>
                <w:webHidden/>
              </w:rPr>
              <w:instrText xml:space="preserve"> PAGEREF _Toc232987027 \h </w:instrText>
            </w:r>
            <w:r w:rsidR="00B87DDE">
              <w:rPr>
                <w:noProof/>
                <w:webHidden/>
              </w:rPr>
            </w:r>
            <w:r w:rsidR="00B87DDE">
              <w:rPr>
                <w:noProof/>
                <w:webHidden/>
              </w:rPr>
              <w:fldChar w:fldCharType="separate"/>
            </w:r>
            <w:r w:rsidR="00B87DDE">
              <w:rPr>
                <w:noProof/>
                <w:webHidden/>
              </w:rPr>
              <w:t>98</w:t>
            </w:r>
            <w:r w:rsidR="00B87DDE">
              <w:rPr>
                <w:noProof/>
                <w:webHidden/>
              </w:rPr>
              <w:fldChar w:fldCharType="end"/>
            </w:r>
          </w:hyperlink>
        </w:p>
        <w:p w14:paraId="32648398" w14:textId="14E91A28" w:rsidR="00B87DDE" w:rsidRDefault="00747E0A">
          <w:pPr>
            <w:pStyle w:val="TDC2"/>
            <w:tabs>
              <w:tab w:val="right" w:leader="dot" w:pos="8828"/>
            </w:tabs>
            <w:rPr>
              <w:rFonts w:asciiTheme="minorHAnsi" w:eastAsiaTheme="minorEastAsia" w:hAnsiTheme="minorHAnsi"/>
              <w:noProof/>
              <w:sz w:val="22"/>
              <w:lang w:eastAsia="es-ES"/>
            </w:rPr>
          </w:pPr>
          <w:hyperlink w:anchor="_Toc232987028" w:history="1">
            <w:r w:rsidR="00B87DDE" w:rsidRPr="00237922">
              <w:rPr>
                <w:rStyle w:val="Hipervnculo"/>
                <w:noProof/>
                <w:lang w:val="es-NI"/>
              </w:rPr>
              <w:t>Anexo 1. Estrategia de búsqueda</w:t>
            </w:r>
            <w:r w:rsidR="00B87DDE">
              <w:rPr>
                <w:noProof/>
                <w:webHidden/>
              </w:rPr>
              <w:tab/>
            </w:r>
            <w:r w:rsidR="00B87DDE">
              <w:rPr>
                <w:noProof/>
                <w:webHidden/>
              </w:rPr>
              <w:fldChar w:fldCharType="begin"/>
            </w:r>
            <w:r w:rsidR="00B87DDE">
              <w:rPr>
                <w:noProof/>
                <w:webHidden/>
              </w:rPr>
              <w:instrText xml:space="preserve"> PAGEREF _Toc232987028 \h </w:instrText>
            </w:r>
            <w:r w:rsidR="00B87DDE">
              <w:rPr>
                <w:noProof/>
                <w:webHidden/>
              </w:rPr>
            </w:r>
            <w:r w:rsidR="00B87DDE">
              <w:rPr>
                <w:noProof/>
                <w:webHidden/>
              </w:rPr>
              <w:fldChar w:fldCharType="separate"/>
            </w:r>
            <w:r w:rsidR="00B87DDE">
              <w:rPr>
                <w:noProof/>
                <w:webHidden/>
              </w:rPr>
              <w:t>98</w:t>
            </w:r>
            <w:r w:rsidR="00B87DDE">
              <w:rPr>
                <w:noProof/>
                <w:webHidden/>
              </w:rPr>
              <w:fldChar w:fldCharType="end"/>
            </w:r>
          </w:hyperlink>
        </w:p>
        <w:p w14:paraId="551925D9" w14:textId="1CF171E2" w:rsidR="00B87DDE" w:rsidRDefault="00747E0A">
          <w:pPr>
            <w:pStyle w:val="TDC2"/>
            <w:tabs>
              <w:tab w:val="right" w:leader="dot" w:pos="8828"/>
            </w:tabs>
            <w:rPr>
              <w:rFonts w:asciiTheme="minorHAnsi" w:eastAsiaTheme="minorEastAsia" w:hAnsiTheme="minorHAnsi"/>
              <w:noProof/>
              <w:sz w:val="22"/>
              <w:lang w:eastAsia="es-ES"/>
            </w:rPr>
          </w:pPr>
          <w:hyperlink w:anchor="_Toc232987029" w:history="1">
            <w:r w:rsidR="00B87DDE" w:rsidRPr="00237922">
              <w:rPr>
                <w:rStyle w:val="Hipervnculo"/>
                <w:noProof/>
                <w:lang w:val="es-NI"/>
              </w:rPr>
              <w:t>Anexo 2. Matrices de extracción de datos</w:t>
            </w:r>
            <w:r w:rsidR="00B87DDE">
              <w:rPr>
                <w:noProof/>
                <w:webHidden/>
              </w:rPr>
              <w:tab/>
            </w:r>
            <w:r w:rsidR="00B87DDE">
              <w:rPr>
                <w:noProof/>
                <w:webHidden/>
              </w:rPr>
              <w:fldChar w:fldCharType="begin"/>
            </w:r>
            <w:r w:rsidR="00B87DDE">
              <w:rPr>
                <w:noProof/>
                <w:webHidden/>
              </w:rPr>
              <w:instrText xml:space="preserve"> PAGEREF _Toc232987029 \h </w:instrText>
            </w:r>
            <w:r w:rsidR="00B87DDE">
              <w:rPr>
                <w:noProof/>
                <w:webHidden/>
              </w:rPr>
            </w:r>
            <w:r w:rsidR="00B87DDE">
              <w:rPr>
                <w:noProof/>
                <w:webHidden/>
              </w:rPr>
              <w:fldChar w:fldCharType="separate"/>
            </w:r>
            <w:r w:rsidR="00B87DDE">
              <w:rPr>
                <w:noProof/>
                <w:webHidden/>
              </w:rPr>
              <w:t>100</w:t>
            </w:r>
            <w:r w:rsidR="00B87DDE">
              <w:rPr>
                <w:noProof/>
                <w:webHidden/>
              </w:rPr>
              <w:fldChar w:fldCharType="end"/>
            </w:r>
          </w:hyperlink>
        </w:p>
        <w:p w14:paraId="40CDE88C" w14:textId="4E2893C6" w:rsidR="00B87DDE" w:rsidRDefault="00747E0A">
          <w:pPr>
            <w:pStyle w:val="TDC2"/>
            <w:tabs>
              <w:tab w:val="right" w:leader="dot" w:pos="8828"/>
            </w:tabs>
            <w:rPr>
              <w:rFonts w:asciiTheme="minorHAnsi" w:eastAsiaTheme="minorEastAsia" w:hAnsiTheme="minorHAnsi"/>
              <w:noProof/>
              <w:sz w:val="22"/>
              <w:lang w:eastAsia="es-ES"/>
            </w:rPr>
          </w:pPr>
          <w:hyperlink w:anchor="_Toc232987030" w:history="1">
            <w:r w:rsidR="00B87DDE" w:rsidRPr="00237922">
              <w:rPr>
                <w:rStyle w:val="Hipervnculo"/>
                <w:noProof/>
                <w:lang w:val="es-NI"/>
              </w:rPr>
              <w:t>Anexo 3. Matrices de evaluación del sesgo</w:t>
            </w:r>
            <w:r w:rsidR="00B87DDE">
              <w:rPr>
                <w:noProof/>
                <w:webHidden/>
              </w:rPr>
              <w:tab/>
            </w:r>
            <w:r w:rsidR="00B87DDE">
              <w:rPr>
                <w:noProof/>
                <w:webHidden/>
              </w:rPr>
              <w:fldChar w:fldCharType="begin"/>
            </w:r>
            <w:r w:rsidR="00B87DDE">
              <w:rPr>
                <w:noProof/>
                <w:webHidden/>
              </w:rPr>
              <w:instrText xml:space="preserve"> PAGEREF _Toc232987030 \h </w:instrText>
            </w:r>
            <w:r w:rsidR="00B87DDE">
              <w:rPr>
                <w:noProof/>
                <w:webHidden/>
              </w:rPr>
            </w:r>
            <w:r w:rsidR="00B87DDE">
              <w:rPr>
                <w:noProof/>
                <w:webHidden/>
              </w:rPr>
              <w:fldChar w:fldCharType="separate"/>
            </w:r>
            <w:r w:rsidR="00B87DDE">
              <w:rPr>
                <w:noProof/>
                <w:webHidden/>
              </w:rPr>
              <w:t>100</w:t>
            </w:r>
            <w:r w:rsidR="00B87DDE">
              <w:rPr>
                <w:noProof/>
                <w:webHidden/>
              </w:rPr>
              <w:fldChar w:fldCharType="end"/>
            </w:r>
          </w:hyperlink>
        </w:p>
        <w:p w14:paraId="365F2039" w14:textId="5F3A6424" w:rsidR="00B87DDE" w:rsidRDefault="00747E0A">
          <w:pPr>
            <w:pStyle w:val="TDC2"/>
            <w:tabs>
              <w:tab w:val="right" w:leader="dot" w:pos="8828"/>
            </w:tabs>
            <w:rPr>
              <w:rFonts w:asciiTheme="minorHAnsi" w:eastAsiaTheme="minorEastAsia" w:hAnsiTheme="minorHAnsi"/>
              <w:noProof/>
              <w:sz w:val="22"/>
              <w:lang w:eastAsia="es-ES"/>
            </w:rPr>
          </w:pPr>
          <w:hyperlink w:anchor="_Toc232987031" w:history="1">
            <w:r w:rsidR="00B87DDE" w:rsidRPr="00237922">
              <w:rPr>
                <w:rStyle w:val="Hipervnculo"/>
                <w:noProof/>
                <w:lang w:val="es-NI"/>
              </w:rPr>
              <w:t xml:space="preserve">Anexos 3. </w:t>
            </w:r>
            <w:r w:rsidR="00B87DDE" w:rsidRPr="00237922">
              <w:rPr>
                <w:rStyle w:val="Hipervnculo"/>
                <w:noProof/>
                <w:lang w:val="en-US"/>
              </w:rPr>
              <w:t>Tablas suplementarias</w:t>
            </w:r>
            <w:r w:rsidR="00B87DDE">
              <w:rPr>
                <w:noProof/>
                <w:webHidden/>
              </w:rPr>
              <w:tab/>
            </w:r>
            <w:r w:rsidR="00B87DDE">
              <w:rPr>
                <w:noProof/>
                <w:webHidden/>
              </w:rPr>
              <w:fldChar w:fldCharType="begin"/>
            </w:r>
            <w:r w:rsidR="00B87DDE">
              <w:rPr>
                <w:noProof/>
                <w:webHidden/>
              </w:rPr>
              <w:instrText xml:space="preserve"> PAGEREF _Toc232987031 \h </w:instrText>
            </w:r>
            <w:r w:rsidR="00B87DDE">
              <w:rPr>
                <w:noProof/>
                <w:webHidden/>
              </w:rPr>
            </w:r>
            <w:r w:rsidR="00B87DDE">
              <w:rPr>
                <w:noProof/>
                <w:webHidden/>
              </w:rPr>
              <w:fldChar w:fldCharType="separate"/>
            </w:r>
            <w:r w:rsidR="00B87DDE">
              <w:rPr>
                <w:noProof/>
                <w:webHidden/>
              </w:rPr>
              <w:t>102</w:t>
            </w:r>
            <w:r w:rsidR="00B87DDE">
              <w:rPr>
                <w:noProof/>
                <w:webHidden/>
              </w:rPr>
              <w:fldChar w:fldCharType="end"/>
            </w:r>
          </w:hyperlink>
        </w:p>
        <w:p w14:paraId="064CDE9B" w14:textId="7A63EA9E" w:rsidR="009951F2" w:rsidRPr="00B8712F" w:rsidRDefault="00B8712F" w:rsidP="009D3A94">
          <w:pPr>
            <w:rPr>
              <w:b/>
              <w:sz w:val="28"/>
              <w:lang w:val="es-NI"/>
            </w:rPr>
            <w:sectPr w:rsidR="009951F2" w:rsidRPr="00B8712F" w:rsidSect="008536F7">
              <w:footerReference w:type="default" r:id="rId11"/>
              <w:pgSz w:w="12240" w:h="15840"/>
              <w:pgMar w:top="1417" w:right="1701" w:bottom="1417" w:left="1701" w:header="708" w:footer="708" w:gutter="0"/>
              <w:pgNumType w:fmt="lowerRoman"/>
              <w:cols w:space="708"/>
              <w:docGrid w:linePitch="360"/>
            </w:sectPr>
          </w:pPr>
          <w:r>
            <w:rPr>
              <w:lang w:val="es-NI"/>
            </w:rPr>
            <w:fldChar w:fldCharType="end"/>
          </w:r>
        </w:p>
      </w:sdtContent>
    </w:sdt>
    <w:p w14:paraId="7A9D8619" w14:textId="5B264570" w:rsidR="0032432F" w:rsidRDefault="0032432F" w:rsidP="00C5001F">
      <w:pPr>
        <w:pStyle w:val="Ttulo1"/>
        <w:spacing w:after="0"/>
        <w:rPr>
          <w:lang w:val="es-NI"/>
        </w:rPr>
      </w:pPr>
      <w:bookmarkStart w:id="3" w:name="_Toc232986973"/>
      <w:r>
        <w:rPr>
          <w:lang w:val="es-NI"/>
        </w:rPr>
        <w:lastRenderedPageBreak/>
        <w:t>Índice de tablas</w:t>
      </w:r>
      <w:bookmarkEnd w:id="3"/>
    </w:p>
    <w:p w14:paraId="6642CE59" w14:textId="77777777" w:rsidR="009E54D2" w:rsidRPr="009E54D2" w:rsidRDefault="009E54D2" w:rsidP="009E54D2">
      <w:pPr>
        <w:rPr>
          <w:lang w:val="es-NI"/>
        </w:rPr>
      </w:pPr>
    </w:p>
    <w:p w14:paraId="79477686" w14:textId="18526328" w:rsidR="00B87DDE" w:rsidRDefault="001E57DF">
      <w:pPr>
        <w:pStyle w:val="Tabladeilustraciones"/>
        <w:tabs>
          <w:tab w:val="right" w:leader="dot" w:pos="8828"/>
        </w:tabs>
        <w:rPr>
          <w:rFonts w:asciiTheme="minorHAnsi" w:eastAsiaTheme="minorEastAsia" w:hAnsiTheme="minorHAnsi"/>
          <w:noProof/>
          <w:sz w:val="22"/>
          <w:lang w:eastAsia="es-ES"/>
        </w:rPr>
      </w:pPr>
      <w:r>
        <w:rPr>
          <w:lang w:val="es-NI"/>
        </w:rPr>
        <w:fldChar w:fldCharType="begin"/>
      </w:r>
      <w:r>
        <w:rPr>
          <w:lang w:val="es-NI"/>
        </w:rPr>
        <w:instrText xml:space="preserve"> TOC \h \z \c "Tabla" </w:instrText>
      </w:r>
      <w:r>
        <w:rPr>
          <w:lang w:val="es-NI"/>
        </w:rPr>
        <w:fldChar w:fldCharType="separate"/>
      </w:r>
      <w:hyperlink w:anchor="_Toc232987032" w:history="1">
        <w:r w:rsidR="00B87DDE" w:rsidRPr="007969DE">
          <w:rPr>
            <w:rStyle w:val="Hipervnculo"/>
            <w:b/>
            <w:bCs/>
            <w:noProof/>
          </w:rPr>
          <w:t>Tabla 1.</w:t>
        </w:r>
        <w:r w:rsidR="00B87DDE" w:rsidRPr="007969DE">
          <w:rPr>
            <w:rStyle w:val="Hipervnculo"/>
            <w:noProof/>
          </w:rPr>
          <w:t xml:space="preserve"> </w:t>
        </w:r>
        <w:r w:rsidR="00B87DDE" w:rsidRPr="007969DE">
          <w:rPr>
            <w:rStyle w:val="Hipervnculo"/>
            <w:noProof/>
            <w:lang w:eastAsia="es-ES"/>
          </w:rPr>
          <w:t>Resultados clínicos del misoprostol y comparaciones reportadas en los estudios incluidos en la revision</w:t>
        </w:r>
        <w:r w:rsidR="00B87DDE">
          <w:rPr>
            <w:noProof/>
            <w:webHidden/>
          </w:rPr>
          <w:tab/>
        </w:r>
        <w:r w:rsidR="00B87DDE">
          <w:rPr>
            <w:noProof/>
            <w:webHidden/>
          </w:rPr>
          <w:fldChar w:fldCharType="begin"/>
        </w:r>
        <w:r w:rsidR="00B87DDE">
          <w:rPr>
            <w:noProof/>
            <w:webHidden/>
          </w:rPr>
          <w:instrText xml:space="preserve"> PAGEREF _Toc232987032 \h </w:instrText>
        </w:r>
        <w:r w:rsidR="00B87DDE">
          <w:rPr>
            <w:noProof/>
            <w:webHidden/>
          </w:rPr>
        </w:r>
        <w:r w:rsidR="00B87DDE">
          <w:rPr>
            <w:noProof/>
            <w:webHidden/>
          </w:rPr>
          <w:fldChar w:fldCharType="separate"/>
        </w:r>
        <w:r w:rsidR="00B87DDE">
          <w:rPr>
            <w:noProof/>
            <w:webHidden/>
          </w:rPr>
          <w:t>46</w:t>
        </w:r>
        <w:r w:rsidR="00B87DDE">
          <w:rPr>
            <w:noProof/>
            <w:webHidden/>
          </w:rPr>
          <w:fldChar w:fldCharType="end"/>
        </w:r>
      </w:hyperlink>
    </w:p>
    <w:p w14:paraId="459AD91B" w14:textId="3EBC6E23"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3" w:history="1">
        <w:r w:rsidR="00B87DDE" w:rsidRPr="007969DE">
          <w:rPr>
            <w:rStyle w:val="Hipervnculo"/>
            <w:b/>
            <w:bCs/>
            <w:noProof/>
          </w:rPr>
          <w:t>Tabla 2.</w:t>
        </w:r>
        <w:r w:rsidR="00B87DDE" w:rsidRPr="007969DE">
          <w:rPr>
            <w:rStyle w:val="Hipervnculo"/>
            <w:noProof/>
          </w:rPr>
          <w:t xml:space="preserve"> </w:t>
        </w:r>
        <w:r w:rsidR="00B87DDE" w:rsidRPr="007969DE">
          <w:rPr>
            <w:rStyle w:val="Hipervnculo"/>
            <w:noProof/>
            <w:lang w:eastAsia="es-ES"/>
          </w:rPr>
          <w:t>Evaluación del riesgo de sesgo del ensayo clínico aleatorizado incluido mediante Cochrane Risk of Bias 2</w:t>
        </w:r>
        <w:r w:rsidR="00B87DDE">
          <w:rPr>
            <w:noProof/>
            <w:webHidden/>
          </w:rPr>
          <w:tab/>
        </w:r>
        <w:r w:rsidR="00B87DDE">
          <w:rPr>
            <w:noProof/>
            <w:webHidden/>
          </w:rPr>
          <w:fldChar w:fldCharType="begin"/>
        </w:r>
        <w:r w:rsidR="00B87DDE">
          <w:rPr>
            <w:noProof/>
            <w:webHidden/>
          </w:rPr>
          <w:instrText xml:space="preserve"> PAGEREF _Toc232987033 \h </w:instrText>
        </w:r>
        <w:r w:rsidR="00B87DDE">
          <w:rPr>
            <w:noProof/>
            <w:webHidden/>
          </w:rPr>
        </w:r>
        <w:r w:rsidR="00B87DDE">
          <w:rPr>
            <w:noProof/>
            <w:webHidden/>
          </w:rPr>
          <w:fldChar w:fldCharType="separate"/>
        </w:r>
        <w:r w:rsidR="00B87DDE">
          <w:rPr>
            <w:noProof/>
            <w:webHidden/>
          </w:rPr>
          <w:t>52</w:t>
        </w:r>
        <w:r w:rsidR="00B87DDE">
          <w:rPr>
            <w:noProof/>
            <w:webHidden/>
          </w:rPr>
          <w:fldChar w:fldCharType="end"/>
        </w:r>
      </w:hyperlink>
    </w:p>
    <w:p w14:paraId="6087C656" w14:textId="59347347"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4" w:history="1">
        <w:r w:rsidR="00B87DDE" w:rsidRPr="007969DE">
          <w:rPr>
            <w:rStyle w:val="Hipervnculo"/>
            <w:b/>
            <w:bCs/>
            <w:noProof/>
          </w:rPr>
          <w:t>Tabla 3.</w:t>
        </w:r>
        <w:r w:rsidR="00B87DDE" w:rsidRPr="007969DE">
          <w:rPr>
            <w:rStyle w:val="Hipervnculo"/>
            <w:noProof/>
          </w:rPr>
          <w:t xml:space="preserve"> </w:t>
        </w:r>
        <w:r w:rsidR="00B87DDE" w:rsidRPr="007969DE">
          <w:rPr>
            <w:rStyle w:val="Hipervnculo"/>
            <w:noProof/>
            <w:lang w:eastAsia="es-ES"/>
          </w:rPr>
          <w:t>Evaluación de la calidad metodológica de los estudios observacionales incluidos en la revisión mediante la escala Newcastle-Ottawa adaptada</w:t>
        </w:r>
        <w:r w:rsidR="00B87DDE">
          <w:rPr>
            <w:noProof/>
            <w:webHidden/>
          </w:rPr>
          <w:tab/>
        </w:r>
        <w:r w:rsidR="00B87DDE">
          <w:rPr>
            <w:noProof/>
            <w:webHidden/>
          </w:rPr>
          <w:fldChar w:fldCharType="begin"/>
        </w:r>
        <w:r w:rsidR="00B87DDE">
          <w:rPr>
            <w:noProof/>
            <w:webHidden/>
          </w:rPr>
          <w:instrText xml:space="preserve"> PAGEREF _Toc232987034 \h </w:instrText>
        </w:r>
        <w:r w:rsidR="00B87DDE">
          <w:rPr>
            <w:noProof/>
            <w:webHidden/>
          </w:rPr>
        </w:r>
        <w:r w:rsidR="00B87DDE">
          <w:rPr>
            <w:noProof/>
            <w:webHidden/>
          </w:rPr>
          <w:fldChar w:fldCharType="separate"/>
        </w:r>
        <w:r w:rsidR="00B87DDE">
          <w:rPr>
            <w:noProof/>
            <w:webHidden/>
          </w:rPr>
          <w:t>53</w:t>
        </w:r>
        <w:r w:rsidR="00B87DDE">
          <w:rPr>
            <w:noProof/>
            <w:webHidden/>
          </w:rPr>
          <w:fldChar w:fldCharType="end"/>
        </w:r>
      </w:hyperlink>
    </w:p>
    <w:p w14:paraId="53D0AFCD" w14:textId="519A4D9A"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5" w:history="1">
        <w:r w:rsidR="00B87DDE" w:rsidRPr="007969DE">
          <w:rPr>
            <w:rStyle w:val="Hipervnculo"/>
            <w:b/>
            <w:bCs/>
            <w:noProof/>
          </w:rPr>
          <w:t>Tabla 4.</w:t>
        </w:r>
        <w:r w:rsidR="00B87DDE" w:rsidRPr="007969DE">
          <w:rPr>
            <w:rStyle w:val="Hipervnculo"/>
            <w:noProof/>
          </w:rPr>
          <w:t xml:space="preserve"> </w:t>
        </w:r>
        <w:r w:rsidR="00B87DDE" w:rsidRPr="007969DE">
          <w:rPr>
            <w:rStyle w:val="Hipervnculo"/>
            <w:noProof/>
            <w:lang w:eastAsia="es-ES"/>
          </w:rPr>
          <w:t>Estudios incluidos para el metaanálisis de proporción de éxito del manejo con misoprostol</w:t>
        </w:r>
        <w:r w:rsidR="00B87DDE">
          <w:rPr>
            <w:noProof/>
            <w:webHidden/>
          </w:rPr>
          <w:tab/>
        </w:r>
        <w:r w:rsidR="00B87DDE">
          <w:rPr>
            <w:noProof/>
            <w:webHidden/>
          </w:rPr>
          <w:fldChar w:fldCharType="begin"/>
        </w:r>
        <w:r w:rsidR="00B87DDE">
          <w:rPr>
            <w:noProof/>
            <w:webHidden/>
          </w:rPr>
          <w:instrText xml:space="preserve"> PAGEREF _Toc232987035 \h </w:instrText>
        </w:r>
        <w:r w:rsidR="00B87DDE">
          <w:rPr>
            <w:noProof/>
            <w:webHidden/>
          </w:rPr>
        </w:r>
        <w:r w:rsidR="00B87DDE">
          <w:rPr>
            <w:noProof/>
            <w:webHidden/>
          </w:rPr>
          <w:fldChar w:fldCharType="separate"/>
        </w:r>
        <w:r w:rsidR="00B87DDE">
          <w:rPr>
            <w:noProof/>
            <w:webHidden/>
          </w:rPr>
          <w:t>58</w:t>
        </w:r>
        <w:r w:rsidR="00B87DDE">
          <w:rPr>
            <w:noProof/>
            <w:webHidden/>
          </w:rPr>
          <w:fldChar w:fldCharType="end"/>
        </w:r>
      </w:hyperlink>
    </w:p>
    <w:p w14:paraId="07F52E28" w14:textId="1CE22224"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6" w:history="1">
        <w:r w:rsidR="00B87DDE" w:rsidRPr="007969DE">
          <w:rPr>
            <w:rStyle w:val="Hipervnculo"/>
            <w:b/>
            <w:bCs/>
            <w:noProof/>
          </w:rPr>
          <w:t>Tabla 5.</w:t>
        </w:r>
        <w:r w:rsidR="00B87DDE" w:rsidRPr="007969DE">
          <w:rPr>
            <w:rStyle w:val="Hipervnculo"/>
            <w:noProof/>
          </w:rPr>
          <w:t xml:space="preserve"> </w:t>
        </w:r>
        <w:r w:rsidR="00B87DDE" w:rsidRPr="007969DE">
          <w:rPr>
            <w:rStyle w:val="Hipervnculo"/>
            <w:noProof/>
            <w:lang w:eastAsia="es-ES"/>
          </w:rPr>
          <w:t>Resumen de estudios incluidos en el metaanálisis de proporción de éxito del manejo con misoprostol</w:t>
        </w:r>
        <w:r w:rsidR="00B87DDE">
          <w:rPr>
            <w:noProof/>
            <w:webHidden/>
          </w:rPr>
          <w:tab/>
        </w:r>
        <w:r w:rsidR="00B87DDE">
          <w:rPr>
            <w:noProof/>
            <w:webHidden/>
          </w:rPr>
          <w:fldChar w:fldCharType="begin"/>
        </w:r>
        <w:r w:rsidR="00B87DDE">
          <w:rPr>
            <w:noProof/>
            <w:webHidden/>
          </w:rPr>
          <w:instrText xml:space="preserve"> PAGEREF _Toc232987036 \h </w:instrText>
        </w:r>
        <w:r w:rsidR="00B87DDE">
          <w:rPr>
            <w:noProof/>
            <w:webHidden/>
          </w:rPr>
        </w:r>
        <w:r w:rsidR="00B87DDE">
          <w:rPr>
            <w:noProof/>
            <w:webHidden/>
          </w:rPr>
          <w:fldChar w:fldCharType="separate"/>
        </w:r>
        <w:r w:rsidR="00B87DDE">
          <w:rPr>
            <w:noProof/>
            <w:webHidden/>
          </w:rPr>
          <w:t>61</w:t>
        </w:r>
        <w:r w:rsidR="00B87DDE">
          <w:rPr>
            <w:noProof/>
            <w:webHidden/>
          </w:rPr>
          <w:fldChar w:fldCharType="end"/>
        </w:r>
      </w:hyperlink>
    </w:p>
    <w:p w14:paraId="63F87079" w14:textId="4FF6E72A"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7" w:history="1">
        <w:r w:rsidR="00B87DDE" w:rsidRPr="007969DE">
          <w:rPr>
            <w:rStyle w:val="Hipervnculo"/>
            <w:b/>
            <w:bCs/>
            <w:noProof/>
          </w:rPr>
          <w:t>Tabla 6.</w:t>
        </w:r>
        <w:r w:rsidR="00B87DDE" w:rsidRPr="007969DE">
          <w:rPr>
            <w:rStyle w:val="Hipervnculo"/>
            <w:noProof/>
          </w:rPr>
          <w:t xml:space="preserve"> </w:t>
        </w:r>
        <w:r w:rsidR="00B87DDE" w:rsidRPr="007969DE">
          <w:rPr>
            <w:rStyle w:val="Hipervnculo"/>
            <w:noProof/>
            <w:lang w:eastAsia="es-ES"/>
          </w:rPr>
          <w:t>Metaanálisis de proporción de éxito del manejo con misoprostol en artículos publicados</w:t>
        </w:r>
        <w:r w:rsidR="00B87DDE">
          <w:rPr>
            <w:noProof/>
            <w:webHidden/>
          </w:rPr>
          <w:tab/>
        </w:r>
        <w:r w:rsidR="00B87DDE">
          <w:rPr>
            <w:noProof/>
            <w:webHidden/>
          </w:rPr>
          <w:fldChar w:fldCharType="begin"/>
        </w:r>
        <w:r w:rsidR="00B87DDE">
          <w:rPr>
            <w:noProof/>
            <w:webHidden/>
          </w:rPr>
          <w:instrText xml:space="preserve"> PAGEREF _Toc232987037 \h </w:instrText>
        </w:r>
        <w:r w:rsidR="00B87DDE">
          <w:rPr>
            <w:noProof/>
            <w:webHidden/>
          </w:rPr>
        </w:r>
        <w:r w:rsidR="00B87DDE">
          <w:rPr>
            <w:noProof/>
            <w:webHidden/>
          </w:rPr>
          <w:fldChar w:fldCharType="separate"/>
        </w:r>
        <w:r w:rsidR="00B87DDE">
          <w:rPr>
            <w:noProof/>
            <w:webHidden/>
          </w:rPr>
          <w:t>62</w:t>
        </w:r>
        <w:r w:rsidR="00B87DDE">
          <w:rPr>
            <w:noProof/>
            <w:webHidden/>
          </w:rPr>
          <w:fldChar w:fldCharType="end"/>
        </w:r>
      </w:hyperlink>
    </w:p>
    <w:p w14:paraId="4CFFB7C9" w14:textId="3597EC0C"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8" w:history="1">
        <w:r w:rsidR="00B87DDE" w:rsidRPr="007969DE">
          <w:rPr>
            <w:rStyle w:val="Hipervnculo"/>
            <w:b/>
            <w:bCs/>
            <w:noProof/>
          </w:rPr>
          <w:t>Tabla 7.</w:t>
        </w:r>
        <w:r w:rsidR="00B87DDE" w:rsidRPr="007969DE">
          <w:rPr>
            <w:rStyle w:val="Hipervnculo"/>
            <w:noProof/>
          </w:rPr>
          <w:t xml:space="preserve"> </w:t>
        </w:r>
        <w:r w:rsidR="00B87DDE" w:rsidRPr="007969DE">
          <w:rPr>
            <w:rStyle w:val="Hipervnculo"/>
            <w:noProof/>
            <w:lang w:eastAsia="es-ES"/>
          </w:rPr>
          <w:t>Metaanálisis de proporción de éxito del manejo con misoprostol en tesis incluidas en la revisión</w:t>
        </w:r>
        <w:r w:rsidR="00B87DDE">
          <w:rPr>
            <w:noProof/>
            <w:webHidden/>
          </w:rPr>
          <w:tab/>
        </w:r>
        <w:r w:rsidR="00B87DDE">
          <w:rPr>
            <w:noProof/>
            <w:webHidden/>
          </w:rPr>
          <w:fldChar w:fldCharType="begin"/>
        </w:r>
        <w:r w:rsidR="00B87DDE">
          <w:rPr>
            <w:noProof/>
            <w:webHidden/>
          </w:rPr>
          <w:instrText xml:space="preserve"> PAGEREF _Toc232987038 \h </w:instrText>
        </w:r>
        <w:r w:rsidR="00B87DDE">
          <w:rPr>
            <w:noProof/>
            <w:webHidden/>
          </w:rPr>
        </w:r>
        <w:r w:rsidR="00B87DDE">
          <w:rPr>
            <w:noProof/>
            <w:webHidden/>
          </w:rPr>
          <w:fldChar w:fldCharType="separate"/>
        </w:r>
        <w:r w:rsidR="00B87DDE">
          <w:rPr>
            <w:noProof/>
            <w:webHidden/>
          </w:rPr>
          <w:t>62</w:t>
        </w:r>
        <w:r w:rsidR="00B87DDE">
          <w:rPr>
            <w:noProof/>
            <w:webHidden/>
          </w:rPr>
          <w:fldChar w:fldCharType="end"/>
        </w:r>
      </w:hyperlink>
    </w:p>
    <w:p w14:paraId="093A6E18" w14:textId="400C85D6"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39" w:history="1">
        <w:r w:rsidR="00B87DDE" w:rsidRPr="007969DE">
          <w:rPr>
            <w:rStyle w:val="Hipervnculo"/>
            <w:b/>
            <w:bCs/>
            <w:noProof/>
          </w:rPr>
          <w:t>Tabla 8.</w:t>
        </w:r>
        <w:r w:rsidR="00B87DDE" w:rsidRPr="007969DE">
          <w:rPr>
            <w:rStyle w:val="Hipervnculo"/>
            <w:noProof/>
          </w:rPr>
          <w:t xml:space="preserve"> </w:t>
        </w:r>
        <w:r w:rsidR="00B87DDE" w:rsidRPr="007969DE">
          <w:rPr>
            <w:rStyle w:val="Hipervnculo"/>
            <w:noProof/>
            <w:lang w:eastAsia="es-ES"/>
          </w:rPr>
          <w:t>Metaanálisis combinado de proporción de éxito del manejo con misoprostol en artículos publicados y tesis</w:t>
        </w:r>
        <w:r w:rsidR="00B87DDE">
          <w:rPr>
            <w:noProof/>
            <w:webHidden/>
          </w:rPr>
          <w:tab/>
        </w:r>
        <w:r w:rsidR="00B87DDE">
          <w:rPr>
            <w:noProof/>
            <w:webHidden/>
          </w:rPr>
          <w:fldChar w:fldCharType="begin"/>
        </w:r>
        <w:r w:rsidR="00B87DDE">
          <w:rPr>
            <w:noProof/>
            <w:webHidden/>
          </w:rPr>
          <w:instrText xml:space="preserve"> PAGEREF _Toc232987039 \h </w:instrText>
        </w:r>
        <w:r w:rsidR="00B87DDE">
          <w:rPr>
            <w:noProof/>
            <w:webHidden/>
          </w:rPr>
        </w:r>
        <w:r w:rsidR="00B87DDE">
          <w:rPr>
            <w:noProof/>
            <w:webHidden/>
          </w:rPr>
          <w:fldChar w:fldCharType="separate"/>
        </w:r>
        <w:r w:rsidR="00B87DDE">
          <w:rPr>
            <w:noProof/>
            <w:webHidden/>
          </w:rPr>
          <w:t>63</w:t>
        </w:r>
        <w:r w:rsidR="00B87DDE">
          <w:rPr>
            <w:noProof/>
            <w:webHidden/>
          </w:rPr>
          <w:fldChar w:fldCharType="end"/>
        </w:r>
      </w:hyperlink>
    </w:p>
    <w:p w14:paraId="219E3A8E" w14:textId="5D6AE8B1"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40" w:history="1">
        <w:r w:rsidR="00B87DDE" w:rsidRPr="007969DE">
          <w:rPr>
            <w:rStyle w:val="Hipervnculo"/>
            <w:b/>
            <w:bCs/>
            <w:noProof/>
          </w:rPr>
          <w:t>Tabla 9.</w:t>
        </w:r>
        <w:r w:rsidR="00B87DDE" w:rsidRPr="007969DE">
          <w:rPr>
            <w:rStyle w:val="Hipervnculo"/>
            <w:noProof/>
          </w:rPr>
          <w:t xml:space="preserve"> Reacciones adversas y complicaciones reportadas en los estudios incluidos sobre manejo con misoprostol</w:t>
        </w:r>
        <w:r w:rsidR="00B87DDE">
          <w:rPr>
            <w:noProof/>
            <w:webHidden/>
          </w:rPr>
          <w:tab/>
        </w:r>
        <w:r w:rsidR="00B87DDE">
          <w:rPr>
            <w:noProof/>
            <w:webHidden/>
          </w:rPr>
          <w:fldChar w:fldCharType="begin"/>
        </w:r>
        <w:r w:rsidR="00B87DDE">
          <w:rPr>
            <w:noProof/>
            <w:webHidden/>
          </w:rPr>
          <w:instrText xml:space="preserve"> PAGEREF _Toc232987040 \h </w:instrText>
        </w:r>
        <w:r w:rsidR="00B87DDE">
          <w:rPr>
            <w:noProof/>
            <w:webHidden/>
          </w:rPr>
        </w:r>
        <w:r w:rsidR="00B87DDE">
          <w:rPr>
            <w:noProof/>
            <w:webHidden/>
          </w:rPr>
          <w:fldChar w:fldCharType="separate"/>
        </w:r>
        <w:r w:rsidR="00B87DDE">
          <w:rPr>
            <w:noProof/>
            <w:webHidden/>
          </w:rPr>
          <w:t>69</w:t>
        </w:r>
        <w:r w:rsidR="00B87DDE">
          <w:rPr>
            <w:noProof/>
            <w:webHidden/>
          </w:rPr>
          <w:fldChar w:fldCharType="end"/>
        </w:r>
      </w:hyperlink>
    </w:p>
    <w:p w14:paraId="16B77CAB" w14:textId="4E391707" w:rsidR="0032432F" w:rsidRDefault="001E57DF" w:rsidP="00C5001F">
      <w:pPr>
        <w:spacing w:after="0"/>
        <w:rPr>
          <w:lang w:val="es-NI"/>
        </w:rPr>
      </w:pPr>
      <w:r>
        <w:rPr>
          <w:lang w:val="es-NI"/>
        </w:rPr>
        <w:fldChar w:fldCharType="end"/>
      </w:r>
    </w:p>
    <w:p w14:paraId="29EF41BB" w14:textId="77777777" w:rsidR="009E54D2" w:rsidRPr="00C5001F" w:rsidRDefault="009E54D2" w:rsidP="00575E20">
      <w:pPr>
        <w:rPr>
          <w:lang w:val="es-NI"/>
        </w:rPr>
      </w:pPr>
    </w:p>
    <w:p w14:paraId="7F73EAA5" w14:textId="27F5BD12" w:rsidR="009E54D2" w:rsidRDefault="00C5001F">
      <w:pPr>
        <w:pStyle w:val="Tabladeilustraciones"/>
        <w:tabs>
          <w:tab w:val="right" w:leader="dot" w:pos="8828"/>
        </w:tabs>
        <w:rPr>
          <w:rFonts w:asciiTheme="minorHAnsi" w:eastAsiaTheme="minorEastAsia" w:hAnsiTheme="minorHAnsi"/>
          <w:noProof/>
          <w:sz w:val="22"/>
          <w:lang w:eastAsia="es-ES"/>
        </w:rPr>
      </w:pPr>
      <w:r>
        <w:rPr>
          <w:lang w:val="es-NI"/>
        </w:rPr>
        <w:fldChar w:fldCharType="begin"/>
      </w:r>
      <w:r>
        <w:rPr>
          <w:lang w:val="es-NI"/>
        </w:rPr>
        <w:instrText xml:space="preserve"> TOC \h \z \c "Matriz" </w:instrText>
      </w:r>
      <w:r>
        <w:rPr>
          <w:lang w:val="es-NI"/>
        </w:rPr>
        <w:fldChar w:fldCharType="separate"/>
      </w:r>
      <w:hyperlink w:anchor="_Toc232972491" w:history="1">
        <w:r w:rsidR="009E54D2" w:rsidRPr="00910314">
          <w:rPr>
            <w:rStyle w:val="Hipervnculo"/>
            <w:b/>
            <w:bCs/>
            <w:noProof/>
          </w:rPr>
          <w:t>Matriz 1.</w:t>
        </w:r>
        <w:r w:rsidR="009E54D2" w:rsidRPr="00910314">
          <w:rPr>
            <w:rStyle w:val="Hipervnculo"/>
            <w:noProof/>
          </w:rPr>
          <w:t xml:space="preserve"> Matriz de extracción de información sobre características generales de los estudios incluidos</w:t>
        </w:r>
        <w:r w:rsidR="009E54D2">
          <w:rPr>
            <w:noProof/>
            <w:webHidden/>
          </w:rPr>
          <w:tab/>
        </w:r>
        <w:r w:rsidR="009E54D2">
          <w:rPr>
            <w:noProof/>
            <w:webHidden/>
          </w:rPr>
          <w:fldChar w:fldCharType="begin"/>
        </w:r>
        <w:r w:rsidR="009E54D2">
          <w:rPr>
            <w:noProof/>
            <w:webHidden/>
          </w:rPr>
          <w:instrText xml:space="preserve"> PAGEREF _Toc232972491 \h </w:instrText>
        </w:r>
        <w:r w:rsidR="009E54D2">
          <w:rPr>
            <w:noProof/>
            <w:webHidden/>
          </w:rPr>
        </w:r>
        <w:r w:rsidR="009E54D2">
          <w:rPr>
            <w:noProof/>
            <w:webHidden/>
          </w:rPr>
          <w:fldChar w:fldCharType="separate"/>
        </w:r>
        <w:r w:rsidR="00B87DDE">
          <w:rPr>
            <w:noProof/>
            <w:webHidden/>
          </w:rPr>
          <w:t>100</w:t>
        </w:r>
        <w:r w:rsidR="009E54D2">
          <w:rPr>
            <w:noProof/>
            <w:webHidden/>
          </w:rPr>
          <w:fldChar w:fldCharType="end"/>
        </w:r>
      </w:hyperlink>
    </w:p>
    <w:p w14:paraId="1CFDB22E" w14:textId="09635132" w:rsidR="009E54D2" w:rsidRDefault="00747E0A">
      <w:pPr>
        <w:pStyle w:val="Tabladeilustraciones"/>
        <w:tabs>
          <w:tab w:val="right" w:leader="dot" w:pos="8828"/>
        </w:tabs>
        <w:rPr>
          <w:rFonts w:asciiTheme="minorHAnsi" w:eastAsiaTheme="minorEastAsia" w:hAnsiTheme="minorHAnsi"/>
          <w:noProof/>
          <w:sz w:val="22"/>
          <w:lang w:eastAsia="es-ES"/>
        </w:rPr>
      </w:pPr>
      <w:hyperlink w:anchor="_Toc232972492" w:history="1">
        <w:r w:rsidR="009E54D2" w:rsidRPr="00910314">
          <w:rPr>
            <w:rStyle w:val="Hipervnculo"/>
            <w:b/>
            <w:bCs/>
            <w:noProof/>
          </w:rPr>
          <w:t>Matriz 2.</w:t>
        </w:r>
        <w:r w:rsidR="009E54D2" w:rsidRPr="00910314">
          <w:rPr>
            <w:rStyle w:val="Hipervnculo"/>
            <w:noProof/>
          </w:rPr>
          <w:t xml:space="preserve"> Matriz de evaluación del riesgo de sesgo del ensayo clínico aleatorizado incluido mediante Cochrane Risk of Bias 2</w:t>
        </w:r>
        <w:r w:rsidR="009E54D2">
          <w:rPr>
            <w:noProof/>
            <w:webHidden/>
          </w:rPr>
          <w:tab/>
        </w:r>
        <w:r w:rsidR="009E54D2">
          <w:rPr>
            <w:noProof/>
            <w:webHidden/>
          </w:rPr>
          <w:fldChar w:fldCharType="begin"/>
        </w:r>
        <w:r w:rsidR="009E54D2">
          <w:rPr>
            <w:noProof/>
            <w:webHidden/>
          </w:rPr>
          <w:instrText xml:space="preserve"> PAGEREF _Toc232972492 \h </w:instrText>
        </w:r>
        <w:r w:rsidR="009E54D2">
          <w:rPr>
            <w:noProof/>
            <w:webHidden/>
          </w:rPr>
        </w:r>
        <w:r w:rsidR="009E54D2">
          <w:rPr>
            <w:noProof/>
            <w:webHidden/>
          </w:rPr>
          <w:fldChar w:fldCharType="separate"/>
        </w:r>
        <w:r w:rsidR="00B87DDE">
          <w:rPr>
            <w:noProof/>
            <w:webHidden/>
          </w:rPr>
          <w:t>100</w:t>
        </w:r>
        <w:r w:rsidR="009E54D2">
          <w:rPr>
            <w:noProof/>
            <w:webHidden/>
          </w:rPr>
          <w:fldChar w:fldCharType="end"/>
        </w:r>
      </w:hyperlink>
    </w:p>
    <w:p w14:paraId="4BA95A77" w14:textId="12F2FAF5" w:rsidR="009E54D2" w:rsidRDefault="00747E0A">
      <w:pPr>
        <w:pStyle w:val="Tabladeilustraciones"/>
        <w:tabs>
          <w:tab w:val="right" w:leader="dot" w:pos="8828"/>
        </w:tabs>
        <w:rPr>
          <w:rFonts w:asciiTheme="minorHAnsi" w:eastAsiaTheme="minorEastAsia" w:hAnsiTheme="minorHAnsi"/>
          <w:noProof/>
          <w:sz w:val="22"/>
          <w:lang w:eastAsia="es-ES"/>
        </w:rPr>
      </w:pPr>
      <w:hyperlink w:anchor="_Toc232972493" w:history="1">
        <w:r w:rsidR="009E54D2" w:rsidRPr="00910314">
          <w:rPr>
            <w:rStyle w:val="Hipervnculo"/>
            <w:b/>
            <w:bCs/>
            <w:noProof/>
          </w:rPr>
          <w:t>Matriz 3.</w:t>
        </w:r>
        <w:r w:rsidR="009E54D2" w:rsidRPr="00910314">
          <w:rPr>
            <w:rStyle w:val="Hipervnculo"/>
            <w:noProof/>
          </w:rPr>
          <w:t xml:space="preserve"> </w:t>
        </w:r>
        <w:r w:rsidR="009E54D2" w:rsidRPr="00910314">
          <w:rPr>
            <w:rStyle w:val="Hipervnculo"/>
            <w:noProof/>
            <w:lang w:eastAsia="es-ES"/>
          </w:rPr>
          <w:t>Evaluación de la calidad metodológica de los estudios observacionales mediante Newcastle-Ottawa Scale adaptada</w:t>
        </w:r>
        <w:r w:rsidR="009E54D2">
          <w:rPr>
            <w:noProof/>
            <w:webHidden/>
          </w:rPr>
          <w:tab/>
        </w:r>
        <w:r w:rsidR="009E54D2">
          <w:rPr>
            <w:noProof/>
            <w:webHidden/>
          </w:rPr>
          <w:fldChar w:fldCharType="begin"/>
        </w:r>
        <w:r w:rsidR="009E54D2">
          <w:rPr>
            <w:noProof/>
            <w:webHidden/>
          </w:rPr>
          <w:instrText xml:space="preserve"> PAGEREF _Toc232972493 \h </w:instrText>
        </w:r>
        <w:r w:rsidR="009E54D2">
          <w:rPr>
            <w:noProof/>
            <w:webHidden/>
          </w:rPr>
        </w:r>
        <w:r w:rsidR="009E54D2">
          <w:rPr>
            <w:noProof/>
            <w:webHidden/>
          </w:rPr>
          <w:fldChar w:fldCharType="separate"/>
        </w:r>
        <w:r w:rsidR="00B87DDE">
          <w:rPr>
            <w:noProof/>
            <w:webHidden/>
          </w:rPr>
          <w:t>101</w:t>
        </w:r>
        <w:r w:rsidR="009E54D2">
          <w:rPr>
            <w:noProof/>
            <w:webHidden/>
          </w:rPr>
          <w:fldChar w:fldCharType="end"/>
        </w:r>
      </w:hyperlink>
    </w:p>
    <w:p w14:paraId="08143A46" w14:textId="5AB95DD3" w:rsidR="00C5001F" w:rsidRDefault="00C5001F" w:rsidP="00C5001F">
      <w:pPr>
        <w:spacing w:after="0"/>
        <w:rPr>
          <w:lang w:val="es-NI"/>
        </w:rPr>
      </w:pPr>
      <w:r>
        <w:rPr>
          <w:lang w:val="es-NI"/>
        </w:rPr>
        <w:fldChar w:fldCharType="end"/>
      </w:r>
    </w:p>
    <w:p w14:paraId="14515F04" w14:textId="77777777" w:rsidR="009E54D2" w:rsidRPr="00C5001F" w:rsidRDefault="009E54D2" w:rsidP="00C5001F">
      <w:pPr>
        <w:spacing w:after="0"/>
        <w:rPr>
          <w:sz w:val="16"/>
          <w:szCs w:val="14"/>
          <w:lang w:val="es-NI"/>
        </w:rPr>
      </w:pPr>
    </w:p>
    <w:p w14:paraId="56510500" w14:textId="252FBD91" w:rsidR="00B87DDE" w:rsidRDefault="001E57DF">
      <w:pPr>
        <w:pStyle w:val="Tabladeilustraciones"/>
        <w:tabs>
          <w:tab w:val="right" w:leader="dot" w:pos="8828"/>
        </w:tabs>
        <w:rPr>
          <w:rFonts w:asciiTheme="minorHAnsi" w:eastAsiaTheme="minorEastAsia" w:hAnsiTheme="minorHAnsi"/>
          <w:noProof/>
          <w:sz w:val="22"/>
          <w:lang w:eastAsia="es-ES"/>
        </w:rPr>
      </w:pPr>
      <w:r>
        <w:rPr>
          <w:lang w:val="es-NI"/>
        </w:rPr>
        <w:lastRenderedPageBreak/>
        <w:fldChar w:fldCharType="begin"/>
      </w:r>
      <w:r>
        <w:rPr>
          <w:lang w:val="es-NI"/>
        </w:rPr>
        <w:instrText xml:space="preserve"> TOC \h \z \c "Tabla S" </w:instrText>
      </w:r>
      <w:r>
        <w:rPr>
          <w:lang w:val="es-NI"/>
        </w:rPr>
        <w:fldChar w:fldCharType="separate"/>
      </w:r>
      <w:hyperlink w:anchor="_Toc232987041" w:history="1">
        <w:r w:rsidR="00B87DDE" w:rsidRPr="00E178D1">
          <w:rPr>
            <w:rStyle w:val="Hipervnculo"/>
            <w:b/>
            <w:bCs/>
            <w:noProof/>
          </w:rPr>
          <w:t>Tabla S 1.</w:t>
        </w:r>
        <w:r w:rsidR="00B87DDE" w:rsidRPr="00E178D1">
          <w:rPr>
            <w:rStyle w:val="Hipervnculo"/>
            <w:noProof/>
          </w:rPr>
          <w:t xml:space="preserve"> </w:t>
        </w:r>
        <w:r w:rsidR="00B87DDE" w:rsidRPr="00E178D1">
          <w:rPr>
            <w:rStyle w:val="Hipervnculo"/>
            <w:noProof/>
            <w:lang w:val="es-NI"/>
          </w:rPr>
          <w:t xml:space="preserve">Razón de inclusión y exclusión de </w:t>
        </w:r>
        <w:r w:rsidR="00B87DDE" w:rsidRPr="00E178D1">
          <w:rPr>
            <w:rStyle w:val="Hipervnculo"/>
            <w:noProof/>
          </w:rPr>
          <w:t>tesis revisadas para elegibilidad para ser incluidos en la revisión</w:t>
        </w:r>
        <w:r w:rsidR="00B87DDE">
          <w:rPr>
            <w:noProof/>
            <w:webHidden/>
          </w:rPr>
          <w:tab/>
        </w:r>
        <w:r w:rsidR="00B87DDE">
          <w:rPr>
            <w:noProof/>
            <w:webHidden/>
          </w:rPr>
          <w:fldChar w:fldCharType="begin"/>
        </w:r>
        <w:r w:rsidR="00B87DDE">
          <w:rPr>
            <w:noProof/>
            <w:webHidden/>
          </w:rPr>
          <w:instrText xml:space="preserve"> PAGEREF _Toc232987041 \h </w:instrText>
        </w:r>
        <w:r w:rsidR="00B87DDE">
          <w:rPr>
            <w:noProof/>
            <w:webHidden/>
          </w:rPr>
        </w:r>
        <w:r w:rsidR="00B87DDE">
          <w:rPr>
            <w:noProof/>
            <w:webHidden/>
          </w:rPr>
          <w:fldChar w:fldCharType="separate"/>
        </w:r>
        <w:r w:rsidR="00B87DDE">
          <w:rPr>
            <w:noProof/>
            <w:webHidden/>
          </w:rPr>
          <w:t>102</w:t>
        </w:r>
        <w:r w:rsidR="00B87DDE">
          <w:rPr>
            <w:noProof/>
            <w:webHidden/>
          </w:rPr>
          <w:fldChar w:fldCharType="end"/>
        </w:r>
      </w:hyperlink>
    </w:p>
    <w:p w14:paraId="7D39AD29" w14:textId="3148086D"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42" w:history="1">
        <w:r w:rsidR="00B87DDE" w:rsidRPr="00E178D1">
          <w:rPr>
            <w:rStyle w:val="Hipervnculo"/>
            <w:b/>
            <w:bCs/>
            <w:noProof/>
          </w:rPr>
          <w:t>Tabla S 2.</w:t>
        </w:r>
        <w:r w:rsidR="00B87DDE" w:rsidRPr="00E178D1">
          <w:rPr>
            <w:rStyle w:val="Hipervnculo"/>
            <w:noProof/>
          </w:rPr>
          <w:t xml:space="preserve"> </w:t>
        </w:r>
        <w:r w:rsidR="00B87DDE" w:rsidRPr="00E178D1">
          <w:rPr>
            <w:rStyle w:val="Hipervnculo"/>
            <w:noProof/>
            <w:lang w:val="es-NI"/>
          </w:rPr>
          <w:t xml:space="preserve">Razón de inclusión y exclusión de </w:t>
        </w:r>
        <w:r w:rsidR="00B87DDE" w:rsidRPr="00E178D1">
          <w:rPr>
            <w:rStyle w:val="Hipervnculo"/>
            <w:noProof/>
          </w:rPr>
          <w:t>artículos revisados para elegibilidad para ser incluidos en la revisión</w:t>
        </w:r>
        <w:r w:rsidR="00B87DDE">
          <w:rPr>
            <w:noProof/>
            <w:webHidden/>
          </w:rPr>
          <w:tab/>
        </w:r>
        <w:r w:rsidR="00B87DDE">
          <w:rPr>
            <w:noProof/>
            <w:webHidden/>
          </w:rPr>
          <w:fldChar w:fldCharType="begin"/>
        </w:r>
        <w:r w:rsidR="00B87DDE">
          <w:rPr>
            <w:noProof/>
            <w:webHidden/>
          </w:rPr>
          <w:instrText xml:space="preserve"> PAGEREF _Toc232987042 \h </w:instrText>
        </w:r>
        <w:r w:rsidR="00B87DDE">
          <w:rPr>
            <w:noProof/>
            <w:webHidden/>
          </w:rPr>
        </w:r>
        <w:r w:rsidR="00B87DDE">
          <w:rPr>
            <w:noProof/>
            <w:webHidden/>
          </w:rPr>
          <w:fldChar w:fldCharType="separate"/>
        </w:r>
        <w:r w:rsidR="00B87DDE">
          <w:rPr>
            <w:noProof/>
            <w:webHidden/>
          </w:rPr>
          <w:t>104</w:t>
        </w:r>
        <w:r w:rsidR="00B87DDE">
          <w:rPr>
            <w:noProof/>
            <w:webHidden/>
          </w:rPr>
          <w:fldChar w:fldCharType="end"/>
        </w:r>
      </w:hyperlink>
    </w:p>
    <w:p w14:paraId="28B4E7C5" w14:textId="7E76F20F" w:rsidR="00B87DDE" w:rsidRDefault="00747E0A">
      <w:pPr>
        <w:pStyle w:val="Tabladeilustraciones"/>
        <w:tabs>
          <w:tab w:val="right" w:leader="dot" w:pos="8828"/>
        </w:tabs>
        <w:rPr>
          <w:rFonts w:asciiTheme="minorHAnsi" w:eastAsiaTheme="minorEastAsia" w:hAnsiTheme="minorHAnsi"/>
          <w:noProof/>
          <w:sz w:val="22"/>
          <w:lang w:eastAsia="es-ES"/>
        </w:rPr>
      </w:pPr>
      <w:hyperlink w:anchor="_Toc232987043" w:history="1">
        <w:r w:rsidR="00B87DDE" w:rsidRPr="00E178D1">
          <w:rPr>
            <w:rStyle w:val="Hipervnculo"/>
            <w:b/>
            <w:bCs/>
            <w:noProof/>
          </w:rPr>
          <w:t>Tabla S 3.</w:t>
        </w:r>
        <w:r w:rsidR="00B87DDE" w:rsidRPr="00E178D1">
          <w:rPr>
            <w:rStyle w:val="Hipervnculo"/>
            <w:noProof/>
          </w:rPr>
          <w:t xml:space="preserve"> Características de estudios incluidos sobre misoprostol en aborto espontáneo o incompleto del primer trimestre</w:t>
        </w:r>
        <w:r w:rsidR="00B87DDE">
          <w:rPr>
            <w:noProof/>
            <w:webHidden/>
          </w:rPr>
          <w:tab/>
        </w:r>
        <w:r w:rsidR="00B87DDE">
          <w:rPr>
            <w:noProof/>
            <w:webHidden/>
          </w:rPr>
          <w:fldChar w:fldCharType="begin"/>
        </w:r>
        <w:r w:rsidR="00B87DDE">
          <w:rPr>
            <w:noProof/>
            <w:webHidden/>
          </w:rPr>
          <w:instrText xml:space="preserve"> PAGEREF _Toc232987043 \h </w:instrText>
        </w:r>
        <w:r w:rsidR="00B87DDE">
          <w:rPr>
            <w:noProof/>
            <w:webHidden/>
          </w:rPr>
        </w:r>
        <w:r w:rsidR="00B87DDE">
          <w:rPr>
            <w:noProof/>
            <w:webHidden/>
          </w:rPr>
          <w:fldChar w:fldCharType="separate"/>
        </w:r>
        <w:r w:rsidR="00B87DDE">
          <w:rPr>
            <w:noProof/>
            <w:webHidden/>
          </w:rPr>
          <w:t>106</w:t>
        </w:r>
        <w:r w:rsidR="00B87DDE">
          <w:rPr>
            <w:noProof/>
            <w:webHidden/>
          </w:rPr>
          <w:fldChar w:fldCharType="end"/>
        </w:r>
      </w:hyperlink>
    </w:p>
    <w:p w14:paraId="6E93A522" w14:textId="3F2C3D5E" w:rsidR="001E57DF" w:rsidRDefault="001E57DF" w:rsidP="0032432F">
      <w:pPr>
        <w:rPr>
          <w:lang w:val="es-NI"/>
        </w:rPr>
      </w:pPr>
      <w:r>
        <w:rPr>
          <w:lang w:val="es-NI"/>
        </w:rPr>
        <w:fldChar w:fldCharType="end"/>
      </w:r>
    </w:p>
    <w:p w14:paraId="525BF7B9" w14:textId="2D3B62F4" w:rsidR="009E54D2" w:rsidRDefault="009E54D2" w:rsidP="0032432F">
      <w:pPr>
        <w:rPr>
          <w:lang w:val="es-NI"/>
        </w:rPr>
      </w:pPr>
    </w:p>
    <w:p w14:paraId="5A4FEFF3" w14:textId="0AF09273" w:rsidR="009E54D2" w:rsidRDefault="009E54D2" w:rsidP="0032432F">
      <w:pPr>
        <w:rPr>
          <w:lang w:val="es-NI"/>
        </w:rPr>
      </w:pPr>
    </w:p>
    <w:p w14:paraId="4A2EF103" w14:textId="0D9B6B92" w:rsidR="009E54D2" w:rsidRDefault="009E54D2" w:rsidP="0032432F">
      <w:pPr>
        <w:rPr>
          <w:lang w:val="es-NI"/>
        </w:rPr>
      </w:pPr>
    </w:p>
    <w:p w14:paraId="1E7A692D" w14:textId="37796133" w:rsidR="009E54D2" w:rsidRDefault="009E54D2" w:rsidP="0032432F">
      <w:pPr>
        <w:rPr>
          <w:lang w:val="es-NI"/>
        </w:rPr>
      </w:pPr>
    </w:p>
    <w:p w14:paraId="4692A0B1" w14:textId="19C6CC42" w:rsidR="009E54D2" w:rsidRDefault="009E54D2" w:rsidP="0032432F">
      <w:pPr>
        <w:rPr>
          <w:lang w:val="es-NI"/>
        </w:rPr>
      </w:pPr>
    </w:p>
    <w:p w14:paraId="7A96B014" w14:textId="3B86239D" w:rsidR="009E54D2" w:rsidRDefault="009E54D2" w:rsidP="0032432F">
      <w:pPr>
        <w:rPr>
          <w:lang w:val="es-NI"/>
        </w:rPr>
      </w:pPr>
    </w:p>
    <w:p w14:paraId="241121B1" w14:textId="42D6BD8A" w:rsidR="009E54D2" w:rsidRDefault="009E54D2" w:rsidP="0032432F">
      <w:pPr>
        <w:rPr>
          <w:lang w:val="es-NI"/>
        </w:rPr>
      </w:pPr>
    </w:p>
    <w:p w14:paraId="433221E9" w14:textId="4EBABFB5" w:rsidR="009E54D2" w:rsidRDefault="009E54D2" w:rsidP="0032432F">
      <w:pPr>
        <w:rPr>
          <w:lang w:val="es-NI"/>
        </w:rPr>
      </w:pPr>
    </w:p>
    <w:p w14:paraId="6D595FE3" w14:textId="4BAE533B" w:rsidR="009E54D2" w:rsidRDefault="009E54D2" w:rsidP="0032432F">
      <w:pPr>
        <w:rPr>
          <w:lang w:val="es-NI"/>
        </w:rPr>
      </w:pPr>
    </w:p>
    <w:p w14:paraId="79BBE6CE" w14:textId="0155EC4F" w:rsidR="009E54D2" w:rsidRDefault="009E54D2" w:rsidP="0032432F">
      <w:pPr>
        <w:rPr>
          <w:lang w:val="es-NI"/>
        </w:rPr>
      </w:pPr>
    </w:p>
    <w:p w14:paraId="58573F6E" w14:textId="0AAF5C72" w:rsidR="009E54D2" w:rsidRDefault="009E54D2" w:rsidP="0032432F">
      <w:pPr>
        <w:rPr>
          <w:lang w:val="es-NI"/>
        </w:rPr>
      </w:pPr>
    </w:p>
    <w:p w14:paraId="047A4680" w14:textId="34DC03B4" w:rsidR="009E54D2" w:rsidRDefault="009E54D2" w:rsidP="0032432F">
      <w:pPr>
        <w:rPr>
          <w:lang w:val="es-NI"/>
        </w:rPr>
      </w:pPr>
    </w:p>
    <w:p w14:paraId="7786EC8D" w14:textId="4BAF7CE9" w:rsidR="009E54D2" w:rsidRDefault="009E54D2" w:rsidP="0032432F">
      <w:pPr>
        <w:rPr>
          <w:lang w:val="es-NI"/>
        </w:rPr>
      </w:pPr>
    </w:p>
    <w:p w14:paraId="2657C432" w14:textId="3A15CCC5" w:rsidR="009E54D2" w:rsidRDefault="009E54D2" w:rsidP="0032432F">
      <w:pPr>
        <w:rPr>
          <w:lang w:val="es-NI"/>
        </w:rPr>
      </w:pPr>
    </w:p>
    <w:p w14:paraId="715D6F6A" w14:textId="1C7583EF" w:rsidR="009E54D2" w:rsidRDefault="009E54D2" w:rsidP="0032432F">
      <w:pPr>
        <w:rPr>
          <w:lang w:val="es-NI"/>
        </w:rPr>
      </w:pPr>
    </w:p>
    <w:p w14:paraId="63531F58" w14:textId="77777777" w:rsidR="009E54D2" w:rsidRDefault="009E54D2" w:rsidP="0032432F">
      <w:pPr>
        <w:rPr>
          <w:lang w:val="es-NI"/>
        </w:rPr>
      </w:pPr>
    </w:p>
    <w:p w14:paraId="3DF46CFD" w14:textId="4AAC5BDD" w:rsidR="0032432F" w:rsidRDefault="0032432F" w:rsidP="0032432F">
      <w:pPr>
        <w:pStyle w:val="Ttulo1"/>
        <w:rPr>
          <w:lang w:val="es-NI"/>
        </w:rPr>
      </w:pPr>
      <w:bookmarkStart w:id="4" w:name="_Toc232986974"/>
      <w:r>
        <w:rPr>
          <w:lang w:val="es-NI"/>
        </w:rPr>
        <w:lastRenderedPageBreak/>
        <w:t>Índice de figuras</w:t>
      </w:r>
      <w:bookmarkEnd w:id="4"/>
    </w:p>
    <w:p w14:paraId="254DD141" w14:textId="515DD3EB" w:rsidR="009547DF" w:rsidRDefault="001E57DF">
      <w:pPr>
        <w:pStyle w:val="Tabladeilustraciones"/>
        <w:tabs>
          <w:tab w:val="right" w:leader="dot" w:pos="8828"/>
        </w:tabs>
        <w:rPr>
          <w:rFonts w:asciiTheme="minorHAnsi" w:eastAsiaTheme="minorEastAsia" w:hAnsiTheme="minorHAnsi"/>
          <w:noProof/>
          <w:sz w:val="22"/>
          <w:lang w:eastAsia="es-ES"/>
        </w:rPr>
      </w:pPr>
      <w:r>
        <w:rPr>
          <w:lang w:val="es-NI"/>
        </w:rPr>
        <w:fldChar w:fldCharType="begin"/>
      </w:r>
      <w:r>
        <w:rPr>
          <w:lang w:val="es-NI"/>
        </w:rPr>
        <w:instrText xml:space="preserve"> TOC \h \z \c "Figura" </w:instrText>
      </w:r>
      <w:r>
        <w:rPr>
          <w:lang w:val="es-NI"/>
        </w:rPr>
        <w:fldChar w:fldCharType="separate"/>
      </w:r>
      <w:hyperlink w:anchor="_Toc232987044" w:history="1">
        <w:r w:rsidR="009547DF" w:rsidRPr="00284C5B">
          <w:rPr>
            <w:rStyle w:val="Hipervnculo"/>
            <w:b/>
            <w:bCs/>
            <w:noProof/>
          </w:rPr>
          <w:t>Figura 1.</w:t>
        </w:r>
        <w:r w:rsidR="009547DF" w:rsidRPr="00284C5B">
          <w:rPr>
            <w:rStyle w:val="Hipervnculo"/>
            <w:noProof/>
          </w:rPr>
          <w:t xml:space="preserve"> </w:t>
        </w:r>
        <w:r w:rsidR="009547DF" w:rsidRPr="00284C5B">
          <w:rPr>
            <w:rStyle w:val="Hipervnculo"/>
            <w:noProof/>
            <w:lang w:val="es-NI"/>
          </w:rPr>
          <w:t>Diagrama PRISMA de identificación, cribado, revisión y selección de estudios incluidos en la revisión sistemática y metanálisis</w:t>
        </w:r>
        <w:r w:rsidR="009547DF">
          <w:rPr>
            <w:noProof/>
            <w:webHidden/>
          </w:rPr>
          <w:tab/>
        </w:r>
        <w:r w:rsidR="009547DF">
          <w:rPr>
            <w:noProof/>
            <w:webHidden/>
          </w:rPr>
          <w:fldChar w:fldCharType="begin"/>
        </w:r>
        <w:r w:rsidR="009547DF">
          <w:rPr>
            <w:noProof/>
            <w:webHidden/>
          </w:rPr>
          <w:instrText xml:space="preserve"> PAGEREF _Toc232987044 \h </w:instrText>
        </w:r>
        <w:r w:rsidR="009547DF">
          <w:rPr>
            <w:noProof/>
            <w:webHidden/>
          </w:rPr>
        </w:r>
        <w:r w:rsidR="009547DF">
          <w:rPr>
            <w:noProof/>
            <w:webHidden/>
          </w:rPr>
          <w:fldChar w:fldCharType="separate"/>
        </w:r>
        <w:r w:rsidR="009547DF">
          <w:rPr>
            <w:noProof/>
            <w:webHidden/>
          </w:rPr>
          <w:t>43</w:t>
        </w:r>
        <w:r w:rsidR="009547DF">
          <w:rPr>
            <w:noProof/>
            <w:webHidden/>
          </w:rPr>
          <w:fldChar w:fldCharType="end"/>
        </w:r>
      </w:hyperlink>
    </w:p>
    <w:p w14:paraId="35616EF3" w14:textId="4C894166" w:rsidR="009547DF" w:rsidRDefault="00747E0A">
      <w:pPr>
        <w:pStyle w:val="Tabladeilustraciones"/>
        <w:tabs>
          <w:tab w:val="right" w:leader="dot" w:pos="8828"/>
        </w:tabs>
        <w:rPr>
          <w:rFonts w:asciiTheme="minorHAnsi" w:eastAsiaTheme="minorEastAsia" w:hAnsiTheme="minorHAnsi"/>
          <w:noProof/>
          <w:sz w:val="22"/>
          <w:lang w:eastAsia="es-ES"/>
        </w:rPr>
      </w:pPr>
      <w:hyperlink w:anchor="_Toc232987045" w:history="1">
        <w:r w:rsidR="009547DF" w:rsidRPr="00284C5B">
          <w:rPr>
            <w:rStyle w:val="Hipervnculo"/>
            <w:b/>
            <w:bCs/>
            <w:noProof/>
          </w:rPr>
          <w:t>Figura 2.</w:t>
        </w:r>
        <w:r w:rsidR="009547DF" w:rsidRPr="00284C5B">
          <w:rPr>
            <w:rStyle w:val="Hipervnculo"/>
            <w:noProof/>
          </w:rPr>
          <w:t xml:space="preserve"> </w:t>
        </w:r>
        <w:r w:rsidR="009547DF" w:rsidRPr="00284C5B">
          <w:rPr>
            <w:rStyle w:val="Hipervnculo"/>
            <w:noProof/>
            <w:lang w:val="es-NI"/>
          </w:rPr>
          <w:t>Mapa del número, tipo y procedencia de los artículos y tesis incluidas en la revisión. Fuente: Elaboración propia.</w:t>
        </w:r>
        <w:r w:rsidR="009547DF">
          <w:rPr>
            <w:noProof/>
            <w:webHidden/>
          </w:rPr>
          <w:tab/>
        </w:r>
        <w:r w:rsidR="009547DF">
          <w:rPr>
            <w:noProof/>
            <w:webHidden/>
          </w:rPr>
          <w:fldChar w:fldCharType="begin"/>
        </w:r>
        <w:r w:rsidR="009547DF">
          <w:rPr>
            <w:noProof/>
            <w:webHidden/>
          </w:rPr>
          <w:instrText xml:space="preserve"> PAGEREF _Toc232987045 \h </w:instrText>
        </w:r>
        <w:r w:rsidR="009547DF">
          <w:rPr>
            <w:noProof/>
            <w:webHidden/>
          </w:rPr>
        </w:r>
        <w:r w:rsidR="009547DF">
          <w:rPr>
            <w:noProof/>
            <w:webHidden/>
          </w:rPr>
          <w:fldChar w:fldCharType="separate"/>
        </w:r>
        <w:r w:rsidR="009547DF">
          <w:rPr>
            <w:noProof/>
            <w:webHidden/>
          </w:rPr>
          <w:t>45</w:t>
        </w:r>
        <w:r w:rsidR="009547DF">
          <w:rPr>
            <w:noProof/>
            <w:webHidden/>
          </w:rPr>
          <w:fldChar w:fldCharType="end"/>
        </w:r>
      </w:hyperlink>
    </w:p>
    <w:p w14:paraId="75EA2CED" w14:textId="46A1D954" w:rsidR="009547DF" w:rsidRDefault="00747E0A">
      <w:pPr>
        <w:pStyle w:val="Tabladeilustraciones"/>
        <w:tabs>
          <w:tab w:val="right" w:leader="dot" w:pos="8828"/>
        </w:tabs>
        <w:rPr>
          <w:rFonts w:asciiTheme="minorHAnsi" w:eastAsiaTheme="minorEastAsia" w:hAnsiTheme="minorHAnsi"/>
          <w:noProof/>
          <w:sz w:val="22"/>
          <w:lang w:eastAsia="es-ES"/>
        </w:rPr>
      </w:pPr>
      <w:hyperlink w:anchor="_Toc232987046" w:history="1">
        <w:r w:rsidR="009547DF" w:rsidRPr="00284C5B">
          <w:rPr>
            <w:rStyle w:val="Hipervnculo"/>
            <w:b/>
            <w:bCs/>
            <w:noProof/>
          </w:rPr>
          <w:t>Figura 3</w:t>
        </w:r>
        <w:r w:rsidR="009547DF" w:rsidRPr="00284C5B">
          <w:rPr>
            <w:rStyle w:val="Hipervnculo"/>
            <w:noProof/>
          </w:rPr>
          <w:t>. Gráfico de Forrest del metaanálisis según tipo de estudio y metanálisis combinado de la proporción de éxito del manejo con misoprostol, incluidos en la revision sistemática</w:t>
        </w:r>
        <w:r w:rsidR="009547DF">
          <w:rPr>
            <w:noProof/>
            <w:webHidden/>
          </w:rPr>
          <w:tab/>
        </w:r>
        <w:r w:rsidR="009547DF">
          <w:rPr>
            <w:noProof/>
            <w:webHidden/>
          </w:rPr>
          <w:fldChar w:fldCharType="begin"/>
        </w:r>
        <w:r w:rsidR="009547DF">
          <w:rPr>
            <w:noProof/>
            <w:webHidden/>
          </w:rPr>
          <w:instrText xml:space="preserve"> PAGEREF _Toc232987046 \h </w:instrText>
        </w:r>
        <w:r w:rsidR="009547DF">
          <w:rPr>
            <w:noProof/>
            <w:webHidden/>
          </w:rPr>
        </w:r>
        <w:r w:rsidR="009547DF">
          <w:rPr>
            <w:noProof/>
            <w:webHidden/>
          </w:rPr>
          <w:fldChar w:fldCharType="separate"/>
        </w:r>
        <w:r w:rsidR="009547DF">
          <w:rPr>
            <w:noProof/>
            <w:webHidden/>
          </w:rPr>
          <w:t>64</w:t>
        </w:r>
        <w:r w:rsidR="009547DF">
          <w:rPr>
            <w:noProof/>
            <w:webHidden/>
          </w:rPr>
          <w:fldChar w:fldCharType="end"/>
        </w:r>
      </w:hyperlink>
    </w:p>
    <w:p w14:paraId="33CA7955" w14:textId="19E48767" w:rsidR="009547DF" w:rsidRDefault="00747E0A">
      <w:pPr>
        <w:pStyle w:val="Tabladeilustraciones"/>
        <w:tabs>
          <w:tab w:val="right" w:leader="dot" w:pos="8828"/>
        </w:tabs>
        <w:rPr>
          <w:rFonts w:asciiTheme="minorHAnsi" w:eastAsiaTheme="minorEastAsia" w:hAnsiTheme="minorHAnsi"/>
          <w:noProof/>
          <w:sz w:val="22"/>
          <w:lang w:eastAsia="es-ES"/>
        </w:rPr>
      </w:pPr>
      <w:hyperlink w:anchor="_Toc232987047" w:history="1">
        <w:r w:rsidR="009547DF" w:rsidRPr="00284C5B">
          <w:rPr>
            <w:rStyle w:val="Hipervnculo"/>
            <w:b/>
            <w:bCs/>
            <w:noProof/>
          </w:rPr>
          <w:t>Figura 4.</w:t>
        </w:r>
        <w:r w:rsidR="009547DF" w:rsidRPr="00284C5B">
          <w:rPr>
            <w:rStyle w:val="Hipervnculo"/>
            <w:noProof/>
          </w:rPr>
          <w:t xml:space="preserve"> Gráfico de embudo y pruebas estadísticas para análisis de la probabilidad de presencia de sesgo de publicación según tipo de publicación (artículo vs tesis) incluidos en la revision sistemática</w:t>
        </w:r>
        <w:r w:rsidR="009547DF">
          <w:rPr>
            <w:noProof/>
            <w:webHidden/>
          </w:rPr>
          <w:tab/>
        </w:r>
        <w:r w:rsidR="009547DF">
          <w:rPr>
            <w:noProof/>
            <w:webHidden/>
          </w:rPr>
          <w:fldChar w:fldCharType="begin"/>
        </w:r>
        <w:r w:rsidR="009547DF">
          <w:rPr>
            <w:noProof/>
            <w:webHidden/>
          </w:rPr>
          <w:instrText xml:space="preserve"> PAGEREF _Toc232987047 \h </w:instrText>
        </w:r>
        <w:r w:rsidR="009547DF">
          <w:rPr>
            <w:noProof/>
            <w:webHidden/>
          </w:rPr>
        </w:r>
        <w:r w:rsidR="009547DF">
          <w:rPr>
            <w:noProof/>
            <w:webHidden/>
          </w:rPr>
          <w:fldChar w:fldCharType="separate"/>
        </w:r>
        <w:r w:rsidR="009547DF">
          <w:rPr>
            <w:noProof/>
            <w:webHidden/>
          </w:rPr>
          <w:t>66</w:t>
        </w:r>
        <w:r w:rsidR="009547DF">
          <w:rPr>
            <w:noProof/>
            <w:webHidden/>
          </w:rPr>
          <w:fldChar w:fldCharType="end"/>
        </w:r>
      </w:hyperlink>
    </w:p>
    <w:p w14:paraId="799D87D2" w14:textId="4C40A8CC" w:rsidR="009547DF" w:rsidRDefault="00747E0A">
      <w:pPr>
        <w:pStyle w:val="Tabladeilustraciones"/>
        <w:tabs>
          <w:tab w:val="right" w:leader="dot" w:pos="8828"/>
        </w:tabs>
        <w:rPr>
          <w:rFonts w:asciiTheme="minorHAnsi" w:eastAsiaTheme="minorEastAsia" w:hAnsiTheme="minorHAnsi"/>
          <w:noProof/>
          <w:sz w:val="22"/>
          <w:lang w:eastAsia="es-ES"/>
        </w:rPr>
      </w:pPr>
      <w:hyperlink w:anchor="_Toc232987048" w:history="1">
        <w:r w:rsidR="009547DF" w:rsidRPr="00284C5B">
          <w:rPr>
            <w:rStyle w:val="Hipervnculo"/>
            <w:b/>
            <w:bCs/>
            <w:noProof/>
          </w:rPr>
          <w:t>Figura 5.</w:t>
        </w:r>
        <w:r w:rsidR="009547DF" w:rsidRPr="00284C5B">
          <w:rPr>
            <w:rStyle w:val="Hipervnculo"/>
            <w:noProof/>
          </w:rPr>
          <w:t xml:space="preserve"> Gráfico de embudo y pruebas estadísticas para análisis de la probabilidad de presencia de sesgo de publicación de forma combinada (artículo y tesis) incluidos en la revision sistemática</w:t>
        </w:r>
        <w:r w:rsidR="009547DF">
          <w:rPr>
            <w:noProof/>
            <w:webHidden/>
          </w:rPr>
          <w:tab/>
        </w:r>
        <w:r w:rsidR="009547DF">
          <w:rPr>
            <w:noProof/>
            <w:webHidden/>
          </w:rPr>
          <w:fldChar w:fldCharType="begin"/>
        </w:r>
        <w:r w:rsidR="009547DF">
          <w:rPr>
            <w:noProof/>
            <w:webHidden/>
          </w:rPr>
          <w:instrText xml:space="preserve"> PAGEREF _Toc232987048 \h </w:instrText>
        </w:r>
        <w:r w:rsidR="009547DF">
          <w:rPr>
            <w:noProof/>
            <w:webHidden/>
          </w:rPr>
        </w:r>
        <w:r w:rsidR="009547DF">
          <w:rPr>
            <w:noProof/>
            <w:webHidden/>
          </w:rPr>
          <w:fldChar w:fldCharType="separate"/>
        </w:r>
        <w:r w:rsidR="009547DF">
          <w:rPr>
            <w:noProof/>
            <w:webHidden/>
          </w:rPr>
          <w:t>67</w:t>
        </w:r>
        <w:r w:rsidR="009547DF">
          <w:rPr>
            <w:noProof/>
            <w:webHidden/>
          </w:rPr>
          <w:fldChar w:fldCharType="end"/>
        </w:r>
      </w:hyperlink>
    </w:p>
    <w:p w14:paraId="514D0F71" w14:textId="2B706A3E" w:rsidR="001E57DF" w:rsidRPr="001E57DF" w:rsidRDefault="001E57DF" w:rsidP="001E57DF">
      <w:pPr>
        <w:rPr>
          <w:lang w:val="es-NI"/>
        </w:rPr>
      </w:pPr>
      <w:r>
        <w:rPr>
          <w:lang w:val="es-NI"/>
        </w:rPr>
        <w:fldChar w:fldCharType="end"/>
      </w:r>
    </w:p>
    <w:p w14:paraId="6EFFEE0E" w14:textId="6B5C7104" w:rsidR="0032432F" w:rsidRDefault="0032432F" w:rsidP="0032432F">
      <w:pPr>
        <w:rPr>
          <w:lang w:val="es-NI"/>
        </w:rPr>
      </w:pPr>
    </w:p>
    <w:p w14:paraId="54688FE0" w14:textId="4A647418" w:rsidR="0032432F" w:rsidRDefault="0032432F" w:rsidP="0032432F">
      <w:pPr>
        <w:rPr>
          <w:lang w:val="es-NI"/>
        </w:rPr>
      </w:pPr>
    </w:p>
    <w:p w14:paraId="0AC68FE5" w14:textId="7E8AE921" w:rsidR="0032432F" w:rsidRDefault="0032432F" w:rsidP="0032432F">
      <w:pPr>
        <w:rPr>
          <w:lang w:val="es-NI"/>
        </w:rPr>
      </w:pPr>
    </w:p>
    <w:p w14:paraId="321E85E2" w14:textId="58030259" w:rsidR="0032432F" w:rsidRDefault="0032432F" w:rsidP="0032432F">
      <w:pPr>
        <w:rPr>
          <w:lang w:val="es-NI"/>
        </w:rPr>
      </w:pPr>
    </w:p>
    <w:p w14:paraId="067DE29B" w14:textId="266B18B8" w:rsidR="0032432F" w:rsidRDefault="0032432F" w:rsidP="0032432F">
      <w:pPr>
        <w:rPr>
          <w:lang w:val="es-NI"/>
        </w:rPr>
      </w:pPr>
    </w:p>
    <w:p w14:paraId="75A01E76" w14:textId="1ABD89FC" w:rsidR="0032432F" w:rsidRDefault="0032432F" w:rsidP="0032432F">
      <w:pPr>
        <w:rPr>
          <w:lang w:val="es-NI"/>
        </w:rPr>
      </w:pPr>
    </w:p>
    <w:p w14:paraId="7463386C" w14:textId="2DB3B9DB" w:rsidR="0032432F" w:rsidRDefault="0032432F" w:rsidP="0032432F">
      <w:pPr>
        <w:rPr>
          <w:lang w:val="es-NI"/>
        </w:rPr>
      </w:pPr>
    </w:p>
    <w:p w14:paraId="62EDDA07" w14:textId="59D225B8" w:rsidR="008536F7" w:rsidRDefault="008536F7" w:rsidP="0032432F">
      <w:pPr>
        <w:rPr>
          <w:lang w:val="es-NI"/>
        </w:rPr>
      </w:pPr>
    </w:p>
    <w:p w14:paraId="6DFDE240" w14:textId="3FDDAC5C" w:rsidR="008536F7" w:rsidRDefault="008536F7" w:rsidP="0032432F">
      <w:pPr>
        <w:rPr>
          <w:lang w:val="es-NI"/>
        </w:rPr>
      </w:pPr>
    </w:p>
    <w:p w14:paraId="362A09AF" w14:textId="05C24443" w:rsidR="008536F7" w:rsidRDefault="008536F7" w:rsidP="0032432F">
      <w:pPr>
        <w:rPr>
          <w:lang w:val="es-NI"/>
        </w:rPr>
      </w:pPr>
    </w:p>
    <w:p w14:paraId="345540FC" w14:textId="07BB2ED8" w:rsidR="0032432F" w:rsidRDefault="0032432F" w:rsidP="0032432F">
      <w:pPr>
        <w:rPr>
          <w:lang w:val="es-NI"/>
        </w:rPr>
      </w:pPr>
    </w:p>
    <w:p w14:paraId="3300D775" w14:textId="5708CE0D" w:rsidR="008536F7" w:rsidRDefault="008536F7" w:rsidP="00961C48">
      <w:pPr>
        <w:pStyle w:val="Ttulo1"/>
        <w:spacing w:after="0"/>
        <w:rPr>
          <w:lang w:val="es-NI"/>
        </w:rPr>
      </w:pPr>
      <w:bookmarkStart w:id="5" w:name="_Toc232986975"/>
      <w:r>
        <w:rPr>
          <w:lang w:val="es-NI"/>
        </w:rPr>
        <w:lastRenderedPageBreak/>
        <w:t>Siglas y abreviaturas</w:t>
      </w:r>
      <w:bookmarkEnd w:id="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7"/>
        <w:gridCol w:w="7841"/>
      </w:tblGrid>
      <w:tr w:rsidR="00961C48" w:rsidRPr="00000A5F" w14:paraId="3CE5D2E6" w14:textId="77777777" w:rsidTr="00000A5F">
        <w:trPr>
          <w:tblCellSpacing w:w="15" w:type="dxa"/>
        </w:trPr>
        <w:tc>
          <w:tcPr>
            <w:tcW w:w="538" w:type="pct"/>
            <w:hideMark/>
          </w:tcPr>
          <w:p w14:paraId="595325A8"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AMEU</w:t>
            </w:r>
          </w:p>
        </w:tc>
        <w:tc>
          <w:tcPr>
            <w:tcW w:w="4411" w:type="pct"/>
            <w:hideMark/>
          </w:tcPr>
          <w:p w14:paraId="65D87AA4"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Aspiración manual endouterina</w:t>
            </w:r>
          </w:p>
        </w:tc>
      </w:tr>
      <w:tr w:rsidR="00961C48" w:rsidRPr="00000A5F" w14:paraId="26E80569" w14:textId="77777777" w:rsidTr="00000A5F">
        <w:trPr>
          <w:tblCellSpacing w:w="15" w:type="dxa"/>
        </w:trPr>
        <w:tc>
          <w:tcPr>
            <w:tcW w:w="538" w:type="pct"/>
            <w:hideMark/>
          </w:tcPr>
          <w:p w14:paraId="57D89BEB"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ECA</w:t>
            </w:r>
          </w:p>
        </w:tc>
        <w:tc>
          <w:tcPr>
            <w:tcW w:w="4411" w:type="pct"/>
            <w:hideMark/>
          </w:tcPr>
          <w:p w14:paraId="2BE26276"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Ensayo clínico aleatorizado</w:t>
            </w:r>
          </w:p>
        </w:tc>
      </w:tr>
      <w:tr w:rsidR="00961C48" w:rsidRPr="00000A5F" w14:paraId="0173D1DC" w14:textId="77777777" w:rsidTr="00000A5F">
        <w:trPr>
          <w:tblCellSpacing w:w="15" w:type="dxa"/>
        </w:trPr>
        <w:tc>
          <w:tcPr>
            <w:tcW w:w="538" w:type="pct"/>
            <w:hideMark/>
          </w:tcPr>
          <w:p w14:paraId="2E245DFE"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FIGO</w:t>
            </w:r>
          </w:p>
        </w:tc>
        <w:tc>
          <w:tcPr>
            <w:tcW w:w="4411" w:type="pct"/>
            <w:hideMark/>
          </w:tcPr>
          <w:p w14:paraId="4436B2BD"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Federación Internacional de Ginecología y Obstetricia</w:t>
            </w:r>
          </w:p>
        </w:tc>
      </w:tr>
      <w:tr w:rsidR="00961C48" w:rsidRPr="00000A5F" w14:paraId="5C090AFE" w14:textId="77777777" w:rsidTr="00000A5F">
        <w:trPr>
          <w:tblCellSpacing w:w="15" w:type="dxa"/>
        </w:trPr>
        <w:tc>
          <w:tcPr>
            <w:tcW w:w="538" w:type="pct"/>
            <w:hideMark/>
          </w:tcPr>
          <w:p w14:paraId="53468630"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mcg</w:t>
            </w:r>
          </w:p>
        </w:tc>
        <w:tc>
          <w:tcPr>
            <w:tcW w:w="4411" w:type="pct"/>
            <w:hideMark/>
          </w:tcPr>
          <w:p w14:paraId="5396D227"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Microgramos</w:t>
            </w:r>
          </w:p>
        </w:tc>
      </w:tr>
      <w:tr w:rsidR="00961C48" w:rsidRPr="00000A5F" w14:paraId="08806032" w14:textId="77777777" w:rsidTr="00000A5F">
        <w:trPr>
          <w:tblCellSpacing w:w="15" w:type="dxa"/>
        </w:trPr>
        <w:tc>
          <w:tcPr>
            <w:tcW w:w="538" w:type="pct"/>
            <w:hideMark/>
          </w:tcPr>
          <w:p w14:paraId="61F79088"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µg</w:t>
            </w:r>
          </w:p>
        </w:tc>
        <w:tc>
          <w:tcPr>
            <w:tcW w:w="4411" w:type="pct"/>
            <w:hideMark/>
          </w:tcPr>
          <w:p w14:paraId="71709E93"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Microgramos</w:t>
            </w:r>
          </w:p>
        </w:tc>
      </w:tr>
      <w:tr w:rsidR="00961C48" w:rsidRPr="00000A5F" w14:paraId="22B56356" w14:textId="77777777" w:rsidTr="00000A5F">
        <w:trPr>
          <w:tblCellSpacing w:w="15" w:type="dxa"/>
        </w:trPr>
        <w:tc>
          <w:tcPr>
            <w:tcW w:w="538" w:type="pct"/>
            <w:hideMark/>
          </w:tcPr>
          <w:p w14:paraId="3FF71C21"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RoB 2</w:t>
            </w:r>
          </w:p>
        </w:tc>
        <w:tc>
          <w:tcPr>
            <w:tcW w:w="4411" w:type="pct"/>
            <w:hideMark/>
          </w:tcPr>
          <w:p w14:paraId="05FF0026" w14:textId="08B36D01"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Risk of Bias 2 (Riesgo de sesgo 2)</w:t>
            </w:r>
          </w:p>
        </w:tc>
      </w:tr>
      <w:tr w:rsidR="00961C48" w:rsidRPr="00000A5F" w14:paraId="3F7050BC" w14:textId="77777777" w:rsidTr="00000A5F">
        <w:trPr>
          <w:tblCellSpacing w:w="15" w:type="dxa"/>
        </w:trPr>
        <w:tc>
          <w:tcPr>
            <w:tcW w:w="538" w:type="pct"/>
            <w:hideMark/>
          </w:tcPr>
          <w:p w14:paraId="23B09031"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RR</w:t>
            </w:r>
          </w:p>
        </w:tc>
        <w:tc>
          <w:tcPr>
            <w:tcW w:w="4411" w:type="pct"/>
            <w:hideMark/>
          </w:tcPr>
          <w:p w14:paraId="4798793F"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Riesgo relativo</w:t>
            </w:r>
          </w:p>
        </w:tc>
      </w:tr>
      <w:tr w:rsidR="00961C48" w:rsidRPr="00000A5F" w14:paraId="7020E842" w14:textId="77777777" w:rsidTr="00000A5F">
        <w:trPr>
          <w:tblCellSpacing w:w="15" w:type="dxa"/>
        </w:trPr>
        <w:tc>
          <w:tcPr>
            <w:tcW w:w="538" w:type="pct"/>
            <w:hideMark/>
          </w:tcPr>
          <w:p w14:paraId="52D616E2"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IC 95%</w:t>
            </w:r>
          </w:p>
        </w:tc>
        <w:tc>
          <w:tcPr>
            <w:tcW w:w="4411" w:type="pct"/>
            <w:hideMark/>
          </w:tcPr>
          <w:p w14:paraId="7A38CD17"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Intervalo de confianza del 95%</w:t>
            </w:r>
          </w:p>
        </w:tc>
      </w:tr>
      <w:tr w:rsidR="00961C48" w:rsidRPr="00000A5F" w14:paraId="76E20E3B" w14:textId="77777777" w:rsidTr="00000A5F">
        <w:trPr>
          <w:tblCellSpacing w:w="15" w:type="dxa"/>
        </w:trPr>
        <w:tc>
          <w:tcPr>
            <w:tcW w:w="538" w:type="pct"/>
            <w:hideMark/>
          </w:tcPr>
          <w:p w14:paraId="397B2463"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I²</w:t>
            </w:r>
          </w:p>
        </w:tc>
        <w:tc>
          <w:tcPr>
            <w:tcW w:w="4411" w:type="pct"/>
            <w:hideMark/>
          </w:tcPr>
          <w:p w14:paraId="442FBFE8"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Estadístico de heterogeneidad</w:t>
            </w:r>
          </w:p>
        </w:tc>
      </w:tr>
      <w:tr w:rsidR="00961C48" w:rsidRPr="00000A5F" w14:paraId="5B322C8F" w14:textId="77777777" w:rsidTr="00000A5F">
        <w:trPr>
          <w:tblCellSpacing w:w="15" w:type="dxa"/>
        </w:trPr>
        <w:tc>
          <w:tcPr>
            <w:tcW w:w="538" w:type="pct"/>
            <w:hideMark/>
          </w:tcPr>
          <w:p w14:paraId="5948DD4D"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PRISMA</w:t>
            </w:r>
          </w:p>
        </w:tc>
        <w:tc>
          <w:tcPr>
            <w:tcW w:w="4411" w:type="pct"/>
            <w:hideMark/>
          </w:tcPr>
          <w:p w14:paraId="14AFB771" w14:textId="77777777" w:rsidR="00961C48" w:rsidRPr="00000A5F" w:rsidRDefault="00961C48" w:rsidP="00961C48">
            <w:pPr>
              <w:spacing w:after="0" w:line="276" w:lineRule="auto"/>
              <w:jc w:val="left"/>
              <w:rPr>
                <w:rFonts w:eastAsia="Times New Roman" w:cs="Arial"/>
                <w:sz w:val="22"/>
                <w:lang w:val="en-US" w:eastAsia="es-ES"/>
              </w:rPr>
            </w:pPr>
            <w:r w:rsidRPr="00000A5F">
              <w:rPr>
                <w:rFonts w:eastAsia="Times New Roman" w:cs="Arial"/>
                <w:sz w:val="22"/>
                <w:lang w:val="en-US" w:eastAsia="es-ES"/>
              </w:rPr>
              <w:t>Preferred Reporting Items for Systematic Reviews and Meta-Analyses</w:t>
            </w:r>
          </w:p>
          <w:p w14:paraId="5B5EB427" w14:textId="21B5966B" w:rsidR="00961C48" w:rsidRPr="00000A5F" w:rsidRDefault="00961C48" w:rsidP="00961C48">
            <w:pPr>
              <w:spacing w:after="0" w:line="276" w:lineRule="auto"/>
              <w:jc w:val="left"/>
              <w:rPr>
                <w:rFonts w:eastAsia="Times New Roman" w:cs="Arial"/>
                <w:szCs w:val="24"/>
                <w:lang w:eastAsia="es-ES"/>
              </w:rPr>
            </w:pPr>
            <w:r w:rsidRPr="00000A5F">
              <w:rPr>
                <w:rFonts w:eastAsia="Times New Roman" w:cs="Arial"/>
                <w:sz w:val="22"/>
                <w:lang w:val="en-US" w:eastAsia="es-ES"/>
              </w:rPr>
              <w:t>(</w:t>
            </w:r>
            <w:r w:rsidRPr="00000A5F">
              <w:rPr>
                <w:rFonts w:eastAsia="Times New Roman" w:cs="Arial"/>
                <w:sz w:val="22"/>
                <w:lang w:val="es-NI" w:eastAsia="es-ES"/>
              </w:rPr>
              <w:t>Elementos de reporte preferidos para revisiones sistemáticas y metaanálisis</w:t>
            </w:r>
            <w:r w:rsidRPr="00000A5F">
              <w:rPr>
                <w:rFonts w:eastAsia="Times New Roman" w:cs="Arial"/>
                <w:sz w:val="22"/>
                <w:lang w:val="en-US" w:eastAsia="es-ES"/>
              </w:rPr>
              <w:t>)</w:t>
            </w:r>
          </w:p>
        </w:tc>
      </w:tr>
      <w:tr w:rsidR="00961C48" w:rsidRPr="00000A5F" w14:paraId="5BB986AC" w14:textId="77777777" w:rsidTr="00000A5F">
        <w:trPr>
          <w:tblCellSpacing w:w="15" w:type="dxa"/>
        </w:trPr>
        <w:tc>
          <w:tcPr>
            <w:tcW w:w="538" w:type="pct"/>
            <w:hideMark/>
          </w:tcPr>
          <w:p w14:paraId="2EE45579"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NOS</w:t>
            </w:r>
          </w:p>
        </w:tc>
        <w:tc>
          <w:tcPr>
            <w:tcW w:w="4411" w:type="pct"/>
            <w:hideMark/>
          </w:tcPr>
          <w:p w14:paraId="08AFCF8A"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Newcastle-Ottawa Scale</w:t>
            </w:r>
          </w:p>
        </w:tc>
      </w:tr>
      <w:tr w:rsidR="00961C48" w:rsidRPr="00000A5F" w14:paraId="0408BD03" w14:textId="77777777" w:rsidTr="00000A5F">
        <w:trPr>
          <w:tblCellSpacing w:w="15" w:type="dxa"/>
        </w:trPr>
        <w:tc>
          <w:tcPr>
            <w:tcW w:w="538" w:type="pct"/>
            <w:hideMark/>
          </w:tcPr>
          <w:p w14:paraId="77704E65"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ME</w:t>
            </w:r>
          </w:p>
        </w:tc>
        <w:tc>
          <w:tcPr>
            <w:tcW w:w="4411" w:type="pct"/>
            <w:hideMark/>
          </w:tcPr>
          <w:p w14:paraId="2A7C77B2"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Metaanálisis de efectos aleatorios</w:t>
            </w:r>
          </w:p>
        </w:tc>
      </w:tr>
      <w:tr w:rsidR="00961C48" w:rsidRPr="00000A5F" w14:paraId="04F5FEF5" w14:textId="77777777" w:rsidTr="00000A5F">
        <w:trPr>
          <w:tblCellSpacing w:w="15" w:type="dxa"/>
        </w:trPr>
        <w:tc>
          <w:tcPr>
            <w:tcW w:w="538" w:type="pct"/>
            <w:hideMark/>
          </w:tcPr>
          <w:p w14:paraId="5E47CB4B"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AMEU</w:t>
            </w:r>
          </w:p>
        </w:tc>
        <w:tc>
          <w:tcPr>
            <w:tcW w:w="4411" w:type="pct"/>
            <w:hideMark/>
          </w:tcPr>
          <w:p w14:paraId="034EE6B9"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Aspiración manual endouterina</w:t>
            </w:r>
          </w:p>
        </w:tc>
      </w:tr>
      <w:tr w:rsidR="00961C48" w:rsidRPr="00000A5F" w14:paraId="2C80D0F0" w14:textId="77777777" w:rsidTr="00000A5F">
        <w:trPr>
          <w:tblCellSpacing w:w="15" w:type="dxa"/>
        </w:trPr>
        <w:tc>
          <w:tcPr>
            <w:tcW w:w="538" w:type="pct"/>
            <w:hideMark/>
          </w:tcPr>
          <w:p w14:paraId="6C42B5E0"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LUI</w:t>
            </w:r>
          </w:p>
        </w:tc>
        <w:tc>
          <w:tcPr>
            <w:tcW w:w="4411" w:type="pct"/>
            <w:hideMark/>
          </w:tcPr>
          <w:p w14:paraId="56483E09"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Legrado uterino instrumental</w:t>
            </w:r>
          </w:p>
        </w:tc>
      </w:tr>
      <w:tr w:rsidR="00961C48" w:rsidRPr="00000A5F" w14:paraId="402E59A1" w14:textId="77777777" w:rsidTr="00000A5F">
        <w:trPr>
          <w:tblCellSpacing w:w="15" w:type="dxa"/>
        </w:trPr>
        <w:tc>
          <w:tcPr>
            <w:tcW w:w="538" w:type="pct"/>
            <w:hideMark/>
          </w:tcPr>
          <w:p w14:paraId="64DC4FB7"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EUM</w:t>
            </w:r>
          </w:p>
        </w:tc>
        <w:tc>
          <w:tcPr>
            <w:tcW w:w="4411" w:type="pct"/>
            <w:hideMark/>
          </w:tcPr>
          <w:p w14:paraId="72EB1916"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Evacuación uterina médica</w:t>
            </w:r>
          </w:p>
        </w:tc>
      </w:tr>
      <w:tr w:rsidR="00961C48" w:rsidRPr="00000A5F" w14:paraId="56AB60E1" w14:textId="77777777" w:rsidTr="00000A5F">
        <w:trPr>
          <w:tblCellSpacing w:w="15" w:type="dxa"/>
        </w:trPr>
        <w:tc>
          <w:tcPr>
            <w:tcW w:w="538" w:type="pct"/>
            <w:hideMark/>
          </w:tcPr>
          <w:p w14:paraId="4D313A0C"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EQQ</w:t>
            </w:r>
          </w:p>
        </w:tc>
        <w:tc>
          <w:tcPr>
            <w:tcW w:w="4411" w:type="pct"/>
            <w:hideMark/>
          </w:tcPr>
          <w:p w14:paraId="748CBFEA"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Evacuación uterina quirúrgica</w:t>
            </w:r>
          </w:p>
        </w:tc>
      </w:tr>
      <w:tr w:rsidR="00961C48" w:rsidRPr="00000A5F" w14:paraId="6630463B" w14:textId="77777777" w:rsidTr="00000A5F">
        <w:trPr>
          <w:tblCellSpacing w:w="15" w:type="dxa"/>
        </w:trPr>
        <w:tc>
          <w:tcPr>
            <w:tcW w:w="538" w:type="pct"/>
            <w:hideMark/>
          </w:tcPr>
          <w:p w14:paraId="07B06EBC"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EA</w:t>
            </w:r>
          </w:p>
        </w:tc>
        <w:tc>
          <w:tcPr>
            <w:tcW w:w="4411" w:type="pct"/>
            <w:hideMark/>
          </w:tcPr>
          <w:p w14:paraId="1694D15B"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Eventos adversos</w:t>
            </w:r>
          </w:p>
        </w:tc>
      </w:tr>
      <w:tr w:rsidR="00961C48" w:rsidRPr="00000A5F" w14:paraId="1687DC94" w14:textId="77777777" w:rsidTr="00000A5F">
        <w:trPr>
          <w:tblCellSpacing w:w="15" w:type="dxa"/>
        </w:trPr>
        <w:tc>
          <w:tcPr>
            <w:tcW w:w="538" w:type="pct"/>
            <w:hideMark/>
          </w:tcPr>
          <w:p w14:paraId="65032BC9"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RAM</w:t>
            </w:r>
          </w:p>
        </w:tc>
        <w:tc>
          <w:tcPr>
            <w:tcW w:w="4411" w:type="pct"/>
            <w:hideMark/>
          </w:tcPr>
          <w:p w14:paraId="45B39C81"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Reacciones adversas a medicamentos</w:t>
            </w:r>
          </w:p>
        </w:tc>
      </w:tr>
      <w:tr w:rsidR="00961C48" w:rsidRPr="00000A5F" w14:paraId="6E80F655" w14:textId="77777777" w:rsidTr="00000A5F">
        <w:trPr>
          <w:tblCellSpacing w:w="15" w:type="dxa"/>
        </w:trPr>
        <w:tc>
          <w:tcPr>
            <w:tcW w:w="538" w:type="pct"/>
            <w:hideMark/>
          </w:tcPr>
          <w:p w14:paraId="7525D9D4"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n</w:t>
            </w:r>
          </w:p>
        </w:tc>
        <w:tc>
          <w:tcPr>
            <w:tcW w:w="4411" w:type="pct"/>
            <w:hideMark/>
          </w:tcPr>
          <w:p w14:paraId="48227F78"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Tamaño de muestra</w:t>
            </w:r>
          </w:p>
        </w:tc>
      </w:tr>
      <w:tr w:rsidR="00961C48" w:rsidRPr="00000A5F" w14:paraId="5BF2C7D5" w14:textId="77777777" w:rsidTr="00000A5F">
        <w:trPr>
          <w:tblCellSpacing w:w="15" w:type="dxa"/>
        </w:trPr>
        <w:tc>
          <w:tcPr>
            <w:tcW w:w="538" w:type="pct"/>
            <w:hideMark/>
          </w:tcPr>
          <w:p w14:paraId="64770F9E"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N</w:t>
            </w:r>
          </w:p>
        </w:tc>
        <w:tc>
          <w:tcPr>
            <w:tcW w:w="4411" w:type="pct"/>
            <w:hideMark/>
          </w:tcPr>
          <w:p w14:paraId="469EFA3D"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Número total de participantes</w:t>
            </w:r>
          </w:p>
        </w:tc>
      </w:tr>
      <w:tr w:rsidR="00961C48" w:rsidRPr="00000A5F" w14:paraId="5CED257F" w14:textId="77777777" w:rsidTr="00000A5F">
        <w:trPr>
          <w:tblCellSpacing w:w="15" w:type="dxa"/>
        </w:trPr>
        <w:tc>
          <w:tcPr>
            <w:tcW w:w="538" w:type="pct"/>
            <w:hideMark/>
          </w:tcPr>
          <w:p w14:paraId="0BE90FC6"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p</w:t>
            </w:r>
          </w:p>
        </w:tc>
        <w:tc>
          <w:tcPr>
            <w:tcW w:w="4411" w:type="pct"/>
            <w:hideMark/>
          </w:tcPr>
          <w:p w14:paraId="070EC6CC"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Valor de significancia estadística</w:t>
            </w:r>
          </w:p>
        </w:tc>
      </w:tr>
      <w:tr w:rsidR="00961C48" w:rsidRPr="00000A5F" w14:paraId="17B3876A" w14:textId="77777777" w:rsidTr="00000A5F">
        <w:trPr>
          <w:tblCellSpacing w:w="15" w:type="dxa"/>
        </w:trPr>
        <w:tc>
          <w:tcPr>
            <w:tcW w:w="538" w:type="pct"/>
            <w:hideMark/>
          </w:tcPr>
          <w:p w14:paraId="10C46B7B"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DE</w:t>
            </w:r>
          </w:p>
        </w:tc>
        <w:tc>
          <w:tcPr>
            <w:tcW w:w="4411" w:type="pct"/>
            <w:hideMark/>
          </w:tcPr>
          <w:p w14:paraId="5A5C0834"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Desviación estándar</w:t>
            </w:r>
          </w:p>
        </w:tc>
      </w:tr>
      <w:tr w:rsidR="00961C48" w:rsidRPr="00000A5F" w14:paraId="6A97D4DB" w14:textId="77777777" w:rsidTr="00000A5F">
        <w:trPr>
          <w:tblCellSpacing w:w="15" w:type="dxa"/>
        </w:trPr>
        <w:tc>
          <w:tcPr>
            <w:tcW w:w="538" w:type="pct"/>
            <w:hideMark/>
          </w:tcPr>
          <w:p w14:paraId="5D5E9CC9"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EE</w:t>
            </w:r>
          </w:p>
        </w:tc>
        <w:tc>
          <w:tcPr>
            <w:tcW w:w="4411" w:type="pct"/>
            <w:hideMark/>
          </w:tcPr>
          <w:p w14:paraId="11B1BC77"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Error estándar</w:t>
            </w:r>
          </w:p>
        </w:tc>
      </w:tr>
      <w:tr w:rsidR="00961C48" w:rsidRPr="00000A5F" w14:paraId="5D196B8A" w14:textId="77777777" w:rsidTr="00000A5F">
        <w:trPr>
          <w:tblCellSpacing w:w="15" w:type="dxa"/>
        </w:trPr>
        <w:tc>
          <w:tcPr>
            <w:tcW w:w="538" w:type="pct"/>
            <w:hideMark/>
          </w:tcPr>
          <w:p w14:paraId="5DCDB52A"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τ²</w:t>
            </w:r>
          </w:p>
        </w:tc>
        <w:tc>
          <w:tcPr>
            <w:tcW w:w="4411" w:type="pct"/>
            <w:hideMark/>
          </w:tcPr>
          <w:p w14:paraId="37AC03C5"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Varianza entre estudios</w:t>
            </w:r>
          </w:p>
        </w:tc>
      </w:tr>
      <w:tr w:rsidR="00961C48" w:rsidRPr="00000A5F" w14:paraId="25AC5E3B" w14:textId="77777777" w:rsidTr="00000A5F">
        <w:trPr>
          <w:tblCellSpacing w:w="15" w:type="dxa"/>
        </w:trPr>
        <w:tc>
          <w:tcPr>
            <w:tcW w:w="538" w:type="pct"/>
            <w:hideMark/>
          </w:tcPr>
          <w:p w14:paraId="333F7835"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OR</w:t>
            </w:r>
          </w:p>
        </w:tc>
        <w:tc>
          <w:tcPr>
            <w:tcW w:w="4411" w:type="pct"/>
            <w:hideMark/>
          </w:tcPr>
          <w:p w14:paraId="24F35263" w14:textId="77777777" w:rsidR="00961C48" w:rsidRPr="00000A5F" w:rsidRDefault="00961C48" w:rsidP="00961C48">
            <w:pPr>
              <w:spacing w:after="0"/>
              <w:jc w:val="left"/>
              <w:rPr>
                <w:rFonts w:eastAsia="Times New Roman" w:cs="Arial"/>
                <w:szCs w:val="24"/>
                <w:lang w:eastAsia="es-ES"/>
              </w:rPr>
            </w:pPr>
            <w:r w:rsidRPr="00000A5F">
              <w:rPr>
                <w:rFonts w:eastAsia="Times New Roman" w:cs="Arial"/>
                <w:szCs w:val="24"/>
                <w:lang w:eastAsia="es-ES"/>
              </w:rPr>
              <w:t>Razón de momios</w:t>
            </w:r>
          </w:p>
        </w:tc>
      </w:tr>
    </w:tbl>
    <w:p w14:paraId="44A32BAA" w14:textId="77777777" w:rsidR="0032432F" w:rsidRDefault="0032432F" w:rsidP="0032432F">
      <w:pPr>
        <w:rPr>
          <w:lang w:val="es-NI"/>
        </w:rPr>
      </w:pPr>
    </w:p>
    <w:p w14:paraId="1AC46C28" w14:textId="77777777" w:rsidR="0032432F" w:rsidRDefault="0032432F" w:rsidP="00B8712F">
      <w:pPr>
        <w:pStyle w:val="Ttulo1"/>
        <w:rPr>
          <w:lang w:val="es-NI"/>
        </w:rPr>
        <w:sectPr w:rsidR="0032432F" w:rsidSect="0032432F">
          <w:footerReference w:type="default" r:id="rId12"/>
          <w:pgSz w:w="12240" w:h="15840"/>
          <w:pgMar w:top="1417" w:right="1701" w:bottom="1417" w:left="1701" w:header="708" w:footer="708" w:gutter="0"/>
          <w:pgNumType w:fmt="lowerRoman"/>
          <w:cols w:space="708"/>
          <w:docGrid w:linePitch="360"/>
        </w:sectPr>
      </w:pPr>
    </w:p>
    <w:p w14:paraId="3EBB96AE" w14:textId="42CF0375" w:rsidR="00E13F79" w:rsidRPr="00B8712F" w:rsidRDefault="00B8712F" w:rsidP="00B8712F">
      <w:pPr>
        <w:pStyle w:val="Ttulo1"/>
        <w:rPr>
          <w:lang w:val="es-NI"/>
        </w:rPr>
      </w:pPr>
      <w:bookmarkStart w:id="6" w:name="_Toc232986976"/>
      <w:r w:rsidRPr="00B8712F">
        <w:rPr>
          <w:lang w:val="es-NI"/>
        </w:rPr>
        <w:lastRenderedPageBreak/>
        <w:t>Introducción</w:t>
      </w:r>
      <w:bookmarkEnd w:id="6"/>
    </w:p>
    <w:p w14:paraId="6677FD64" w14:textId="77777777" w:rsidR="00B3650A" w:rsidRPr="00B8712F" w:rsidRDefault="00B3650A" w:rsidP="00B3650A">
      <w:pPr>
        <w:rPr>
          <w:lang w:val="es-NI"/>
        </w:rPr>
      </w:pPr>
      <w:r w:rsidRPr="00B8712F">
        <w:rPr>
          <w:lang w:val="es-NI"/>
        </w:rPr>
        <w:t>La pérdida gestacional temprana es una complicación frecuente del embarazo y ocurre en aproximadamente el 10–15 % de las gestaciones clínicamente reconocidas, lo que la convierte en un motivo habitual de atención en los servicios de salud materna (Kim et al., 2017). Dentro de este grupo, el aborto incompleto espontáneo del primer trimestre se caracteriza por la persistencia de restos ovulares tras la expulsión parcial del contenido uterino, situación que puede provocar sangrado persistente, infección o necesidad de intervenciones adicionales si no se resuelve de forma adecuada (Van Poucke et al., 2025).</w:t>
      </w:r>
    </w:p>
    <w:p w14:paraId="670BD716" w14:textId="77777777" w:rsidR="00B3650A" w:rsidRPr="00B8712F" w:rsidRDefault="00B3650A" w:rsidP="00B3650A">
      <w:pPr>
        <w:rPr>
          <w:lang w:val="es-NI"/>
        </w:rPr>
      </w:pPr>
      <w:r w:rsidRPr="00B8712F">
        <w:rPr>
          <w:lang w:val="es-NI"/>
        </w:rPr>
        <w:t>El tratamiento histórico de esta condición ha sido la evacuación uterina quirúrgica, debido a su alta efectividad para lograr la resolución completa del proceso. Sin embargo, este procedimiento requiere infraestructura hospitalaria, anestesia y personal capacitado, además de asociarse a riesgos como hemorragia, infección, perforación uterina o adherencias intrauterinas (Bagratee et al., 2004). Estas limitaciones adquieren mayor relevancia en sistemas de salud con recursos restringidos, donde el acceso oportuno a servicios quirúrgicos puede ser limitado.</w:t>
      </w:r>
    </w:p>
    <w:p w14:paraId="6909E973" w14:textId="77777777" w:rsidR="00B3650A" w:rsidRPr="00B8712F" w:rsidRDefault="00B3650A" w:rsidP="00B3650A">
      <w:pPr>
        <w:rPr>
          <w:lang w:val="es-NI"/>
        </w:rPr>
      </w:pPr>
      <w:r w:rsidRPr="00B8712F">
        <w:rPr>
          <w:lang w:val="es-NI"/>
        </w:rPr>
        <w:t>En las últimas décadas, el misoprostol se ha incorporado como alternativa terapéutica médica para el manejo del aborto incompleto espontáneo. Este fármaco es de bajo costo, fácil administración y no requiere condiciones quirúrgicas complejas. Diversos estudios han mostrado tasas de evacuación uterina completa cercanas al 90 %, con un perfil de seguridad favorable y efectos adversos generalmente leves, lo que respalda su uso en distintos contextos clínicos (Montesinos et al., 2011).</w:t>
      </w:r>
    </w:p>
    <w:p w14:paraId="0DB7E8AB" w14:textId="5B98E1AC" w:rsidR="00B3650A" w:rsidRPr="00B8712F" w:rsidRDefault="00B3650A" w:rsidP="00B3650A">
      <w:pPr>
        <w:rPr>
          <w:lang w:val="es-NI"/>
        </w:rPr>
      </w:pPr>
      <w:r w:rsidRPr="00B8712F">
        <w:rPr>
          <w:lang w:val="es-NI"/>
        </w:rPr>
        <w:t xml:space="preserve">La comparación entre manejo médico, quirúrgico y expectante resulta clínicamente relevante porque estas estrategias representan las principales opciones terapéuticas disponibles y difieren en rapidez de resolución, necesidad de recursos hospitalarios y riesgo de complicaciones. La evidencia muestra resultados variables en la proporción de evacuación completa, el tiempo de resolución y la frecuencia de </w:t>
      </w:r>
      <w:r w:rsidRPr="00B8712F">
        <w:rPr>
          <w:lang w:val="es-NI"/>
        </w:rPr>
        <w:lastRenderedPageBreak/>
        <w:t>intervenciones adicionales entre estas alternativas (Fernlund et al., 2017; Van Poucke et al., 2025).</w:t>
      </w:r>
    </w:p>
    <w:p w14:paraId="172E2396" w14:textId="57F40FAB" w:rsidR="00E13F79" w:rsidRPr="00B8712F" w:rsidRDefault="00B3650A" w:rsidP="00E13F79">
      <w:pPr>
        <w:rPr>
          <w:lang w:val="es-NI"/>
        </w:rPr>
      </w:pPr>
      <w:r w:rsidRPr="00B8712F">
        <w:rPr>
          <w:lang w:val="es-NI"/>
        </w:rPr>
        <w:t>Las revisiones sistemáticas disponibles señalan además limitaciones en la cantidad y calidad de los estudios comparativos directos entre las tres estrategias, así como heterogeneidad en los desenlaces evaluados, lo que dificulta establecer conclusiones definitivas sobre su eficacia relativa (Kim et al., 2017). Esta incertidumbre es especialmente relevante en América Latina</w:t>
      </w:r>
      <w:r w:rsidR="00393023" w:rsidRPr="00B8712F">
        <w:rPr>
          <w:lang w:val="es-NI"/>
        </w:rPr>
        <w:t xml:space="preserve"> (AL)</w:t>
      </w:r>
      <w:r w:rsidRPr="00B8712F">
        <w:rPr>
          <w:lang w:val="es-NI"/>
        </w:rPr>
        <w:t>, donde la disponibilidad de recursos quirúrgicos es desigual y se requieren alternativas seguras y efectivas para el manejo del aborto incompleto espontáneo.</w:t>
      </w:r>
    </w:p>
    <w:p w14:paraId="6017F7D9" w14:textId="77777777" w:rsidR="00E13F79" w:rsidRPr="00B8712F" w:rsidRDefault="00E13F79" w:rsidP="00E13F79">
      <w:pPr>
        <w:rPr>
          <w:lang w:val="es-NI"/>
        </w:rPr>
      </w:pPr>
    </w:p>
    <w:p w14:paraId="128C2F2E" w14:textId="77777777" w:rsidR="00E13F79" w:rsidRPr="00B8712F" w:rsidRDefault="00E13F79" w:rsidP="00E13F79">
      <w:pPr>
        <w:rPr>
          <w:lang w:val="es-NI"/>
        </w:rPr>
      </w:pPr>
    </w:p>
    <w:p w14:paraId="26FAA80B" w14:textId="77777777" w:rsidR="00E13F79" w:rsidRPr="00B8712F" w:rsidRDefault="00E13F79" w:rsidP="00E13F79">
      <w:pPr>
        <w:rPr>
          <w:lang w:val="es-NI"/>
        </w:rPr>
      </w:pPr>
    </w:p>
    <w:p w14:paraId="790D678A" w14:textId="77777777" w:rsidR="00E13F79" w:rsidRPr="00B8712F" w:rsidRDefault="00E13F79" w:rsidP="00E13F79">
      <w:pPr>
        <w:rPr>
          <w:lang w:val="es-NI"/>
        </w:rPr>
      </w:pPr>
    </w:p>
    <w:p w14:paraId="124A0628" w14:textId="77777777" w:rsidR="00E13F79" w:rsidRPr="00B8712F" w:rsidRDefault="00E13F79" w:rsidP="00E13F79">
      <w:pPr>
        <w:rPr>
          <w:lang w:val="es-NI"/>
        </w:rPr>
      </w:pPr>
    </w:p>
    <w:p w14:paraId="3CDAEB19" w14:textId="77777777" w:rsidR="00E13F79" w:rsidRPr="00B8712F" w:rsidRDefault="00E13F79" w:rsidP="00E13F79">
      <w:pPr>
        <w:rPr>
          <w:lang w:val="es-NI"/>
        </w:rPr>
      </w:pPr>
    </w:p>
    <w:p w14:paraId="3579EB42" w14:textId="77777777" w:rsidR="00E13F79" w:rsidRPr="00B8712F" w:rsidRDefault="00E13F79" w:rsidP="00E13F79">
      <w:pPr>
        <w:rPr>
          <w:lang w:val="es-NI"/>
        </w:rPr>
      </w:pPr>
    </w:p>
    <w:p w14:paraId="21432044" w14:textId="53656BB7" w:rsidR="00E13F79" w:rsidRPr="00B8712F" w:rsidRDefault="00E13F79" w:rsidP="00E13F79">
      <w:pPr>
        <w:rPr>
          <w:lang w:val="es-NI"/>
        </w:rPr>
      </w:pPr>
    </w:p>
    <w:p w14:paraId="74E2265E" w14:textId="22E6CAA7" w:rsidR="00B3650A" w:rsidRPr="00B8712F" w:rsidRDefault="00B3650A" w:rsidP="00E13F79">
      <w:pPr>
        <w:rPr>
          <w:lang w:val="es-NI"/>
        </w:rPr>
      </w:pPr>
    </w:p>
    <w:p w14:paraId="0AF92EBB" w14:textId="1482690B" w:rsidR="00B3650A" w:rsidRPr="00B8712F" w:rsidRDefault="00B3650A" w:rsidP="00E13F79">
      <w:pPr>
        <w:rPr>
          <w:lang w:val="es-NI"/>
        </w:rPr>
      </w:pPr>
    </w:p>
    <w:p w14:paraId="6A048BCF" w14:textId="4B74629C" w:rsidR="00B3650A" w:rsidRPr="00B8712F" w:rsidRDefault="00B3650A" w:rsidP="00E13F79">
      <w:pPr>
        <w:rPr>
          <w:lang w:val="es-NI"/>
        </w:rPr>
      </w:pPr>
    </w:p>
    <w:p w14:paraId="4AF7CF6A" w14:textId="1FDD000F" w:rsidR="00B3650A" w:rsidRPr="00B8712F" w:rsidRDefault="00B3650A" w:rsidP="00E13F79">
      <w:pPr>
        <w:rPr>
          <w:lang w:val="es-NI"/>
        </w:rPr>
      </w:pPr>
    </w:p>
    <w:p w14:paraId="7C57FE29" w14:textId="56BE6C5F" w:rsidR="00B3650A" w:rsidRPr="00B8712F" w:rsidRDefault="00B3650A" w:rsidP="00E13F79">
      <w:pPr>
        <w:rPr>
          <w:lang w:val="es-NI"/>
        </w:rPr>
      </w:pPr>
    </w:p>
    <w:p w14:paraId="62504D8E" w14:textId="3DBC20A5" w:rsidR="00B3650A" w:rsidRPr="00B8712F" w:rsidRDefault="00B3650A" w:rsidP="00E13F79">
      <w:pPr>
        <w:rPr>
          <w:lang w:val="es-NI"/>
        </w:rPr>
      </w:pPr>
    </w:p>
    <w:p w14:paraId="753D2E88" w14:textId="13166904" w:rsidR="00B3650A" w:rsidRPr="00B8712F" w:rsidRDefault="00B3650A" w:rsidP="00E13F79">
      <w:pPr>
        <w:rPr>
          <w:lang w:val="es-NI"/>
        </w:rPr>
      </w:pPr>
    </w:p>
    <w:p w14:paraId="5DC78509" w14:textId="7D4D4636" w:rsidR="00D47292" w:rsidRDefault="00D47292" w:rsidP="00E13F79">
      <w:pPr>
        <w:rPr>
          <w:lang w:val="es-NI"/>
        </w:rPr>
      </w:pPr>
    </w:p>
    <w:p w14:paraId="188B744A" w14:textId="780415C8" w:rsidR="0032432F" w:rsidRDefault="0032432F" w:rsidP="0032432F">
      <w:pPr>
        <w:pStyle w:val="Ttulo1"/>
        <w:rPr>
          <w:lang w:val="es-NI"/>
        </w:rPr>
      </w:pPr>
      <w:bookmarkStart w:id="7" w:name="_Toc232986977"/>
      <w:r>
        <w:rPr>
          <w:lang w:val="es-NI"/>
        </w:rPr>
        <w:lastRenderedPageBreak/>
        <w:t>Antecedentes</w:t>
      </w:r>
      <w:bookmarkEnd w:id="7"/>
    </w:p>
    <w:p w14:paraId="1FD6FD71" w14:textId="656FCAA2" w:rsidR="00D92BA5" w:rsidRDefault="00D92BA5" w:rsidP="00D92BA5">
      <w:pPr>
        <w:pStyle w:val="Ttulo2"/>
        <w:rPr>
          <w:lang w:val="es-NI"/>
        </w:rPr>
      </w:pPr>
      <w:bookmarkStart w:id="8" w:name="_Toc232986978"/>
      <w:r>
        <w:rPr>
          <w:lang w:val="es-NI"/>
        </w:rPr>
        <w:t>Estudios internacionales</w:t>
      </w:r>
      <w:bookmarkEnd w:id="8"/>
    </w:p>
    <w:p w14:paraId="6132F826" w14:textId="2BA6249A" w:rsidR="00D92BA5" w:rsidRPr="00D92BA5" w:rsidRDefault="00D92BA5" w:rsidP="00D92BA5">
      <w:pPr>
        <w:rPr>
          <w:lang w:val="es-NI"/>
        </w:rPr>
      </w:pPr>
      <w:r w:rsidRPr="00D92BA5">
        <w:rPr>
          <w:lang w:val="es-NI"/>
        </w:rPr>
        <w:t>Verma et al. (2016), en India, realizaron un estudio comparativo prospectivo en 200 mujeres con aborto incompleto o aborto diferido entre las 5 y 12 semanas de gestación. Compararon una dosis única de 600 µg de misoprostol vaginal con evacuación quirúrgica. La tasa de éxito fue de 97% con misoprostol y 95% con manejo quirúrgico; tres pacientes del grupo médico requirieron evacuación posterior. El sangrado moderado ocurrió en 27% de las mujeres tratadas con misoprostol, mientras que 98% de las pacientes sometidas a evacuación quirúrgica reportó dolor. La satisfacción fue de 100% con misoprostol y 76% con manejo quirúrgico. Los autores concluyeron que el misoprostol fue una alternativa eficaz y altamente aceptable frente al tratamiento quirúrgico.</w:t>
      </w:r>
    </w:p>
    <w:p w14:paraId="2C8C7803" w14:textId="77777777" w:rsidR="00D92BA5" w:rsidRPr="00D92BA5" w:rsidRDefault="00D92BA5" w:rsidP="00D92BA5">
      <w:pPr>
        <w:rPr>
          <w:lang w:val="es-NI"/>
        </w:rPr>
      </w:pPr>
      <w:r w:rsidRPr="00D92BA5">
        <w:rPr>
          <w:lang w:val="es-NI"/>
        </w:rPr>
        <w:t>Lemmers et al. (2016), en los Países Bajos, desarrollaron un ensayo clínico multicéntrico en 59 mujeres con evacuación uterina incompleta identificada por ecografía una a dos semanas después del tratamiento inicial con misoprostol por aborto espontáneo del primer trimestre. Se comparó curetaje inmediato en 30 mujeres con manejo expectante en 29. Las complicaciones ocurrieron en 10% de ambos grupos; sin embargo, siete mujeres del grupo expectante requirieron una intervención posterior durante los tres meses siguientes. Los autores concluyeron que el curetaje fue más eficaz para completar la evacuación, aunque el manejo expectante evitó cirugía en la mayoría de las pacientes y presentó un perfil de seguridad similar.</w:t>
      </w:r>
    </w:p>
    <w:p w14:paraId="1A780674" w14:textId="77777777" w:rsidR="00D92BA5" w:rsidRPr="00D92BA5" w:rsidRDefault="00D92BA5" w:rsidP="00D92BA5">
      <w:pPr>
        <w:rPr>
          <w:lang w:val="es-NI"/>
        </w:rPr>
      </w:pPr>
      <w:r w:rsidRPr="00D92BA5">
        <w:rPr>
          <w:lang w:val="es-NI"/>
        </w:rPr>
        <w:t xml:space="preserve">Kim et al. (2017) realizaron una revisión sistemática Cochrane sobre tratamientos médicos para aborto incompleto, que incluyó 24 ensayos clínicos aleatorizados y 5 577 mujeres. En la comparación entre misoprostol y evacuación quirúrgica, el aborto completo fue ligeramente menos frecuente con misoprostol, aunque las tasas de éxito fueron altas en ambos grupos: 94% a 98% con misoprostol sublingual y 99% a 100% con cirugía. El análisis global mostró un riesgo relativo de aborto completo de 0,96 (IC95%: 0,94–0,98) a favor del manejo quirúrgico. El misoprostol se asoció </w:t>
      </w:r>
      <w:r w:rsidRPr="00D92BA5">
        <w:rPr>
          <w:lang w:val="es-NI"/>
        </w:rPr>
        <w:lastRenderedPageBreak/>
        <w:t>con mayor frecuencia de náuseas, vómitos y efectos gastrointestinales; no obstante, constituye una alternativa médica viable para el manejo del aborto incompleto.</w:t>
      </w:r>
    </w:p>
    <w:p w14:paraId="4B760F16" w14:textId="6E57FC6D" w:rsidR="00D92BA5" w:rsidRDefault="00D92BA5" w:rsidP="00D92BA5">
      <w:pPr>
        <w:rPr>
          <w:lang w:val="es-NI"/>
        </w:rPr>
      </w:pPr>
      <w:r w:rsidRPr="00D92BA5">
        <w:rPr>
          <w:lang w:val="es-NI"/>
        </w:rPr>
        <w:t>Fernlund et al. (2018), en Suecia, realizaron un ensayo clínico aleatorizado pragmático en 184 mujeres con embarazo temprano no viable y sangrado vaginal. Compararon una dosis de 800 µg de misoprostol vaginal en 94 mujeres con manejo expectante en 90 mujeres. A los 10 días, el aborto completo sin evacuación quirúrgica ocurrió en 66% del grupo tratado con misoprostol y en 43% del grupo expectante, con una diferencia de riesgo de 23% (IC95%: 8–37). A los 31 días, las proporciones fueron 86% y 61%, respectivamente, con una diferencia de riesgo de 25% (IC95%: 12–38). El manejo con misoprostol redujo además la solicitud de evacuación quirúrgica por decisión de la paciente: 3% frente a 17%. Los autores concluyeron que el misoprostol aceleró la evacuación uterina y disminuyó la necesidad de intervenciones posteriores.</w:t>
      </w:r>
    </w:p>
    <w:p w14:paraId="68C3A78C" w14:textId="77777777" w:rsidR="00D92BA5" w:rsidRPr="00D92BA5" w:rsidRDefault="00D92BA5" w:rsidP="00D92BA5">
      <w:pPr>
        <w:rPr>
          <w:lang w:val="es-NI"/>
        </w:rPr>
      </w:pPr>
      <w:r w:rsidRPr="00D92BA5">
        <w:rPr>
          <w:lang w:val="es-NI"/>
        </w:rPr>
        <w:t>Ghosh et al. (2021) realizaron una revisión sistemática Cochrane con metaanálisis en red de 78 ensayos clínicos aleatorizados sobre manejo del aborto espontáneo temprano. De estos, 59 estudios con 12 591 mujeres aportaron datos al análisis del desenlace aborto completo. El misoprostol, la combinación de mifepristona y misoprostol, la aspiración uterina y la dilatación y curetaje mostraron mayor efectividad que el manejo expectante o placebo para lograr aborto completo. Los métodos quirúrgicos ocuparon las posiciones más altas de efectividad, seguidos de los métodos médicos y, finalmente, del manejo expectante. En el subgrupo de aborto incompleto, misoprostol, aspiración uterina y dilatación y curetaje fueron más eficaces que el manejo expectante o placebo. Los autores señalaron que la efectividad relativa varió según el tipo de aborto y que existía heterogeneidad entre los estudios.</w:t>
      </w:r>
    </w:p>
    <w:p w14:paraId="4EB7E3CD" w14:textId="4B4590EA" w:rsidR="00D92BA5" w:rsidRPr="00D92BA5" w:rsidRDefault="001A30C6" w:rsidP="00D92BA5">
      <w:pPr>
        <w:rPr>
          <w:lang w:val="es-NI"/>
        </w:rPr>
      </w:pPr>
      <w:r w:rsidRPr="001A30C6">
        <w:rPr>
          <w:lang w:val="es-NI"/>
        </w:rPr>
        <w:t xml:space="preserve">Menezes da Silva </w:t>
      </w:r>
      <w:r w:rsidR="00D92BA5" w:rsidRPr="00D92BA5">
        <w:rPr>
          <w:lang w:val="es-NI"/>
        </w:rPr>
        <w:t xml:space="preserve">et al. (2023), en Brasil, realizaron una revisión sistemática y metaanálisis de ensayos clínicos aleatorizados sobre la eficacia, seguridad y aceptabilidad del misoprostol para aborto incompleto. Se identificaron 8 087 registros y se incluyeron ocho ensayos con 1 950 participantes para el metaanálisis, comparando misoprostol con aspiración manual endouterina. La evacuación uterina </w:t>
      </w:r>
      <w:r w:rsidR="00D92BA5" w:rsidRPr="00D92BA5">
        <w:rPr>
          <w:lang w:val="es-NI"/>
        </w:rPr>
        <w:lastRenderedPageBreak/>
        <w:t>completa fue más frecuente con aspiración manual endouterina, con OR de 0,16 (IC95%: 0,07–0,36) para misoprostol frente a aspiración. El sangrado abundante fue más frecuente con misoprostol (OR 3,00; IC95%: 1,96–4,59), mientras que el dolor posterior al tratamiento fue más frecuente con aspiración manual endouterina (OR 0,65; IC95%: 0,52–0,80). No se identificaron diferencias estadísticamente significativas en la aceptabilidad global entre ambas estrategias. Los autores concluyeron que el misoprostol es una opción segura y con buena aceptación, aunque la aspiración mostró mayor probabilidad de evacuación completa.</w:t>
      </w:r>
    </w:p>
    <w:p w14:paraId="62F80C8C" w14:textId="77777777" w:rsidR="00D92BA5" w:rsidRDefault="00D92BA5" w:rsidP="00D92BA5">
      <w:pPr>
        <w:rPr>
          <w:lang w:val="es-NI"/>
        </w:rPr>
      </w:pPr>
      <w:r w:rsidRPr="00D92BA5">
        <w:rPr>
          <w:lang w:val="es-NI"/>
        </w:rPr>
        <w:t>Van Poucke et al. (2025) realizaron una revisión sistemática sobre tratamiento médico con misoprostol frente a manejo expectante en mujeres con restos retenidos después del tratamiento inicial de pérdida gestacional temprana o aborto inducido. De 1 831 registros identificados, solo dos estudios cumplieron los criterios de inclusión: un ensayo clínico aleatorizado y una cohorte retrospectiva. En el ensayo clínico, el éxito sin cirugía fue de 61,8% con misoprostol y 57,1% con manejo expectante, sin diferencia significativa (RR 1,12; IC95%: 0,74–1,70; p=0,590). En la cohorte retrospectiva, la resolución ocurrió en 64,6% con misoprostol y en 91,8% con manejo expectante a las tres semanas. Los autores concluyeron que la evidencia disponible sobre restos retenidos después de un tratamiento inicial es escasa y no permite establecer diferencias definitivas entre manejo médico y expectante.</w:t>
      </w:r>
    </w:p>
    <w:p w14:paraId="61818179" w14:textId="1BCF0A49" w:rsidR="00D92BA5" w:rsidRPr="00D92BA5" w:rsidRDefault="00D92BA5" w:rsidP="00D92BA5">
      <w:pPr>
        <w:pStyle w:val="Ttulo2"/>
        <w:rPr>
          <w:lang w:val="es-NI"/>
        </w:rPr>
      </w:pPr>
      <w:bookmarkStart w:id="9" w:name="_Toc232986979"/>
      <w:r>
        <w:rPr>
          <w:lang w:val="es-NI"/>
        </w:rPr>
        <w:t>Estudios en Nicaragua</w:t>
      </w:r>
      <w:bookmarkEnd w:id="9"/>
    </w:p>
    <w:p w14:paraId="27FCE33B" w14:textId="77777777" w:rsidR="00D92BA5" w:rsidRPr="00D92BA5" w:rsidRDefault="00D92BA5" w:rsidP="00D92BA5">
      <w:pPr>
        <w:rPr>
          <w:lang w:val="es-NI"/>
        </w:rPr>
      </w:pPr>
      <w:r w:rsidRPr="00D92BA5">
        <w:rPr>
          <w:lang w:val="es-NI"/>
        </w:rPr>
        <w:t xml:space="preserve">Morice Chamorro y Zúñiga González (2013), en Nicaragua, realizaron un ensayo clínico aleatorizado, no ciego, con diseño de equivalencia en 62 mujeres con huevo muerto retenido o embarazo anembrionado de hasta 12 semanas, atendidas en el Hospital Escuela Bertha Calderón Roque. Compararon misoprostol vaginal en 32 pacientes con legrado por aspiración uterina en 30 pacientes. La evacuación uterina satisfactoria, la estabilidad hemodinámica, la frecuencia de reacciones adversas y las complicaciones fueron similares entre ambos grupos. El dolor fue menor y la satisfacción mayor en las mujeres tratadas con misoprostol. Los autores </w:t>
      </w:r>
      <w:r w:rsidRPr="00D92BA5">
        <w:rPr>
          <w:lang w:val="es-NI"/>
        </w:rPr>
        <w:lastRenderedPageBreak/>
        <w:t>concluyeron que el misoprostol fue tan eficaz y seguro como la aspiración uterina, con ventajas en aceptabilidad.</w:t>
      </w:r>
    </w:p>
    <w:p w14:paraId="7060E8A2" w14:textId="77777777" w:rsidR="00D92BA5" w:rsidRPr="00D92BA5" w:rsidRDefault="00D92BA5" w:rsidP="00D92BA5">
      <w:pPr>
        <w:rPr>
          <w:lang w:val="es-NI"/>
        </w:rPr>
      </w:pPr>
      <w:r w:rsidRPr="00D92BA5">
        <w:rPr>
          <w:lang w:val="es-NI"/>
        </w:rPr>
        <w:t>Obando Hebbert (2020), en Nicaragua, realizó un ensayo clínico aleatorizado con diseño de equivalencia en 88 mujeres con huevo muerto retenido de menos de 10 semanas, atendidas en el Nuevo Hospital Monte España. Se comparó misoprostol sublingual de 600 µg en 44 mujeres con aspiración manual endouterina en 44 mujeres. La pauta más efectiva con misoprostol fue de 600 µg cada tres horas por dos dosis, con expulsión entre seis y ocho horas. En ambos grupos, la mayoría de las pacientes no presentó reacciones adversas ni complicaciones secundarias. La autora concluyó que la efectividad y seguridad del misoprostol sublingual fueron comparables a las de la aspiración manual endouterina.</w:t>
      </w:r>
    </w:p>
    <w:p w14:paraId="5DA4B34D" w14:textId="77777777" w:rsidR="00D92BA5" w:rsidRPr="00D92BA5" w:rsidRDefault="00D92BA5" w:rsidP="00D92BA5">
      <w:pPr>
        <w:rPr>
          <w:lang w:val="es-NI"/>
        </w:rPr>
      </w:pPr>
      <w:r w:rsidRPr="00D92BA5">
        <w:rPr>
          <w:lang w:val="es-NI"/>
        </w:rPr>
        <w:t>Alvarado García y Morales Soza (2020), en Nicaragua, realizaron un estudio descriptivo transversal en 60 mujeres con aborto inevitable atendidas en el Hospital Bertha Calderón Roque. La dosis de misoprostol más empleada fue 800 µg en 66,7% de las pacientes, administrada por vía vaginal en 90%; 93,3% recibió las dosis con intervalos de cuatro horas. El intervalo de efectividad más frecuente fue de 12 a 24 horas, reportado en 43,4% de los casos. La evolución clínica fue satisfactoria en 100% de las pacientes, sin complicaciones atribuidas al misoprostol, y todas permanecieron hospitalizadas entre uno y tres días. Aunque no incorporó grupo comparador, el estudio aportó evidencia local sobre la respuesta clínica al manejo médico del aborto inevitable.</w:t>
      </w:r>
    </w:p>
    <w:p w14:paraId="127F6AE4" w14:textId="77777777" w:rsidR="00D92BA5" w:rsidRPr="00D92BA5" w:rsidRDefault="00D92BA5" w:rsidP="00D92BA5">
      <w:pPr>
        <w:rPr>
          <w:lang w:val="es-NI"/>
        </w:rPr>
      </w:pPr>
    </w:p>
    <w:p w14:paraId="1B31710C" w14:textId="04C29EE0" w:rsidR="0032432F" w:rsidRDefault="0032432F" w:rsidP="0032432F">
      <w:pPr>
        <w:rPr>
          <w:lang w:val="es-NI"/>
        </w:rPr>
      </w:pPr>
    </w:p>
    <w:p w14:paraId="3955A216" w14:textId="6A213A22" w:rsidR="0032432F" w:rsidRDefault="0032432F" w:rsidP="0032432F">
      <w:pPr>
        <w:rPr>
          <w:lang w:val="es-NI"/>
        </w:rPr>
      </w:pPr>
    </w:p>
    <w:p w14:paraId="17C01294" w14:textId="09D2BF7E" w:rsidR="0032432F" w:rsidRDefault="0032432F" w:rsidP="0032432F">
      <w:pPr>
        <w:rPr>
          <w:lang w:val="es-NI"/>
        </w:rPr>
      </w:pPr>
    </w:p>
    <w:p w14:paraId="7508F88C" w14:textId="4B43157A" w:rsidR="0032432F" w:rsidRDefault="0032432F" w:rsidP="0032432F">
      <w:pPr>
        <w:rPr>
          <w:lang w:val="es-NI"/>
        </w:rPr>
      </w:pPr>
    </w:p>
    <w:p w14:paraId="679BCC13" w14:textId="5BF45B87" w:rsidR="0032432F" w:rsidRDefault="0032432F" w:rsidP="0032432F">
      <w:pPr>
        <w:rPr>
          <w:lang w:val="es-NI"/>
        </w:rPr>
      </w:pPr>
    </w:p>
    <w:p w14:paraId="48683F15" w14:textId="74BA389E" w:rsidR="0032432F" w:rsidRDefault="0032432F" w:rsidP="0032432F">
      <w:pPr>
        <w:rPr>
          <w:lang w:val="es-NI"/>
        </w:rPr>
      </w:pPr>
    </w:p>
    <w:p w14:paraId="656280F1" w14:textId="7DF22250" w:rsidR="00E13F79" w:rsidRPr="00B8712F" w:rsidRDefault="00B8712F" w:rsidP="00B8712F">
      <w:pPr>
        <w:pStyle w:val="Ttulo1"/>
        <w:rPr>
          <w:lang w:val="es-NI"/>
        </w:rPr>
      </w:pPr>
      <w:bookmarkStart w:id="10" w:name="_Toc232986980"/>
      <w:r w:rsidRPr="00B8712F">
        <w:rPr>
          <w:lang w:val="es-NI"/>
        </w:rPr>
        <w:lastRenderedPageBreak/>
        <w:t>Justificación</w:t>
      </w:r>
      <w:bookmarkEnd w:id="10"/>
    </w:p>
    <w:p w14:paraId="550909BB" w14:textId="77777777" w:rsidR="00B3650A" w:rsidRPr="00B8712F" w:rsidRDefault="00B3650A" w:rsidP="00B3650A">
      <w:pPr>
        <w:rPr>
          <w:lang w:val="es-NI"/>
        </w:rPr>
      </w:pPr>
      <w:r w:rsidRPr="00B8712F">
        <w:rPr>
          <w:lang w:val="es-NI"/>
        </w:rPr>
        <w:t>El aborto incompleto espontáneo es una condición frecuente que puede producir sangrado persistente, infección y necesidad de procedimientos quirúrgicos si no se resuelve oportunamente (Kim et al., 2017). En contextos con recursos limitados, la elección del tratamiento inicial influye en la evolución clínica de las pacientes, en la utilización de servicios hospitalarios y en los costos del sistema de salud, por lo que identificar la estrategia más eficaz y segura constituye una necesidad relevante para la atención materna.</w:t>
      </w:r>
    </w:p>
    <w:p w14:paraId="31F724CD" w14:textId="4A478828" w:rsidR="00B3650A" w:rsidRPr="00B8712F" w:rsidRDefault="00B3650A" w:rsidP="00B3650A">
      <w:pPr>
        <w:rPr>
          <w:lang w:val="es-NI"/>
        </w:rPr>
      </w:pPr>
      <w:r w:rsidRPr="00B8712F">
        <w:rPr>
          <w:lang w:val="es-NI"/>
        </w:rPr>
        <w:t xml:space="preserve">El misoprostol representa una alternativa terapéutica accesible, de bajo costo y fácil administración, con tasas de resolución cercanas a las obtenidas mediante tratamiento quirúrgico y un perfil de seguridad favorable en términos de complicaciones y efectos adversos (Montesinos et al., 2011). </w:t>
      </w:r>
    </w:p>
    <w:p w14:paraId="28A71C04" w14:textId="0F924BDC" w:rsidR="00E13F79" w:rsidRPr="00B8712F" w:rsidRDefault="00B3650A" w:rsidP="00B3650A">
      <w:pPr>
        <w:rPr>
          <w:lang w:val="es-NI"/>
        </w:rPr>
      </w:pPr>
      <w:r w:rsidRPr="00B8712F">
        <w:rPr>
          <w:lang w:val="es-NI"/>
        </w:rPr>
        <w:t>La evidencia disponible</w:t>
      </w:r>
      <w:r w:rsidR="00D47292" w:rsidRPr="00B8712F">
        <w:rPr>
          <w:lang w:val="es-NI"/>
        </w:rPr>
        <w:t xml:space="preserve"> en la región de Latino América</w:t>
      </w:r>
      <w:r w:rsidRPr="00B8712F">
        <w:rPr>
          <w:lang w:val="es-NI"/>
        </w:rPr>
        <w:t xml:space="preserve"> muestra limitaciones metodológicas, como número reducido de estudios comparativos y heterogeneidad en los diseños de investigación, lo que dificulta establecer conclusiones sólidas aplicables a contextos específicos (Kim et al., 2017). En América Latina, donde los recursos sanitarios son desiguales, una síntesis comparativa integral puede contribuir a mejorar la toma de decisiones clínicas y optimizar el uso de intervenciones disponibles</w:t>
      </w:r>
      <w:r w:rsidR="00E13F79" w:rsidRPr="00B8712F">
        <w:rPr>
          <w:lang w:val="es-NI"/>
        </w:rPr>
        <w:t>.</w:t>
      </w:r>
    </w:p>
    <w:p w14:paraId="2DEA8691" w14:textId="77777777" w:rsidR="00E13F79" w:rsidRPr="00B8712F" w:rsidRDefault="00E13F79" w:rsidP="00E13F79">
      <w:pPr>
        <w:rPr>
          <w:lang w:val="es-NI"/>
        </w:rPr>
      </w:pPr>
    </w:p>
    <w:p w14:paraId="19393C99" w14:textId="77777777" w:rsidR="00E13F79" w:rsidRPr="00B8712F" w:rsidRDefault="00E13F79" w:rsidP="00E13F79">
      <w:pPr>
        <w:rPr>
          <w:lang w:val="es-NI"/>
        </w:rPr>
      </w:pPr>
    </w:p>
    <w:p w14:paraId="43D67DD8" w14:textId="77777777" w:rsidR="00E13F79" w:rsidRPr="00B8712F" w:rsidRDefault="00E13F79" w:rsidP="00E13F79">
      <w:pPr>
        <w:rPr>
          <w:lang w:val="es-NI"/>
        </w:rPr>
      </w:pPr>
    </w:p>
    <w:p w14:paraId="16A68D28" w14:textId="77777777" w:rsidR="00E13F79" w:rsidRPr="00B8712F" w:rsidRDefault="00E13F79" w:rsidP="00E13F79">
      <w:pPr>
        <w:rPr>
          <w:lang w:val="es-NI"/>
        </w:rPr>
      </w:pPr>
    </w:p>
    <w:p w14:paraId="0E81E82A" w14:textId="3EA0982D" w:rsidR="00E13F79" w:rsidRPr="00B8712F" w:rsidRDefault="00E13F79" w:rsidP="00E13F79">
      <w:pPr>
        <w:rPr>
          <w:lang w:val="es-NI"/>
        </w:rPr>
      </w:pPr>
    </w:p>
    <w:p w14:paraId="31FAD249" w14:textId="7E620F7C" w:rsidR="00D47292" w:rsidRPr="00B8712F" w:rsidRDefault="00D47292" w:rsidP="00E13F79">
      <w:pPr>
        <w:rPr>
          <w:lang w:val="es-NI"/>
        </w:rPr>
      </w:pPr>
    </w:p>
    <w:p w14:paraId="12F90781" w14:textId="77777777" w:rsidR="00D47292" w:rsidRPr="00B8712F" w:rsidRDefault="00D47292" w:rsidP="00E13F79">
      <w:pPr>
        <w:rPr>
          <w:lang w:val="es-NI"/>
        </w:rPr>
      </w:pPr>
    </w:p>
    <w:p w14:paraId="28B44251" w14:textId="77777777" w:rsidR="00E13F79" w:rsidRPr="00B8712F" w:rsidRDefault="00E13F79" w:rsidP="00E13F79">
      <w:pPr>
        <w:rPr>
          <w:lang w:val="es-NI"/>
        </w:rPr>
      </w:pPr>
    </w:p>
    <w:p w14:paraId="7C86E805" w14:textId="0E5CFEB0" w:rsidR="00E13F79" w:rsidRPr="00B8712F" w:rsidRDefault="00B8712F" w:rsidP="00B8712F">
      <w:pPr>
        <w:pStyle w:val="Ttulo1"/>
        <w:rPr>
          <w:lang w:val="es-NI"/>
        </w:rPr>
      </w:pPr>
      <w:bookmarkStart w:id="11" w:name="_Toc232986981"/>
      <w:r w:rsidRPr="00B8712F">
        <w:rPr>
          <w:lang w:val="es-NI"/>
        </w:rPr>
        <w:lastRenderedPageBreak/>
        <w:t>Planteamiento del problema</w:t>
      </w:r>
      <w:bookmarkEnd w:id="11"/>
    </w:p>
    <w:p w14:paraId="056226E2" w14:textId="60A049C1" w:rsidR="00E13F79" w:rsidRPr="00B8712F" w:rsidRDefault="00961C48" w:rsidP="00B3650A">
      <w:pPr>
        <w:rPr>
          <w:lang w:val="es-NI"/>
        </w:rPr>
      </w:pPr>
      <w:r w:rsidRPr="00961C48">
        <w:rPr>
          <w:lang w:val="es-NI"/>
        </w:rPr>
        <w:t>El misoprostol constituye una alternativa médica para el manejo del aborto espontáneo del primer trimestre, junto con la evacuación uterina quirúrgica y el manejo expectante. No obstante, los estudios realizados en América Latina presentan diferencias en los esquemas terapéuticos utilizados, los períodos de seguimiento y los criterios empleados para valorar el éxito del manejo. Asimismo, no todos incluyen comparaciones directas con otras estrategias terapéuticas ni reportan de manera uniforme desenlaces clínicos relevantes, como la evacuación uterina completa, la necesidad de intervenciones adicionales y los eventos adversos. Por ello, resulta pertinente sintetizar la evidencia disponible sobre los resultados clínicos del misoprostol en mujeres de América Latina y describir, cuando la información lo permita, sus resultados frente a otras estrategias de manejo</w:t>
      </w:r>
      <w:r w:rsidR="00B3650A" w:rsidRPr="00B8712F">
        <w:rPr>
          <w:lang w:val="es-NI"/>
        </w:rPr>
        <w:t>.</w:t>
      </w:r>
    </w:p>
    <w:p w14:paraId="217A64F9" w14:textId="35822ADE" w:rsidR="00E13F79" w:rsidRPr="00B8712F" w:rsidRDefault="009862D1" w:rsidP="00393023">
      <w:pPr>
        <w:spacing w:after="0"/>
        <w:rPr>
          <w:lang w:val="es-NI"/>
        </w:rPr>
      </w:pPr>
      <w:r w:rsidRPr="00B8712F">
        <w:rPr>
          <w:lang w:val="es-NI"/>
        </w:rPr>
        <w:t>Ante lo anteriormente expuesto se formula la siguiente pregunta de investigación:</w:t>
      </w:r>
    </w:p>
    <w:p w14:paraId="4D0E39E5" w14:textId="29930D24" w:rsidR="00D47292" w:rsidRPr="00B8712F" w:rsidRDefault="00D47292" w:rsidP="00D47292">
      <w:pPr>
        <w:rPr>
          <w:lang w:val="es-NI"/>
        </w:rPr>
      </w:pPr>
      <w:r w:rsidRPr="00B8712F">
        <w:rPr>
          <w:lang w:val="es-NI"/>
        </w:rPr>
        <w:t>¿En mujeres de América Latina con aborto espontáneo del primer trimestre, cuáles son los resultados clínicos del misoprostol,</w:t>
      </w:r>
      <w:r w:rsidR="00961C48">
        <w:rPr>
          <w:lang w:val="es-NI"/>
        </w:rPr>
        <w:t xml:space="preserve"> de forma global y</w:t>
      </w:r>
      <w:r w:rsidRPr="00B8712F">
        <w:rPr>
          <w:lang w:val="es-NI"/>
        </w:rPr>
        <w:t xml:space="preserve"> en comparación con otras estrategias de manejo, en términos de resolución completa y necesidad de intervenciones adicionales?</w:t>
      </w:r>
    </w:p>
    <w:p w14:paraId="02092DA3" w14:textId="772845E1" w:rsidR="00D47292" w:rsidRPr="00B8712F" w:rsidRDefault="00D47292" w:rsidP="00393023">
      <w:pPr>
        <w:pStyle w:val="Prrafodelista"/>
        <w:numPr>
          <w:ilvl w:val="0"/>
          <w:numId w:val="2"/>
        </w:numPr>
        <w:spacing w:after="0"/>
        <w:rPr>
          <w:lang w:val="es-NI"/>
        </w:rPr>
      </w:pPr>
      <w:r w:rsidRPr="00B8712F">
        <w:rPr>
          <w:lang w:val="es-NI"/>
        </w:rPr>
        <w:t xml:space="preserve">P (Población): Mujeres de </w:t>
      </w:r>
      <w:r w:rsidR="00393023" w:rsidRPr="00B8712F">
        <w:rPr>
          <w:lang w:val="es-NI"/>
        </w:rPr>
        <w:t xml:space="preserve">AL </w:t>
      </w:r>
      <w:r w:rsidRPr="00B8712F">
        <w:rPr>
          <w:lang w:val="es-NI"/>
        </w:rPr>
        <w:t>con aborto espontáneo del primer trimestre.</w:t>
      </w:r>
    </w:p>
    <w:p w14:paraId="352866CF" w14:textId="77777777" w:rsidR="00D47292" w:rsidRPr="00B8712F" w:rsidRDefault="00D47292" w:rsidP="00D47292">
      <w:pPr>
        <w:pStyle w:val="Prrafodelista"/>
        <w:numPr>
          <w:ilvl w:val="0"/>
          <w:numId w:val="2"/>
        </w:numPr>
        <w:spacing w:after="0"/>
        <w:rPr>
          <w:lang w:val="es-NI"/>
        </w:rPr>
      </w:pPr>
      <w:r w:rsidRPr="00B8712F">
        <w:rPr>
          <w:lang w:val="es-NI"/>
        </w:rPr>
        <w:t>I (Intervención): Uso de misoprostol como tratamiento médico en cualquier dosis, vía de administración o esquema terapéutico.</w:t>
      </w:r>
    </w:p>
    <w:p w14:paraId="69FCED90" w14:textId="77777777" w:rsidR="00D47292" w:rsidRPr="00B8712F" w:rsidRDefault="00D47292" w:rsidP="00D47292">
      <w:pPr>
        <w:pStyle w:val="Prrafodelista"/>
        <w:numPr>
          <w:ilvl w:val="0"/>
          <w:numId w:val="2"/>
        </w:numPr>
        <w:spacing w:after="0"/>
        <w:rPr>
          <w:lang w:val="es-NI"/>
        </w:rPr>
      </w:pPr>
      <w:r w:rsidRPr="00B8712F">
        <w:rPr>
          <w:lang w:val="es-NI"/>
        </w:rPr>
        <w:t>C (Comparador): Otras estrategias de manejo del aborto espontáneo del primer trimestre reportadas en los estudios incluidos.</w:t>
      </w:r>
    </w:p>
    <w:p w14:paraId="6F807920" w14:textId="2BB56F7B" w:rsidR="00E13F79" w:rsidRPr="00B8712F" w:rsidRDefault="00D47292" w:rsidP="00D47292">
      <w:pPr>
        <w:pStyle w:val="Prrafodelista"/>
        <w:numPr>
          <w:ilvl w:val="0"/>
          <w:numId w:val="2"/>
        </w:numPr>
        <w:spacing w:after="0"/>
        <w:rPr>
          <w:lang w:val="es-NI"/>
        </w:rPr>
      </w:pPr>
      <w:r w:rsidRPr="00B8712F">
        <w:rPr>
          <w:lang w:val="es-NI"/>
        </w:rPr>
        <w:t>(Desenlaces):</w:t>
      </w:r>
      <w:r w:rsidR="00961C48">
        <w:rPr>
          <w:lang w:val="es-NI"/>
        </w:rPr>
        <w:t xml:space="preserve"> Resultados clínicos (Éxito del manejo del aborto espontáneo definido como</w:t>
      </w:r>
      <w:r w:rsidRPr="00B8712F">
        <w:rPr>
          <w:lang w:val="es-NI"/>
        </w:rPr>
        <w:t xml:space="preserve"> Resolución completa</w:t>
      </w:r>
      <w:r w:rsidR="00961C48">
        <w:rPr>
          <w:lang w:val="es-NI"/>
        </w:rPr>
        <w:t xml:space="preserve"> [evacuación uterina]</w:t>
      </w:r>
      <w:r w:rsidRPr="00B8712F">
        <w:rPr>
          <w:lang w:val="es-NI"/>
        </w:rPr>
        <w:t xml:space="preserve"> sin intervención adicional; necesidad de intervenciones posteriores; otros resultados clínicos maternos relevantes (tiempo hasta la resolución, complicaciones o eventos adversos).</w:t>
      </w:r>
    </w:p>
    <w:p w14:paraId="68DF2488" w14:textId="3830CC15" w:rsidR="00E13F79" w:rsidRPr="00B8712F" w:rsidRDefault="00B8712F" w:rsidP="00B8712F">
      <w:pPr>
        <w:pStyle w:val="Ttulo1"/>
        <w:rPr>
          <w:lang w:val="es-NI"/>
        </w:rPr>
      </w:pPr>
      <w:bookmarkStart w:id="12" w:name="_Toc232986982"/>
      <w:r w:rsidRPr="00B8712F">
        <w:rPr>
          <w:lang w:val="es-NI"/>
        </w:rPr>
        <w:lastRenderedPageBreak/>
        <w:t>Objetivos</w:t>
      </w:r>
      <w:bookmarkEnd w:id="12"/>
    </w:p>
    <w:p w14:paraId="57418395" w14:textId="77777777" w:rsidR="0093471C" w:rsidRPr="00B8712F" w:rsidRDefault="0093471C" w:rsidP="00B8712F">
      <w:pPr>
        <w:pStyle w:val="Ttulo2"/>
        <w:rPr>
          <w:lang w:val="es-NI"/>
        </w:rPr>
      </w:pPr>
      <w:bookmarkStart w:id="13" w:name="_Toc232986983"/>
      <w:r w:rsidRPr="00B8712F">
        <w:rPr>
          <w:lang w:val="es-NI"/>
        </w:rPr>
        <w:t>Objetivo general</w:t>
      </w:r>
      <w:bookmarkEnd w:id="13"/>
    </w:p>
    <w:p w14:paraId="0F34A930" w14:textId="2C582E1F" w:rsidR="00D2451D" w:rsidRDefault="006C0A2C" w:rsidP="00406205">
      <w:pPr>
        <w:rPr>
          <w:lang w:val="es-NI"/>
        </w:rPr>
      </w:pPr>
      <w:r w:rsidRPr="006C0A2C">
        <w:rPr>
          <w:lang w:val="es-NI"/>
        </w:rPr>
        <w:t>Evaluar los resultados clínicos del misoprostol para el éxito del manejo del aborto espontáneo del primer trimestre, de forma global y frente a otras estrategias de manejo, en mujeres de América Latina</w:t>
      </w:r>
      <w:r w:rsidR="00393023" w:rsidRPr="00B8712F">
        <w:rPr>
          <w:lang w:val="es-NI"/>
        </w:rPr>
        <w:t>.</w:t>
      </w:r>
    </w:p>
    <w:p w14:paraId="1B054A6D" w14:textId="77777777" w:rsidR="0093471C" w:rsidRPr="00B8712F" w:rsidRDefault="0093471C" w:rsidP="00B8712F">
      <w:pPr>
        <w:pStyle w:val="Ttulo2"/>
        <w:rPr>
          <w:lang w:val="es-NI"/>
        </w:rPr>
      </w:pPr>
      <w:bookmarkStart w:id="14" w:name="_Toc232986984"/>
      <w:r w:rsidRPr="00B8712F">
        <w:rPr>
          <w:lang w:val="es-NI"/>
        </w:rPr>
        <w:t>Objetivos específicos</w:t>
      </w:r>
      <w:bookmarkEnd w:id="14"/>
    </w:p>
    <w:p w14:paraId="2C7EC837" w14:textId="77777777" w:rsidR="006C0A2C" w:rsidRPr="006C0A2C" w:rsidRDefault="006C0A2C" w:rsidP="006C0A2C">
      <w:pPr>
        <w:pStyle w:val="Prrafodelista"/>
        <w:numPr>
          <w:ilvl w:val="0"/>
          <w:numId w:val="3"/>
        </w:numPr>
        <w:rPr>
          <w:lang w:val="es-NI"/>
        </w:rPr>
      </w:pPr>
      <w:r w:rsidRPr="006C0A2C">
        <w:rPr>
          <w:lang w:val="es-NI"/>
        </w:rPr>
        <w:t>Describir las características generales, clínicas y metodológicas de los estudios incluidos que evalúan el uso de misoprostol, de forma global y en comparación con otras estrategias de manejo del aborto espontáneo del primer trimestre en mujeres de América Latina.</w:t>
      </w:r>
    </w:p>
    <w:p w14:paraId="16D3AFF0" w14:textId="77777777" w:rsidR="006C0A2C" w:rsidRPr="006C0A2C" w:rsidRDefault="006C0A2C" w:rsidP="006C0A2C">
      <w:pPr>
        <w:pStyle w:val="Prrafodelista"/>
        <w:numPr>
          <w:ilvl w:val="0"/>
          <w:numId w:val="3"/>
        </w:numPr>
        <w:rPr>
          <w:lang w:val="es-NI"/>
        </w:rPr>
      </w:pPr>
      <w:r w:rsidRPr="006C0A2C">
        <w:rPr>
          <w:lang w:val="es-NI"/>
        </w:rPr>
        <w:t>Evaluar el riesgo de sesgo de los estudios incluidos y la calidad global de la evidencia disponible.</w:t>
      </w:r>
    </w:p>
    <w:p w14:paraId="52114861" w14:textId="77777777" w:rsidR="006C0A2C" w:rsidRPr="006C0A2C" w:rsidRDefault="006C0A2C" w:rsidP="006C0A2C">
      <w:pPr>
        <w:pStyle w:val="Prrafodelista"/>
        <w:numPr>
          <w:ilvl w:val="0"/>
          <w:numId w:val="3"/>
        </w:numPr>
        <w:rPr>
          <w:lang w:val="es-NI"/>
        </w:rPr>
      </w:pPr>
      <w:r w:rsidRPr="006C0A2C">
        <w:rPr>
          <w:lang w:val="es-NI"/>
        </w:rPr>
        <w:t>Estimar la frecuencia de resolución completa (evacuación uterina) del evento sin necesidad de intervención adicional entre el uso de misoprostol,  de forma global y en relación a otras estrategias de manejo, durante el período de seguimiento reportado en los estudios incluidos.</w:t>
      </w:r>
    </w:p>
    <w:p w14:paraId="7C1281EF" w14:textId="77777777" w:rsidR="006C0A2C" w:rsidRPr="006C0A2C" w:rsidRDefault="006C0A2C" w:rsidP="006C0A2C">
      <w:pPr>
        <w:pStyle w:val="Prrafodelista"/>
        <w:numPr>
          <w:ilvl w:val="0"/>
          <w:numId w:val="3"/>
        </w:numPr>
        <w:rPr>
          <w:lang w:val="es-NI"/>
        </w:rPr>
      </w:pPr>
      <w:r w:rsidRPr="006C0A2C">
        <w:rPr>
          <w:lang w:val="es-NI"/>
        </w:rPr>
        <w:t>Describir la frecuencia de complicaciones y eventos adversos maternos asociados al uso de misoprostol en el manejo del aborto espontáneo del primer trimestre.</w:t>
      </w:r>
    </w:p>
    <w:p w14:paraId="5F33D1F7" w14:textId="095211BA" w:rsidR="00393023" w:rsidRPr="00B8712F" w:rsidRDefault="00393023" w:rsidP="006C0A2C">
      <w:pPr>
        <w:rPr>
          <w:lang w:val="es-NI"/>
        </w:rPr>
      </w:pPr>
      <w:r w:rsidRPr="00B8712F">
        <w:rPr>
          <w:lang w:val="es-NI"/>
        </w:rPr>
        <w:t>.</w:t>
      </w:r>
    </w:p>
    <w:p w14:paraId="3673FC9D" w14:textId="1AAEF232" w:rsidR="002101D1" w:rsidRPr="00B8712F" w:rsidRDefault="002101D1" w:rsidP="002101D1">
      <w:pPr>
        <w:rPr>
          <w:lang w:val="es-NI"/>
        </w:rPr>
      </w:pPr>
    </w:p>
    <w:p w14:paraId="448E35DD" w14:textId="1EB546FD" w:rsidR="002101D1" w:rsidRPr="00B8712F" w:rsidRDefault="002101D1" w:rsidP="002101D1">
      <w:pPr>
        <w:rPr>
          <w:lang w:val="es-NI"/>
        </w:rPr>
      </w:pPr>
    </w:p>
    <w:p w14:paraId="2B711A60" w14:textId="406005B9" w:rsidR="002101D1" w:rsidRPr="00B8712F" w:rsidRDefault="002101D1" w:rsidP="002101D1">
      <w:pPr>
        <w:rPr>
          <w:lang w:val="es-NI"/>
        </w:rPr>
      </w:pPr>
    </w:p>
    <w:p w14:paraId="3EC86C70" w14:textId="16D61771" w:rsidR="00393023" w:rsidRDefault="00393023" w:rsidP="002101D1">
      <w:pPr>
        <w:rPr>
          <w:lang w:val="es-NI"/>
        </w:rPr>
      </w:pPr>
    </w:p>
    <w:p w14:paraId="2E4E01B9" w14:textId="77777777" w:rsidR="0078560D" w:rsidRDefault="0078560D" w:rsidP="002101D1">
      <w:pPr>
        <w:rPr>
          <w:lang w:val="es-NI"/>
        </w:rPr>
      </w:pPr>
    </w:p>
    <w:p w14:paraId="6953B590" w14:textId="7CB511D3" w:rsidR="0032432F" w:rsidRDefault="0032432F" w:rsidP="002101D1">
      <w:pPr>
        <w:rPr>
          <w:lang w:val="es-NI"/>
        </w:rPr>
      </w:pPr>
    </w:p>
    <w:p w14:paraId="4979C8B5" w14:textId="701F4048" w:rsidR="0032432F" w:rsidRDefault="0032432F" w:rsidP="0032432F">
      <w:pPr>
        <w:pStyle w:val="Ttulo1"/>
        <w:rPr>
          <w:lang w:val="es-NI"/>
        </w:rPr>
      </w:pPr>
      <w:bookmarkStart w:id="15" w:name="_Toc232986985"/>
      <w:r>
        <w:rPr>
          <w:lang w:val="es-NI"/>
        </w:rPr>
        <w:lastRenderedPageBreak/>
        <w:t>Marco teórico</w:t>
      </w:r>
      <w:bookmarkEnd w:id="15"/>
    </w:p>
    <w:p w14:paraId="7298859A" w14:textId="59740BBC" w:rsidR="00364A91" w:rsidRPr="00364A91" w:rsidRDefault="00364A91" w:rsidP="00364A91">
      <w:pPr>
        <w:pStyle w:val="Ttulo2"/>
      </w:pPr>
      <w:bookmarkStart w:id="16" w:name="_Toc232986986"/>
      <w:r w:rsidRPr="00364A91">
        <w:t>Aborto espontáneo en el primer trimestre</w:t>
      </w:r>
      <w:bookmarkEnd w:id="16"/>
    </w:p>
    <w:p w14:paraId="604A46CD" w14:textId="77777777" w:rsidR="00364A91" w:rsidRPr="00364A91" w:rsidRDefault="00364A91" w:rsidP="00364A91">
      <w:r w:rsidRPr="00364A91">
        <w:t>El aborto espontáneo, también denominado pérdida gestacional temprana, corresponde a la terminación no inducida de un embarazo intrauterino no viable antes de alcanzar la viabilidad fetal. Aunque la delimitación gestacional puede variar entre instituciones y países, en la práctica clínica suele referirse a pérdidas ocurridas durante el primer trimestre. El término “pérdida gestacional temprana” ha sido adoptado progresivamente en la literatura internacional porque describe con mayor precisión el evento clínico y evita la ambigüedad que puede generar el uso de la palabra aborto, especialmente al diferenciarlo de la interrupción inducida del embarazo (Alves et al., 2023; Mehra et al., 2024).</w:t>
      </w:r>
    </w:p>
    <w:p w14:paraId="1C8B0901" w14:textId="77777777" w:rsidR="00364A91" w:rsidRPr="00364A91" w:rsidRDefault="00364A91" w:rsidP="00364A91">
      <w:r w:rsidRPr="00364A91">
        <w:t>La pérdida gestacional temprana representa un proceso clínico que puede manifestarse de formas distintas según el momento evolutivo, los hallazgos ecográficos y la expulsión del contenido uterino. La valoración adecuada requiere confirmar que se trata de una gestación intrauterina no viable, establecer si existe expulsión parcial o total de los productos de la concepción y descartar condiciones potencialmente graves, como embarazo ectópico, hemorragia significativa o infección pélvica. Estas consideraciones son fundamentales porque la conducta terapéutica dependerá de la estabilidad clínica, del diagnóstico específico, de la edad gestacional y de las preferencias informadas de la mujer (Mehra et al., 2024; Alves et al., 2023).</w:t>
      </w:r>
    </w:p>
    <w:p w14:paraId="1CE53FBC" w14:textId="77777777" w:rsidR="00364A91" w:rsidRPr="00364A91" w:rsidRDefault="00364A91" w:rsidP="00364A91">
      <w:r w:rsidRPr="00364A91">
        <w:t>El aborto espontáneo del primer trimestre puede clasificarse en amenaza de aborto, aborto inevitable, aborto incompleto, aborto completo y aborto diferido. La amenaza de aborto se caracteriza por sangrado vaginal o dolor pélvico con cuello uterino cerrado y evidencia de embarazo intrauterino viable. El aborto inevitable se asocia con sangrado y dolor acompañados de dilatación cervical, lo que sugiere que la expulsión es probable. En el aborto diferido existe pérdida de viabilidad embrionaria o fetal sin expulsión espontánea del contenido gestacional, mientras que el aborto completo se presenta cuando todos los productos de la concepción han sido expulsados del útero (Alves et al., 2023; Mehra et al., 2024).</w:t>
      </w:r>
    </w:p>
    <w:p w14:paraId="21CAD701" w14:textId="77777777" w:rsidR="00364A91" w:rsidRPr="00364A91" w:rsidRDefault="00364A91" w:rsidP="00364A91">
      <w:r w:rsidRPr="00364A91">
        <w:lastRenderedPageBreak/>
        <w:t>El aborto incompleto constituye una entidad de particular importancia para esta revisión, ya que se refiere a la expulsión parcial de los productos de la concepción con persistencia de tejido intrauterino. Puede presentarse después de una pérdida espontánea o luego de una evacuación uterina no completa. Clínicamente, suele acompañarse de sangrado vaginal persistente, cólico hipogástrico, expulsión parcial de tejido y, en algunos casos, dilatación cervical. La persistencia de restos ovulares puede prolongar el sangrado y aumentar el riesgo de infección, anemia o necesidad de procedimientos adicionales si no ocurre una evacuación adecuada (Raghavan &amp; Bynum, 2009; Mehra et al., 2024).</w:t>
      </w:r>
    </w:p>
    <w:p w14:paraId="7DA714AE" w14:textId="77777777" w:rsidR="00364A91" w:rsidRPr="00364A91" w:rsidRDefault="00364A91" w:rsidP="00364A91">
      <w:r w:rsidRPr="00364A91">
        <w:t>La expresión “éxito del manejo” se utiliza con frecuencia en los estudios de tratamiento médico del aborto espontáneo para describir la finalización del proceso sin requerimiento de procedimientos adicionales. Sin embargo, los criterios operativos pueden variar entre investigaciones. Algunos estudios consideran éxito la expulsión completa de los productos de la concepción; otros utilizan la ausencia de restos retenidos por ecografía, la resolución de los síntomas o la falta de necesidad de aspiración uterina. Por ello, la interpretación de los resultados clínicos debe considerar cómo cada estudio definió y evaluó la resolución del evento (Wu et al., 2017; Raghavan &amp; Bynum, 2009).</w:t>
      </w:r>
    </w:p>
    <w:p w14:paraId="0DD156D1" w14:textId="53F30E80" w:rsidR="00364A91" w:rsidRPr="00364A91" w:rsidRDefault="00364A91" w:rsidP="00364A91">
      <w:pPr>
        <w:pStyle w:val="Ttulo2"/>
      </w:pPr>
      <w:bookmarkStart w:id="17" w:name="_Toc232986987"/>
      <w:r w:rsidRPr="00364A91">
        <w:t>Epidemiología y factores asociados al aborto espontáneo</w:t>
      </w:r>
      <w:bookmarkEnd w:id="17"/>
    </w:p>
    <w:p w14:paraId="32FC504A" w14:textId="77777777" w:rsidR="00364A91" w:rsidRPr="00364A91" w:rsidRDefault="00364A91" w:rsidP="00364A91">
      <w:r w:rsidRPr="00364A91">
        <w:t>La pérdida gestacional temprana es una de las complicaciones más frecuentes del embarazo. Se estima que ocurre en aproximadamente 10% a 20% de los embarazos clínicamente reconocidos, aunque las estimaciones pueden aumentar cuando se incluyen pérdidas muy tempranas detectadas mediante determinaciones seriadas de gonadotropina coriónica humana. Las diferencias entre estudios obedecen, en parte, a variaciones en las definiciones utilizadas, al acceso al diagnóstico precoz y a la inclusión o exclusión de embarazos no reconocidos clínicamente (Mehra et al., 2024; Alves et al., 2023).</w:t>
      </w:r>
    </w:p>
    <w:p w14:paraId="14A101D9" w14:textId="77777777" w:rsidR="00364A91" w:rsidRPr="00364A91" w:rsidRDefault="00364A91" w:rsidP="00364A91">
      <w:r w:rsidRPr="00364A91">
        <w:t xml:space="preserve">Una proporción importante de las pérdidas gestacionales tempranas se asocia con alteraciones cromosómicas embrionarias, especialmente aneuploidías. Estas alteraciones pueden impedir el desarrollo embrionario normal y constituyen una </w:t>
      </w:r>
      <w:r w:rsidRPr="00364A91">
        <w:lastRenderedPageBreak/>
        <w:t>explicación frecuente de abortos esporádicos del primer trimestre. No obstante, no todos los casos tienen una causa identificable, y la ausencia de una etiología específica no implica necesariamente una condición recurrente o una alteración permanente de la fertilidad de la mujer o de la pareja (Mehra et al., 2024; Alves et al., 2023).</w:t>
      </w:r>
    </w:p>
    <w:p w14:paraId="7FD0A8EF" w14:textId="77777777" w:rsidR="00364A91" w:rsidRPr="00364A91" w:rsidRDefault="00364A91" w:rsidP="00364A91">
      <w:r w:rsidRPr="00364A91">
        <w:t>La edad materna es uno de los factores asociados más relevantes. El riesgo de pérdida gestacional aumenta progresivamente con la edad, principalmente después de los 35 años, debido en parte al incremento en la frecuencia de alteraciones cromosómicas en los ovocitos. La edad paterna avanzada también se ha asociado con un riesgo mayor, aunque su contribución suele ser menos marcada que la de la edad materna. Estos factores deben interpretarse dentro de una valoración integral y no como determinantes absolutos del desenlace gestacional (Mehra et al., 2024).</w:t>
      </w:r>
    </w:p>
    <w:p w14:paraId="02EDE77E" w14:textId="77777777" w:rsidR="00364A91" w:rsidRPr="00364A91" w:rsidRDefault="00364A91" w:rsidP="00364A91">
      <w:r w:rsidRPr="00364A91">
        <w:t>Otros factores asociados incluyen antecedentes de pérdidas gestacionales previas, alteraciones anatómicas uterinas, enfermedades endocrinas no controladas, síndrome antifosfolípido, infecciones específicas, extremos del índice de masa corporal, tabaquismo, consumo de alcohol y ciertas exposiciones ambientales. Sin embargo, la presencia de uno o varios factores no permite atribuir causalidad directa en todos los casos. La evaluación clínica debe individualizarse, sobre todo cuando existen pérdidas recurrentes, antecedentes médicos relevantes o signos que orienten a una causa específica (Mehra et al., 2024; Alves et al., 2023).</w:t>
      </w:r>
    </w:p>
    <w:p w14:paraId="7BD67A40" w14:textId="77777777" w:rsidR="00364A91" w:rsidRPr="00364A91" w:rsidRDefault="00364A91" w:rsidP="00364A91">
      <w:r w:rsidRPr="00364A91">
        <w:t>Además de la repercusión física, la pérdida gestacional temprana puede tener consecuencias emocionales importantes. La experiencia puede generar tristeza, ansiedad, culpa, incertidumbre y duelo, aun cuando la pérdida ocurra en etapas tempranas del embarazo. Por ello, la atención debe incluir comunicación empática, explicación clara del diagnóstico, acompañamiento en la toma de decisiones y orientación sobre los signos de alarma y el seguimiento. El reconocimiento de estas dimensiones es parte de una atención obstétrica integral y centrada en la paciente (Mehra et al., 2024).</w:t>
      </w:r>
    </w:p>
    <w:p w14:paraId="6E1CF345" w14:textId="2E803139" w:rsidR="00364A91" w:rsidRPr="00364A91" w:rsidRDefault="00364A91" w:rsidP="00364A91">
      <w:pPr>
        <w:pStyle w:val="Ttulo2"/>
      </w:pPr>
      <w:bookmarkStart w:id="18" w:name="_Toc232986988"/>
      <w:r w:rsidRPr="00364A91">
        <w:lastRenderedPageBreak/>
        <w:t>Diagnóstico del aborto espontáneo del primer trimestre</w:t>
      </w:r>
      <w:bookmarkEnd w:id="18"/>
    </w:p>
    <w:p w14:paraId="67AD7EF2" w14:textId="77777777" w:rsidR="00364A91" w:rsidRPr="00364A91" w:rsidRDefault="00364A91" w:rsidP="00364A91">
      <w:r w:rsidRPr="00364A91">
        <w:t>El diagnóstico del aborto espontáneo requiere integrar la historia clínica, el examen físico, los hallazgos de laboratorio y la ecografía. Las manifestaciones más frecuentes incluyen sangrado vaginal, cólico abdominal o pélvico, expulsión de coágulos o tejido y disminución de síntomas gestacionales previamente presentes. Sin embargo, algunas pérdidas, particularmente el aborto diferido, pueden ser asintomáticas y detectarse durante una ecografía de control o ante la ausencia de actividad cardiaca embrionaria o fetal (Mehra et al., 2024; Alves et al., 2023).</w:t>
      </w:r>
    </w:p>
    <w:p w14:paraId="05EC04E0" w14:textId="77777777" w:rsidR="00364A91" w:rsidRPr="00364A91" w:rsidRDefault="00364A91" w:rsidP="00364A91">
      <w:r w:rsidRPr="00364A91">
        <w:t>La valoración inicial debe priorizar la estabilidad hemodinámica. Se deben identificar signos de hemorragia significativa, como hipotensión, taquicardia, palidez, diaforesis, alteración del estado de conciencia o mala perfusión periférica. También debe investigarse dolor abdominal intenso, fiebre, secreción vaginal fétida, sensibilidad uterina marcada o síntomas compatibles con infección. La presencia de estos hallazgos puede requerir reanimación, tratamiento inmediato y referencia o manejo en una unidad con capacidad resolutiva adecuada (Ministerio de Salud de Nicaragua [MINSA], 2018; Mehra et al., 2024).</w:t>
      </w:r>
    </w:p>
    <w:p w14:paraId="4A83BB9F" w14:textId="77777777" w:rsidR="00364A91" w:rsidRPr="00364A91" w:rsidRDefault="00364A91" w:rsidP="00364A91">
      <w:r w:rsidRPr="00364A91">
        <w:t>La historia clínica debe incluir fecha de última menstruación, características del sangrado, intensidad y evolución del dolor, expulsión de tejido, antecedentes obstétricos, pérdidas gestacionales previas, intervenciones uterinas, enfermedades crónicas, medicamentos de uso regular y factores de riesgo para embarazo ectópico. También es importante conocer el grupo sanguíneo y el factor Rh cuando estén disponibles, debido a las decisiones relacionadas con inmunoprofilaxis en mujeres Rh negativas, según los protocolos institucionales aplicables (Mehra et al., 2024; MINSA, 2018).</w:t>
      </w:r>
    </w:p>
    <w:p w14:paraId="3AC1B015" w14:textId="77777777" w:rsidR="00364A91" w:rsidRPr="00364A91" w:rsidRDefault="00364A91" w:rsidP="00364A91">
      <w:r w:rsidRPr="00364A91">
        <w:t xml:space="preserve">El examen físico debe incluir signos vitales, exploración abdominal y evaluación ginecológica cuando esté indicada. La especuloscopía permite valorar el origen del sangrado, la presencia de coágulos o tejido en el canal vaginal y el estado del cuello uterino. El tacto vaginal puede aportar información sobre dilatación cervical, tamaño uterino y dolor a la movilización cervical; sin embargo, debe realizarse con prudencia </w:t>
      </w:r>
      <w:r w:rsidRPr="00364A91">
        <w:lastRenderedPageBreak/>
        <w:t>y según el contexto clínico, especialmente cuando persistan dudas diagnósticas o exista sospecha de embarazo ectópico (Mehra et al., 2024; Alves et al., 2023).</w:t>
      </w:r>
    </w:p>
    <w:p w14:paraId="338CEFFE" w14:textId="77777777" w:rsidR="00364A91" w:rsidRPr="00364A91" w:rsidRDefault="00364A91" w:rsidP="00364A91">
      <w:r w:rsidRPr="00364A91">
        <w:t>La ecografía transvaginal constituye el método de imagen más útil para confirmar la localización intrauterina del embarazo, determinar la viabilidad embrionaria o fetal, identificar restos ovulares y orientar el tipo de aborto espontáneo. La interpretación debe ser cuidadosa, especialmente en embarazos muy tempranos, para evitar diagnósticos erróneos de pérdida gestacional. Cuando la viabilidad no puede establecerse de manera concluyente, puede ser necesario repetir la ecografía o realizar seguimiento con β-hCG seriada antes de tomar decisiones definitivas (Mehra et al., 2024; Alves et al., 2023).</w:t>
      </w:r>
    </w:p>
    <w:p w14:paraId="40DFBF5C" w14:textId="77777777" w:rsidR="00364A91" w:rsidRPr="00364A91" w:rsidRDefault="00364A91" w:rsidP="00364A91">
      <w:r w:rsidRPr="00364A91">
        <w:t>La medición de β-hCG sérica puede apoyar la evaluación, particularmente cuando la ubicación gestacional no está confirmada o cuando los hallazgos ecográficos son inciertos. No obstante, la β-hCG por sí sola no permite confirmar la viabilidad de un embarazo ni diferenciar de manera concluyente entre embarazo intrauterino viable, pérdida temprana o embarazo ectópico. Su utilidad principal consiste en complementar la ecografía y aportar información sobre la evolución de la gestación cuando se interpreta mediante mediciones seriadas y dentro de un contexto clínico apropiado (Mehra et al., 2024).</w:t>
      </w:r>
    </w:p>
    <w:p w14:paraId="62BD0F53" w14:textId="77777777" w:rsidR="00364A91" w:rsidRPr="00364A91" w:rsidRDefault="00364A91" w:rsidP="00364A91">
      <w:r w:rsidRPr="00364A91">
        <w:t>El diagnóstico diferencial del sangrado durante el primer trimestre incluye embarazo ectópico, embarazo de localización desconocida, enfermedad trofoblástica gestacional, lesiones cervicales, infecciones vaginales, sangrado subcoriónico y otras causas ginecológicas no relacionadas con el embarazo. El embarazo ectópico debe descartarse con prioridad en mujeres con dolor abdominal progresivo, mareo, síncope, dolor referido al hombro, hemoperitoneo o ausencia de evidencia de embarazo intrauterino en ecografía. Este diagnóstico es especialmente relevante porque el uso de misoprostol no sustituye el abordaje de un embarazo ectópico (Mehra et al., 2024; Alves et al., 2023).</w:t>
      </w:r>
    </w:p>
    <w:p w14:paraId="0A01DA5E" w14:textId="06ED20B1" w:rsidR="00364A91" w:rsidRPr="00364A91" w:rsidRDefault="00364A91" w:rsidP="00364A91">
      <w:pPr>
        <w:pStyle w:val="Ttulo2"/>
      </w:pPr>
      <w:bookmarkStart w:id="19" w:name="_Toc232986989"/>
      <w:r w:rsidRPr="00364A91">
        <w:t>Manejo del aborto espontáneo del primer trimestre</w:t>
      </w:r>
      <w:bookmarkEnd w:id="19"/>
    </w:p>
    <w:p w14:paraId="0422FB41" w14:textId="77777777" w:rsidR="00364A91" w:rsidRPr="00364A91" w:rsidRDefault="00364A91" w:rsidP="00364A91">
      <w:r w:rsidRPr="00364A91">
        <w:t xml:space="preserve">Las alternativas principales para el manejo del aborto espontáneo del primer trimestre son el manejo expectante, el manejo médico y la evacuación uterina </w:t>
      </w:r>
      <w:r w:rsidRPr="00364A91">
        <w:lastRenderedPageBreak/>
        <w:t>quirúrgica. La selección depende de la estabilidad clínica, del tipo de aborto, del grado de sangrado, de la presencia de infección, de la disponibilidad de recursos, de la posibilidad de seguimiento y de la preferencia informada de la mujer. En pacientes estables y sin signos de infección o hemorragia grave, más de una alternativa puede ser aceptable, siempre que se proporcionen información clara y criterios de retorno oportuno (Mehra et al., 2024; Al Wattar et al., 2019).</w:t>
      </w:r>
    </w:p>
    <w:p w14:paraId="4D0D9B71" w14:textId="77777777" w:rsidR="00364A91" w:rsidRPr="00364A91" w:rsidRDefault="00364A91" w:rsidP="00364A91">
      <w:r w:rsidRPr="00364A91">
        <w:t>El manejo expectante consiste en permitir la expulsión espontánea del contenido uterino sin administrar medicamentos ni realizar una intervención quirúrgica inicial. Su principal ventaja es evitar procedimientos y fármacos, pero puede requerir más tiempo para alcanzar la evacuación completa y ocasionar incertidumbre, sangrado prolongado o necesidad posterior de tratamiento médico o quirúrgico. La eficacia varía según el diagnóstico clínico y suele ser menor en aborto diferido que en aborto incompleto, por lo que la selección de pacientes y el seguimiento son fundamentales (Acharya et al., 2023; Al Wattar et al., 2019).</w:t>
      </w:r>
    </w:p>
    <w:p w14:paraId="1E112C0C" w14:textId="77777777" w:rsidR="00364A91" w:rsidRPr="00364A91" w:rsidRDefault="00364A91" w:rsidP="00364A91">
      <w:r w:rsidRPr="00364A91">
        <w:t>Una revisión y metaanálisis sobre manejo expectante encontró que esta estrategia presentó menor probabilidad de éxito en comparación con las alternativas médicas y quirúrgicas, así como mayor necesidad de evacuación posterior. Sin embargo, estos hallazgos deben interpretarse considerando la heterogeneidad entre los estudios, el tipo de pérdida gestacional incluido y las diferencias en los tiempos de seguimiento. El manejo expectante sigue siendo una opción válida para algunas pacientes clínicamente estables, particularmente cuando comprenden la posibilidad de resolución tardía o de intervención posterior (Acharya et al., 2023).</w:t>
      </w:r>
    </w:p>
    <w:p w14:paraId="13D394B7" w14:textId="77777777" w:rsidR="00364A91" w:rsidRPr="00364A91" w:rsidRDefault="00364A91" w:rsidP="00364A91">
      <w:r w:rsidRPr="00364A91">
        <w:t xml:space="preserve">El manejo quirúrgico generalmente se realiza mediante aspiración manual endouterina o aspiración uterina, procedimientos que permiten evacuar el contenido uterino de forma rápida y predecible. Está indicado cuando existe hemorragia significativa, inestabilidad hemodinámica, sospecha o confirmación de infección, contraindicación para manejo médico, fracaso de otras estrategias o preferencia de la paciente. En algunos contextos, el legrado instrumental puede utilizarse cuando no se dispone de aspiración uterina, aunque las recomendaciones actuales suelen </w:t>
      </w:r>
      <w:r w:rsidRPr="00364A91">
        <w:lastRenderedPageBreak/>
        <w:t>priorizar métodos de aspiración por su perfil de seguridad y eficiencia (MINSA, 2018; Mehra et al., 2024).</w:t>
      </w:r>
    </w:p>
    <w:p w14:paraId="36FCE77B" w14:textId="77777777" w:rsidR="00364A91" w:rsidRPr="00364A91" w:rsidRDefault="00364A91" w:rsidP="00364A91">
      <w:r w:rsidRPr="00364A91">
        <w:t>El manejo médico utiliza fármacos uterotónicos para inducir contracciones y facilitar la expulsión del contenido uterino. El misoprostol es el medicamento más empleado en este contexto, ya sea solo o combinado con mifepristona cuando esta última está disponible y clínicamente indicada. El manejo médico puede evitar procedimientos quirúrgicos en una proporción importante de mujeres, aunque requiere que la paciente conozca los efectos esperados, especialmente cólicos, sangrado y posible expulsión de tejido, así como los signos de alarma que deben motivar consulta inmediata (Mehra et al., 2024; Al Wattar et al., 2019).</w:t>
      </w:r>
    </w:p>
    <w:p w14:paraId="1F49199A" w14:textId="77777777" w:rsidR="00364A91" w:rsidRPr="00364A91" w:rsidRDefault="00364A91" w:rsidP="00364A91">
      <w:r w:rsidRPr="00364A91">
        <w:t>Las comparaciones entre manejo expectante, médico y quirúrgico muestran que la efectividad puede variar según el tipo de aborto espontáneo y el desenlace evaluado. El metaanálisis en red de Al Wattar et al. (2019) encontró que los tratamientos médicos tuvieron efectividad global comparable a la cirugía para lograr evacuación completa, mientras que el manejo expectante mostró menor efectividad relativa. La combinación de mifepristona y misoprostol puede aumentar la probabilidad de éxito en algunos escenarios, pero la disponibilidad, costo y regulación de la mifepristona no son uniformes en todos los países.</w:t>
      </w:r>
    </w:p>
    <w:p w14:paraId="5267DA19" w14:textId="77777777" w:rsidR="00364A91" w:rsidRPr="00364A91" w:rsidRDefault="00364A91" w:rsidP="00364A91">
      <w:r w:rsidRPr="00364A91">
        <w:t>La toma de decisiones debe incorporar la autonomía de la paciente. Es necesario explicar las opciones disponibles, la posibilidad de requerir intervención adicional, el tiempo esperado hasta la resolución, el tipo de seguimiento, los efectos adversos frecuentes y los signos de alarma. La elección compartida no implica que todas las opciones sean apropiadas en todas las situaciones; por el contrario, requiere identificar primero las condiciones que obligan a tratamiento urgente o quirúrgico y, posteriormente, discutir alternativas seguras para cada caso clínico (Mehra et al., 2024; MINSA, 2018).</w:t>
      </w:r>
    </w:p>
    <w:p w14:paraId="7526D0EA" w14:textId="1D517EDA" w:rsidR="00364A91" w:rsidRPr="00364A91" w:rsidRDefault="00364A91" w:rsidP="00364A91">
      <w:pPr>
        <w:pStyle w:val="Ttulo2"/>
      </w:pPr>
      <w:bookmarkStart w:id="20" w:name="_Toc232986990"/>
      <w:r w:rsidRPr="00364A91">
        <w:t>Misoprostol: generalidades y desarrollo farmacológico</w:t>
      </w:r>
      <w:bookmarkEnd w:id="20"/>
    </w:p>
    <w:p w14:paraId="6D29870F" w14:textId="77777777" w:rsidR="00364A91" w:rsidRPr="00364A91" w:rsidRDefault="00364A91" w:rsidP="00364A91">
      <w:r w:rsidRPr="00364A91">
        <w:t xml:space="preserve">El misoprostol es un análogo sintético de la prostaglandina E1. Fue desarrollado inicialmente para la prevención y tratamiento de úlceras pépticas, especialmente las asociadas al uso de antiinflamatorios no esteroideos. Su capacidad de inhibir la </w:t>
      </w:r>
      <w:r w:rsidRPr="00364A91">
        <w:lastRenderedPageBreak/>
        <w:t>secreción ácida gástrica y proteger la mucosa digestiva fue la base de sus primeras aplicaciones clínicas. Posteriormente, sus efectos sobre el músculo liso uterino y el cuello uterino permitieron ampliar su uso a distintas áreas de la ginecología y obstetricia (Collins, 1990; Tang et al., 2007).</w:t>
      </w:r>
    </w:p>
    <w:p w14:paraId="6D2F3392" w14:textId="77777777" w:rsidR="00364A91" w:rsidRPr="00364A91" w:rsidRDefault="00364A91" w:rsidP="00364A91">
      <w:r w:rsidRPr="00364A91">
        <w:t>Desde el punto de vista químico, el misoprostol presenta modificaciones estructurales respecto a la prostaglandina E1 natural que mejoran su estabilidad, actividad por vía oral y duración de acción. Estas propiedades son importantes porque las prostaglandinas naturales presentan metabolismo rápido, inestabilidad química y una vida media limitada. El desarrollo del misoprostol permitió disponer de un compuesto más estable y accesible, capaz de ejercer efectos clínicos relevantes sin requerir condiciones de almacenamiento complejas (Collins, 1990; Tang et al., 2007).</w:t>
      </w:r>
    </w:p>
    <w:p w14:paraId="46DA623F" w14:textId="77777777" w:rsidR="00364A91" w:rsidRPr="00364A91" w:rsidRDefault="00364A91" w:rsidP="00364A91">
      <w:r w:rsidRPr="00364A91">
        <w:t>El medicamento se comercializa con mayor frecuencia en tabletas de 200 µg, aunque pueden existir otras presentaciones según el país. Entre sus ventajas prácticas se encuentran la estabilidad a temperatura ambiente, el bajo costo relativo, la facilidad de transporte y la posibilidad de administrarlo por distintas vías. Estas características han contribuido a su incorporación en protocolos de salud sexual, reproductiva y obstétrica, particularmente en entornos donde la disponibilidad de infraestructura quirúrgica o medicamentos inyectables puede ser limitada (Raghavan &amp; Bynum, 2009; Tang et al., 2007).</w:t>
      </w:r>
    </w:p>
    <w:p w14:paraId="42F7EE9E" w14:textId="77777777" w:rsidR="00364A91" w:rsidRPr="00364A91" w:rsidRDefault="00364A91" w:rsidP="00364A91">
      <w:r w:rsidRPr="00364A91">
        <w:t>El misoprostol puede administrarse por vía oral, sublingual, bucal, vaginal o rectal. La elección de la vía no es intercambiable, ya que cada una produce perfiles farmacocinéticos y clínicos diferentes. La vía oral se caracteriza por absorción rápida y efecto relativamente breve; la vía vaginal presenta absorción más lenta, exposición más prolongada y concentraciones sostenidas; la vía sublingual alcanza concentraciones altas con rapidez, pero puede asociarse con mayor frecuencia de efectos adversos. Estas diferencias justifican que las dosis y los intervalos se adapten a la indicación clínica específica (Tang et al., 2007).</w:t>
      </w:r>
    </w:p>
    <w:p w14:paraId="3C89F42C" w14:textId="2C592B1C" w:rsidR="00364A91" w:rsidRPr="00364A91" w:rsidRDefault="00364A91" w:rsidP="00364A91">
      <w:pPr>
        <w:pStyle w:val="Ttulo2"/>
      </w:pPr>
      <w:bookmarkStart w:id="21" w:name="_Toc232986991"/>
      <w:r w:rsidRPr="00364A91">
        <w:lastRenderedPageBreak/>
        <w:t>Farmacocinética y farmacodinamia del misoprostol</w:t>
      </w:r>
      <w:bookmarkEnd w:id="21"/>
    </w:p>
    <w:p w14:paraId="13690E7C" w14:textId="77777777" w:rsidR="00364A91" w:rsidRPr="00364A91" w:rsidRDefault="00364A91" w:rsidP="00364A91">
      <w:r w:rsidRPr="00364A91">
        <w:t>Después de su administración, el misoprostol se convierte rápidamente en ácido misoprostólico, su metabolito activo. Este compuesto es responsable de la mayor parte de los efectos farmacológicos observados. La absorción, concentración plasmática máxima, duración de acción y exposición total al medicamento varían según la vía de administración. Por ello, la farmacocinética tiene relevancia directa para comprender por qué determinados esquemas pueden ser más apropiados en el manejo médico del aborto espontáneo, la inducción del parto o la prevención de hemorragia posparto (Tang et al., 2007).</w:t>
      </w:r>
    </w:p>
    <w:p w14:paraId="405D5E00" w14:textId="77777777" w:rsidR="00364A91" w:rsidRPr="00364A91" w:rsidRDefault="00364A91" w:rsidP="00364A91">
      <w:r w:rsidRPr="00364A91">
        <w:t>La vía oral produce absorción rápida a través del tracto gastrointestinal y alcanza concentraciones plasmáticas máximas aproximadamente a los 30 minutos. Sin embargo, el medicamento se metaboliza ampliamente durante su primer paso hepático y las concentraciones disminuyen de forma considerable cerca de las dos horas posteriores a una dosis única. Este perfil explica por qué la vía oral puede requerir dosis repetidas para sostener una actividad uterina suficiente cuando se utiliza con fines obstétricos o ginecológicos (Tang et al., 2007).</w:t>
      </w:r>
    </w:p>
    <w:p w14:paraId="58EBED41" w14:textId="77777777" w:rsidR="00364A91" w:rsidRPr="00364A91" w:rsidRDefault="00364A91" w:rsidP="00364A91">
      <w:r w:rsidRPr="00364A91">
        <w:t>La administración vaginal se asocia con absorción más lenta, concentraciones sostenidas y mayor exposición total al fármaco en comparación con la vía oral. Después de una dosis vaginal, las concentraciones máximas suelen alcanzarse entre 70 y 80 minutos, y pueden mantenerse niveles detectables por varias horas. Esta exposición prolongada puede favorecer la aparición de contracciones uterinas regulares y sostenidas, lo que ayuda a explicar la utilidad de la vía vaginal en indicaciones que requieren un efecto uterotónico mantenido, como el manejo médico de algunas pérdidas gestacionales tempranas (Tang et al., 2007).</w:t>
      </w:r>
    </w:p>
    <w:p w14:paraId="6DF9CCD9" w14:textId="77777777" w:rsidR="00364A91" w:rsidRPr="00364A91" w:rsidRDefault="00364A91" w:rsidP="00364A91">
      <w:r w:rsidRPr="00364A91">
        <w:t xml:space="preserve">La vía sublingual proporciona una absorción rápida, concentraciones máximas elevadas y alta biodisponibilidad sistémica debido a la vascularización de la mucosa sublingual y a la reducción del metabolismo de primer paso hepático. El inicio de acción es rápido, lo que puede ser clínicamente útil en situaciones que requieren un efecto uterino temprano. Sin embargo, el incremento de las concentraciones plasmáticas se asocia también con mayor frecuencia de efectos adversos, </w:t>
      </w:r>
      <w:r w:rsidRPr="00364A91">
        <w:lastRenderedPageBreak/>
        <w:t>especialmente escalofríos, fiebre, diarrea y síntomas gastrointestinales, por lo que la elección de esta vía debe equilibrar eficacia y tolerabilidad (Tang et al., 2007; Wu et al., 2017).</w:t>
      </w:r>
    </w:p>
    <w:p w14:paraId="233492CD" w14:textId="77777777" w:rsidR="00364A91" w:rsidRPr="00364A91" w:rsidRDefault="00364A91" w:rsidP="00364A91">
      <w:r w:rsidRPr="00364A91">
        <w:t>La vía bucal presenta un perfil de absorción intermedio, mientras que la vía rectal se utiliza principalmente en determinadas indicaciones obstétricas, como la prevención o el tratamiento de hemorragia posparto. Las diferencias farmacocinéticas no permiten predecir de forma absoluta el resultado clínico en cada paciente, porque la respuesta también está influida por edad gestacional, sensibilidad uterina, dosis, intervalo entre dosis, diagnóstico clínico y uso concomitante de otros medicamentos. No obstante, conocer estas diferencias ayuda a comprender la racionalidad de los esquemas terapéuticos empleados en distintas situaciones (Tang et al., 2007).</w:t>
      </w:r>
    </w:p>
    <w:p w14:paraId="32F08097" w14:textId="77777777" w:rsidR="00364A91" w:rsidRPr="00364A91" w:rsidRDefault="00364A91" w:rsidP="00364A91">
      <w:r w:rsidRPr="00364A91">
        <w:t>La farmacodinamia del misoprostol se relaciona con su acción sobre receptores de prostaglandinas presentes en el útero y el cuello uterino. En el miometrio, favorece el aumento del tono uterino y la generación de contracciones. En el cuello uterino, contribuye a la maduración cervical mediante cambios en el tejido conectivo, reblandecimiento y aumento de la distensibilidad. La combinación de contracciones uterinas y modificaciones cervicales facilita la expulsión del contenido intrauterino, fundamento fisiológico de su uso en aborto incompleto, aborto diferido y otros escenarios de evacuación uterina (Tang et al., 2007; Raghavan &amp; Bynum, 2009).</w:t>
      </w:r>
    </w:p>
    <w:p w14:paraId="4F81EA96" w14:textId="77777777" w:rsidR="00364A91" w:rsidRPr="00364A91" w:rsidRDefault="00364A91" w:rsidP="00364A91">
      <w:r w:rsidRPr="00364A91">
        <w:t>La actividad uterina inducida por misoprostol depende de la duración de la exposición y no exclusivamente del pico máximo de concentración plasmática. Las vías vaginal y sublingual pueden mantener actividad uterina durante varias horas, aunque con perfiles diferentes. La vía vaginal tiende a producir contracciones más sostenidas, mientras que la vía sublingual puede inducir un inicio más rápido y un efecto sistémico más intenso. Estas diferencias no deben interpretarse como superioridad universal de una vía sobre otra, ya que la elección depende de la indicación, el contexto clínico y el balance entre efectividad y efectos adversos (Tang et al., 2007).</w:t>
      </w:r>
    </w:p>
    <w:p w14:paraId="46114C24" w14:textId="73D78AF0" w:rsidR="00364A91" w:rsidRPr="00364A91" w:rsidRDefault="00364A91" w:rsidP="00364A91">
      <w:pPr>
        <w:pStyle w:val="Ttulo2"/>
      </w:pPr>
      <w:bookmarkStart w:id="22" w:name="_Toc232986992"/>
      <w:r w:rsidRPr="00364A91">
        <w:lastRenderedPageBreak/>
        <w:t>Seguridad del misoprostol</w:t>
      </w:r>
      <w:bookmarkEnd w:id="22"/>
    </w:p>
    <w:p w14:paraId="20A2DE24" w14:textId="77777777" w:rsidR="00364A91" w:rsidRPr="00364A91" w:rsidRDefault="00364A91" w:rsidP="00364A91">
      <w:r w:rsidRPr="00364A91">
        <w:t>El misoprostol tiene un perfil de seguridad ampliamente documentado cuando se utiliza bajo indicación clínica, con evaluación adecuada y acceso a seguimiento. Los efectos adversos más frecuentes son cólico abdominal, sangrado vaginal, náuseas, vómitos, diarrea, escalofríos, fiebre transitoria y malestar general. Estos síntomas se relacionan con la actividad farmacológica del medicamento y, en la mayoría de los casos, son autolimitados. La intensidad puede variar según la dosis, la vía de administración y la sensibilidad individual de cada paciente (Tang et al., 2007; Wu et al., 2017).</w:t>
      </w:r>
    </w:p>
    <w:p w14:paraId="2330D57C" w14:textId="77777777" w:rsidR="00364A91" w:rsidRPr="00364A91" w:rsidRDefault="00364A91" w:rsidP="00364A91">
      <w:r w:rsidRPr="00364A91">
        <w:t>El sangrado vaginal y el dolor tipo cólico son esperados durante el manejo médico del aborto espontáneo, debido a las contracciones uterinas y a la expulsión del contenido intrauterino. Sin embargo, es necesario diferenciar estos efectos esperados de signos de alarma, como hemorragia intensa, síncope, dolor severo persistente, fiebre prolongada, secreción fétida o deterioro del estado general. La educación de la paciente sobre estos signos es esencial para garantizar atención oportuna en caso de complicaciones (Raghavan &amp; Bynum, 2009; Mehra et al., 2024).</w:t>
      </w:r>
    </w:p>
    <w:p w14:paraId="237AB7B0" w14:textId="77777777" w:rsidR="00364A91" w:rsidRPr="00364A91" w:rsidRDefault="00364A91" w:rsidP="00364A91">
      <w:r w:rsidRPr="00364A91">
        <w:t>Las complicaciones graves son infrecuentes, pero pueden incluir hemorragia que requiere evacuación uterina, transfusión o ingreso hospitalario, infección pélvica, aborto incompleto persistente y, raramente, reacciones adversas severas. El riesgo de complicaciones no depende únicamente del misoprostol; también se relaciona con el diagnóstico inicial, el tiempo de seguimiento, la presencia de restos retenidos, la infección previa, la edad gestacional y la accesibilidad de los servicios de salud. Por ello, el manejo médico requiere criterios de selección clínica y un sistema claro de referencia para emergencias (Raghavan &amp; Bynum, 2009; MINSA, 2018).</w:t>
      </w:r>
    </w:p>
    <w:p w14:paraId="35E592E9" w14:textId="77777777" w:rsidR="00364A91" w:rsidRPr="00364A91" w:rsidRDefault="00364A91" w:rsidP="00364A91">
      <w:r w:rsidRPr="00364A91">
        <w:t xml:space="preserve">En una revisión sistemática de misoprostol solo para interrupción médica del embarazo en el primer trimestre, Raymond et al. (2019) identificaron una baja frecuencia de hospitalización o transfusión relacionada con el tratamiento. Aunque esta evidencia corresponde a aborto inducido y no debe extrapolarse de manera directa al aborto espontáneo, resulta útil para contextualizar la seguridad </w:t>
      </w:r>
      <w:r w:rsidRPr="00364A91">
        <w:lastRenderedPageBreak/>
        <w:t>farmacológica general del medicamento. La aplicabilidad clínica al manejo de pérdidas espontáneas depende de la condición obstétrica, el esquema utilizado y la evaluación médica previa.</w:t>
      </w:r>
    </w:p>
    <w:p w14:paraId="4341C26C" w14:textId="77777777" w:rsidR="00364A91" w:rsidRPr="00364A91" w:rsidRDefault="00364A91" w:rsidP="00364A91">
      <w:r w:rsidRPr="00364A91">
        <w:t>La exposición al misoprostol durante un embarazo viable en evolución requiere consideración especial. Aunque el riesgo absoluto de malformaciones es bajo, se han descrito asociaciones entre exposición durante el embarazo y defectos congénitos específicos en casos de continuación de la gestación. Por esta razón, antes de administrar misoprostol en un contexto de pérdida gestacional debe confirmarse el diagnóstico de no viabilidad o establecerse una indicación clínica clara, así como descartar embarazo ectópico y otras causas de sangrado del primer trimestre (Tang et al., 2007; Mehra et al., 2024).</w:t>
      </w:r>
    </w:p>
    <w:p w14:paraId="4CCC718A" w14:textId="77777777" w:rsidR="00364A91" w:rsidRPr="00364A91" w:rsidRDefault="00364A91" w:rsidP="00364A91">
      <w:r w:rsidRPr="00364A91">
        <w:t>Las principales precauciones incluyen sospecha de embarazo ectópico, inestabilidad hemodinámica, hemorragia importante, infección pélvica o sepsis, alergia conocida a prostaglandinas y falta de posibilidad de seguimiento o acceso a atención de urgencia. En estos escenarios puede ser necesario priorizar estabilización, antibióticos, evacuación uterina urgente o referencia a una unidad de mayor complejidad. El misoprostol no debe considerarse una alternativa aislada de la valoración clínica integral (MINSA, 2018; Mehra et al., 2024).</w:t>
      </w:r>
    </w:p>
    <w:p w14:paraId="5A2C9FD6" w14:textId="2EFA1B1D" w:rsidR="00364A91" w:rsidRPr="00364A91" w:rsidRDefault="00364A91" w:rsidP="00364A91">
      <w:pPr>
        <w:pStyle w:val="Ttulo2"/>
      </w:pPr>
      <w:bookmarkStart w:id="23" w:name="_Toc232986993"/>
      <w:r w:rsidRPr="00364A91">
        <w:t>Misoprostol en ginecología y obstetricia</w:t>
      </w:r>
      <w:bookmarkEnd w:id="23"/>
    </w:p>
    <w:p w14:paraId="7CFCB360" w14:textId="77777777" w:rsidR="00364A91" w:rsidRPr="00364A91" w:rsidRDefault="00364A91" w:rsidP="00364A91">
      <w:r w:rsidRPr="00364A91">
        <w:t>El misoprostol tiene aplicaciones amplias en ginecología y obstetricia debido a sus efectos uterotónicos y cervicales. Entre sus usos se incluyen la preparación cervical antes de procedimientos uterinos, inducción del trabajo de parto bajo protocolos específicos, evacuación uterina en pérdidas gestacionales, manejo médico del aborto y prevención o tratamiento de hemorragia posparto. La indicación, dosis, vía y frecuencia deben variar según el objetivo clínico, la edad gestacional y las condiciones maternas (Tang et al., 2007; Federación Latinoamericana de Sociedades de Obstetricia y Ginecología [FLASOG], 2007).</w:t>
      </w:r>
    </w:p>
    <w:p w14:paraId="057A5387" w14:textId="77777777" w:rsidR="00364A91" w:rsidRPr="00364A91" w:rsidRDefault="00364A91" w:rsidP="00364A91">
      <w:r w:rsidRPr="00364A91">
        <w:t xml:space="preserve">En la maduración cervical, el misoprostol puede facilitar la dilatación y reducir la fuerza necesaria durante procedimientos uterinos. Este efecto se debe a modificaciones bioquímicas del tejido cervical, con aumento de la distensibilidad y </w:t>
      </w:r>
      <w:r w:rsidRPr="00364A91">
        <w:lastRenderedPageBreak/>
        <w:t>cambios en la matriz extracelular. La preparación cervical puede disminuir la dificultad mecánica de algunos procedimientos, aunque debe individualizarse de acuerdo con el contexto clínico y la experiencia del equipo tratante (Tang et al., 2007; Goldberg et al., 2003).</w:t>
      </w:r>
    </w:p>
    <w:p w14:paraId="40E31A04" w14:textId="77777777" w:rsidR="00364A91" w:rsidRPr="00364A91" w:rsidRDefault="00364A91" w:rsidP="00364A91">
      <w:r w:rsidRPr="00364A91">
        <w:t>En la inducción del trabajo de parto, el medicamento puede utilizarse para favorecer la maduración cervical y estimular la actividad uterina. Sin embargo, este uso requiere vigilancia obstétrica adecuada, debido al riesgo de taquisistolia, alteraciones de la frecuencia cardiaca fetal o, en casos seleccionados, complicaciones uterinas. El contexto de un feto vivo, la edad gestacional avanzada y el antecedente de cirugía uterina requieren precauciones específicas, por lo que los esquemas aplicables a inducción del parto no deben extrapolarse al manejo del aborto espontáneo del primer trimestre (FLASOG, 2007; Tang et al., 2007).</w:t>
      </w:r>
    </w:p>
    <w:p w14:paraId="6369D93A" w14:textId="77777777" w:rsidR="00364A91" w:rsidRPr="00364A91" w:rsidRDefault="00364A91" w:rsidP="00364A91">
      <w:r w:rsidRPr="00364A91">
        <w:t>En hemorragia posparto, el misoprostol se emplea como uterotónico, particularmente cuando la oxitocina u otros medicamentos no están disponibles o existen limitaciones de almacenamiento y transporte. Su estabilidad a temperatura ambiente y su facilidad de administración explican su utilidad en algunos contextos de atención primaria o de recursos limitados. No obstante, las dosis, vías y objetivos del uso posparto son diferentes a los utilizados para evacuación uterina durante el primer trimestre (Tang et al., 2007; FLASOG, 2007).</w:t>
      </w:r>
    </w:p>
    <w:p w14:paraId="6EBF74BD" w14:textId="77777777" w:rsidR="00364A91" w:rsidRPr="00364A91" w:rsidRDefault="00364A91" w:rsidP="00364A91">
      <w:r w:rsidRPr="00364A91">
        <w:t>El misoprostol también se emplea en interrupción médica del embarazo, solo o en combinación con mifepristona. La evidencia sobre aborto inducido demuestra que el misoprostol puede ser efectivo como agente único, aunque los regímenes combinados suelen alcanzar una eficacia mayor en determinadas edades gestacionales. Esta literatura es relevante para comprender la farmacología y los efectos uterinos del medicamento, pero debe diferenciarse de la evidencia sobre aborto espontáneo, ya que las características de la gestación, los objetivos terapéuticos y los criterios de éxito pueden no ser equivalentes (Raymond et al., 2019; Moseson et al., 2024).</w:t>
      </w:r>
    </w:p>
    <w:p w14:paraId="41EE5B5D" w14:textId="77777777" w:rsidR="00364A91" w:rsidRPr="00364A91" w:rsidRDefault="00364A91" w:rsidP="00364A91">
      <w:r w:rsidRPr="00364A91">
        <w:t xml:space="preserve">La revisión actualizada de Moseson et al. (2024) resalta que los esquemas de misoprostol solo pueden constituir una alternativa efectiva en aborto inducido del </w:t>
      </w:r>
      <w:r w:rsidRPr="00364A91">
        <w:lastRenderedPageBreak/>
        <w:t>primer trimestre cuando se utilizan dosis y repeticiones adecuadas. Sin embargo, en el manejo del aborto espontáneo no corresponde asumir que los mismos regímenes o resultados son directamente aplicables. La distinción entre ambas indicaciones debe mantenerse durante la interpretación de la evidencia, especialmente porque la presente revisión se centra en resultados clínicos del misoprostol para pérdidas gestacionales espontáneas en América Latina.</w:t>
      </w:r>
    </w:p>
    <w:p w14:paraId="7033DD6B" w14:textId="4BEF002D" w:rsidR="00364A91" w:rsidRPr="00364A91" w:rsidRDefault="00364A91" w:rsidP="00364A91">
      <w:pPr>
        <w:pStyle w:val="Ttulo2"/>
      </w:pPr>
      <w:bookmarkStart w:id="24" w:name="_Toc232986994"/>
      <w:r w:rsidRPr="00364A91">
        <w:t>Misoprostol en el manejo del aborto espontáneo del primer trimestre</w:t>
      </w:r>
      <w:bookmarkEnd w:id="24"/>
    </w:p>
    <w:p w14:paraId="10C23B86" w14:textId="77777777" w:rsidR="00364A91" w:rsidRPr="00364A91" w:rsidRDefault="00364A91" w:rsidP="00364A91">
      <w:r w:rsidRPr="00364A91">
        <w:t>El fundamento del misoprostol en el aborto espontáneo del primer trimestre es inducir contracciones uterinas y favorecer cambios cervicales que permitan la expulsión del contenido gestacional o de los restos ovulares. Este efecto puede facilitar la resolución de abortos incompletos, abortos diferidos, embarazos anembrionados o pérdidas no viables retenidas, siempre que se haya confirmado el diagnóstico y la paciente esté clínicamente estable. El objetivo es lograr la evacuación uterina sin requerir una intervención quirúrgica adicional, aunque el criterio exacto de éxito puede variar según los protocolos y estudios disponibles (Raghavan &amp; Bynum, 2009; Wu et al., 2017).</w:t>
      </w:r>
    </w:p>
    <w:p w14:paraId="06723BA8" w14:textId="77777777" w:rsidR="00364A91" w:rsidRPr="00364A91" w:rsidRDefault="00364A91" w:rsidP="00364A91">
      <w:r w:rsidRPr="00364A91">
        <w:t>En aborto incompleto, el misoprostol puede utilizarse como una opción médica frente a la aspiración uterina o al manejo expectante. Raghavan y Bynum (2009) describieron que estudios con seguimiento de al menos siete días y esquemas de 600 µg orales o 400 µg sublinguales reportaron tasas de éxito promedio cercanas a 95%, aunque la comparación entre estudios está limitada por diferencias en criterios de inclusión, definición de éxito y tiempo de evaluación. Esta variabilidad explica la necesidad de revisar críticamente los resultados antes de establecer conclusiones generales.</w:t>
      </w:r>
    </w:p>
    <w:p w14:paraId="67674371" w14:textId="77777777" w:rsidR="00364A91" w:rsidRPr="00364A91" w:rsidRDefault="00364A91" w:rsidP="00364A91">
      <w:r w:rsidRPr="00364A91">
        <w:t xml:space="preserve">En aborto diferido o huevo muerto retenido, el misoprostol también puede ser útil, aunque los resultados pueden diferir de los observados en aborto incompleto. Wu et al. (2017), en un metaanálisis en red de 18 estudios y 1,802 participantes, encontraron que los esquemas de dosis bajas tendían a ser menos efectivos para lograr aborto completo dentro de aproximadamente 24 horas. El misoprostol sublingual de 600 µg mostró mayor eficacia relativa en el análisis, mientras que el </w:t>
      </w:r>
      <w:r w:rsidRPr="00364A91">
        <w:lastRenderedPageBreak/>
        <w:t>misoprostol oral de 400 µg presentó menor rendimiento. La vía vaginal de 800 µg fue considerada una alternativa con eficacia favorable para la primera dosis.</w:t>
      </w:r>
    </w:p>
    <w:p w14:paraId="7F9334B7" w14:textId="77777777" w:rsidR="00364A91" w:rsidRPr="00364A91" w:rsidRDefault="00364A91" w:rsidP="00364A91">
      <w:r w:rsidRPr="00364A91">
        <w:t>Los resultados de Wu et al. (2017) también muestran que la eficacia debe interpretarse junto con la tolerabilidad. Los regímenes sublinguales, especialmente en dosis mayores, pueden asociarse con más efectos adversos sistémicos, mientras que algunas pautas vaginales pueden presentar mejor tolerabilidad. Por ello, no existe una sola dosis o vía universalmente superior para todos los escenarios de pérdida gestacional temprana. La selección debe depender del diagnóstico, de la edad gestacional, de la condición clínica, de la disponibilidad local y de la capacidad de seguimiento.</w:t>
      </w:r>
    </w:p>
    <w:p w14:paraId="4D5A5B8C" w14:textId="77777777" w:rsidR="00364A91" w:rsidRPr="00364A91" w:rsidRDefault="00364A91" w:rsidP="00364A91">
      <w:r w:rsidRPr="00364A91">
        <w:t>El momento de evaluación influye de manera importante en la estimación de eficacia. Un esquema puede parecer menos efectivo si la resolución se valora dentro de las primeras 24 horas, en comparación con una evaluación realizada varios días después. Asimismo, algunos estudios consideran fracaso la persistencia de restos ecográficos, mientras que otros priorizan síntomas, sangrado, estabilidad clínica o necesidad de aspiración. Esta heterogeneidad metodológica explica por qué las tasas de éxito pueden variar considerablemente entre estudios, incluso cuando se utilizan dosis similares de misoprostol (Raghavan &amp; Bynum, 2009; Wu et al., 2017).</w:t>
      </w:r>
    </w:p>
    <w:p w14:paraId="1E76E87F" w14:textId="77777777" w:rsidR="00364A91" w:rsidRPr="00364A91" w:rsidRDefault="00364A91" w:rsidP="00364A91">
      <w:r w:rsidRPr="00364A91">
        <w:t>La necesidad de intervención adicional representa un desenlace clínico relevante. Puede incluir aspiración manual endouterina, aspiración eléctrica, legrado instrumental o intervención urgente por sangrado persistente, infección, dolor no controlado o preferencia de la paciente. La decisión de realizar evacuación posterior no debe basarse únicamente en el grosor endometrial o en hallazgos ecográficos aislados, sino en la condición clínica, el sangrado, la presencia de signos de infección y la evolución general de la paciente (Raghavan &amp; Bynum, 2009; Mehra et al., 2024).</w:t>
      </w:r>
    </w:p>
    <w:p w14:paraId="52C2136C" w14:textId="77777777" w:rsidR="00364A91" w:rsidRPr="00364A91" w:rsidRDefault="00364A91" w:rsidP="00364A91">
      <w:r w:rsidRPr="00364A91">
        <w:t xml:space="preserve">La ecografía puede ser útil para evaluar la presencia de saco gestacional, restos intrauterinos o cambios posteriores al tratamiento. Sin embargo, la persistencia de engrosamiento endometrial no necesariamente implica fracaso del manejo ni obliga </w:t>
      </w:r>
      <w:r w:rsidRPr="00364A91">
        <w:lastRenderedPageBreak/>
        <w:t>por sí sola a realizar evacuación quirúrgica. El seguimiento debe integrar síntomas, signos vitales, evolución del sangrado, dolor, hallazgos ecográficos cuando estén indicados y preferencias de la paciente. Este enfoque permite evitar intervenciones innecesarias sin retrasar el manejo de complicaciones reales (Raghavan &amp; Bynum, 2009).</w:t>
      </w:r>
    </w:p>
    <w:p w14:paraId="7A6FF46A" w14:textId="77777777" w:rsidR="00364A91" w:rsidRPr="00364A91" w:rsidRDefault="00364A91" w:rsidP="00364A91">
      <w:r w:rsidRPr="00364A91">
        <w:t>La seguridad del manejo médico depende también de la calidad de la consejería. Las pacientes deben recibir información sobre el patrón esperado de sangrado, cólicos y expulsión de tejido; las medidas disponibles para control del dolor; la posibilidad de requerir intervención posterior; y los signos de alarma, como sangrado abundante, fiebre persistente, dolor intenso, síncope, debilidad marcada o secreción maloliente. Una orientación clara mejora la capacidad de la paciente para reconocer complicaciones y buscar atención a tiempo (Mehra et al., 2024; Raghavan &amp; Bynum, 2009).</w:t>
      </w:r>
    </w:p>
    <w:p w14:paraId="34009313" w14:textId="77777777" w:rsidR="00364A91" w:rsidRPr="00364A91" w:rsidRDefault="00364A91" w:rsidP="00364A91">
      <w:r w:rsidRPr="00364A91">
        <w:t>Los resultados clínicos relevantes para evaluar misoprostol incluyen el éxito del manejo, la necesidad de intervención adicional, el tiempo hasta la resolución, la frecuencia de sangrado significativo, dolor, náuseas, vómitos, diarrea, fiebre, infección, hospitalización, transfusión y satisfacción de las pacientes. La revisión de estos desenlaces permite una valoración más completa que la simple tasa de evacuación uterina. En particular, un tratamiento puede presentar alta efectividad, pero asociarse con mayor necesidad de analgesia o un tiempo más prolongado hasta la resolución, aspectos que deben considerarse durante la toma de decisiones clínicas (Al Wattar et al., 2019; Mehra et al., 2024).</w:t>
      </w:r>
    </w:p>
    <w:p w14:paraId="15171074" w14:textId="77777777" w:rsidR="00364A91" w:rsidRPr="00364A91" w:rsidRDefault="00364A91" w:rsidP="00364A91">
      <w:r w:rsidRPr="00364A91">
        <w:t>En América Latina, la evaluación del misoprostol tiene especial importancia debido a la diversidad de sistemas de salud, disponibilidad variable de procedimientos de evacuación uterina y diferencias en protocolos institucionales. La evidencia regional puede contribuir a contextualizar la efectividad y seguridad del medicamento según las condiciones reales de atención. No obstante, los resultados deben interpretarse considerando los diseños de los estudios, las dosis utilizadas, las vías de administración, los diagnósticos incluidos y la definición de éxito empleada en cada investigación.</w:t>
      </w:r>
    </w:p>
    <w:p w14:paraId="30DEEFBC" w14:textId="675545DF" w:rsidR="00364A91" w:rsidRPr="00364A91" w:rsidRDefault="00364A91" w:rsidP="00364A91">
      <w:pPr>
        <w:pStyle w:val="Ttulo2"/>
      </w:pPr>
      <w:bookmarkStart w:id="25" w:name="_Toc232986995"/>
      <w:r w:rsidRPr="00364A91">
        <w:lastRenderedPageBreak/>
        <w:t xml:space="preserve">Normas y </w:t>
      </w:r>
      <w:r>
        <w:t>guías</w:t>
      </w:r>
      <w:r w:rsidRPr="00364A91">
        <w:t xml:space="preserve"> del Ministerio de Salud de Nicaragua: Normativa 109</w:t>
      </w:r>
      <w:bookmarkEnd w:id="25"/>
    </w:p>
    <w:p w14:paraId="739FBE9C" w14:textId="77777777" w:rsidR="00364A91" w:rsidRPr="00364A91" w:rsidRDefault="00364A91" w:rsidP="00364A91">
      <w:r w:rsidRPr="00364A91">
        <w:t>La Normativa 109 del Ministerio de Salud de Nicaragua establece lineamientos para la atención de complicaciones obstétricas en unidades públicas y privadas del país. Su propósito es estandarizar el abordaje diagnóstico y terapéutico, integrar intervenciones basadas en evidencia y garantizar atención de acuerdo con el nivel de capacidad resolutiva de cada establecimiento. La normativa incluye el abordaje de hemorragias de la primera mitad del embarazo, dentro de las cuales se contempla la atención del aborto y sus posibles complicaciones (MINSA, 2018).</w:t>
      </w:r>
    </w:p>
    <w:p w14:paraId="5260532B" w14:textId="77777777" w:rsidR="00364A91" w:rsidRPr="00364A91" w:rsidRDefault="00364A91" w:rsidP="00364A91">
      <w:r w:rsidRPr="00364A91">
        <w:t>La normativa señala que toda paciente con una complicación obstétrica debe ser evaluada de manera oportuna, con énfasis en la identificación de signos de gravedad, estabilización inicial y referencia adecuada cuando la unidad de salud no disponga de personal, equipo o insumos necesarios. En el primer contacto, la prioridad es reconocer la inestabilidad hemodinámica, asegurar acceso venoso cuando corresponda, vigilar signos vitales, iniciar reposición de líquidos si existe compromiso circulatorio y coordinar la referencia según la capacidad resolutiva requerida (MINSA, 2018).</w:t>
      </w:r>
    </w:p>
    <w:p w14:paraId="5463730F" w14:textId="77777777" w:rsidR="00364A91" w:rsidRPr="00364A91" w:rsidRDefault="00364A91" w:rsidP="00364A91">
      <w:r w:rsidRPr="00364A91">
        <w:t>En mujeres con aborto incompleto o sangrado asociado a pérdida gestacional, la Normativa 109 prioriza la evacuación uterina oportuna cuando está indicada. La aspiración manual endouterina es el procedimiento preferido para evacuación uterina, mientras que el legrado instrumental se reserva para situaciones donde no se disponga de AMEU. Esta prioridad responde a la necesidad de resolver el sangrado, disminuir el riesgo de infección y evitar la progresión hacia complicaciones obstétricas graves (MINSA, 2018).</w:t>
      </w:r>
    </w:p>
    <w:p w14:paraId="0641E982" w14:textId="77777777" w:rsidR="00364A91" w:rsidRPr="00364A91" w:rsidRDefault="00364A91" w:rsidP="00364A91">
      <w:r w:rsidRPr="00364A91">
        <w:t xml:space="preserve">Cuando la evacuación no es posible de inmediato o se requiere manejo médico, la normativa contempla el uso de misoprostol en embarazos de hasta 12 semanas. Entre las opciones descritas se encuentra la administración vaginal de 800 µg y la repetición de 600 a 800 µg cada cuatro horas hasta completar tres dosis consecutivas si no existe respuesta terapéutica. También se menciona el uso sublingual de 400 a 600 µg cada cuatro horas, con un máximo de tres dosis. Estas </w:t>
      </w:r>
      <w:r w:rsidRPr="00364A91">
        <w:lastRenderedPageBreak/>
        <w:t>pautas deben aplicarse en el contexto de evaluación clínica, vigilancia y acceso a intervención adicional cuando sea necesaria (MINSA, 2018).</w:t>
      </w:r>
    </w:p>
    <w:p w14:paraId="29A7D8A6" w14:textId="77777777" w:rsidR="00364A91" w:rsidRPr="00364A91" w:rsidRDefault="00364A91" w:rsidP="00364A91">
      <w:r w:rsidRPr="00364A91">
        <w:t>La normativa recomienda la realización de ultrasonido pélvico o transvaginal después del manejo médico para valorar ausencia de restos ovulares, cuando este recurso esté disponible y sea clínicamente pertinente. Sin embargo, la interpretación del seguimiento debe realizarse junto con la condición clínica de la paciente y no exclusivamente a partir de un hallazgo ecográfico aislado. La evolución del sangrado, el dolor, los signos vitales y la presencia de síntomas sugestivos de infección continúan siendo elementos fundamentales para definir la necesidad de intervención adicional (MINSA, 2018; Raghavan &amp; Bynum, 2009).</w:t>
      </w:r>
    </w:p>
    <w:p w14:paraId="272F2987" w14:textId="77777777" w:rsidR="00364A91" w:rsidRPr="00364A91" w:rsidRDefault="00364A91" w:rsidP="00364A91">
      <w:r w:rsidRPr="00364A91">
        <w:t>En los casos de aborto séptico, la Normativa 109 establece la necesidad de estabilización inicial, inicio precoz de antibióticos de amplio espectro, vigilancia estrecha y referencia a unidades con mayor capacidad resolutiva cuando corresponda. El tratamiento debe incluir control del foco infeccioso mediante evacuación uterina una vez que la paciente se encuentre clínicamente estabilizada. La atención rápida es esencial porque la infección uterina puede evolucionar hacia sepsis, choque séptico, falla orgánica y muerte materna si no se trata de forma oportuna (MINSA, 2018).</w:t>
      </w:r>
    </w:p>
    <w:p w14:paraId="5758F5FC" w14:textId="77777777" w:rsidR="00364A91" w:rsidRPr="00364A91" w:rsidRDefault="00364A91" w:rsidP="00364A91">
      <w:r w:rsidRPr="00364A91">
        <w:t>La Normativa 109 también enfatiza la referencia y contrarreferencia de pacientes según la capacidad de resolución de cada unidad. Esto es relevante para el manejo médico con misoprostol, ya que la seguridad no depende únicamente de la administración del medicamento, sino de la posibilidad de evaluar la respuesta, reconocer complicaciones y disponer de aspiración uterina, transfusión o atención hospitalaria cuando sea necesario. Por tanto, el uso del misoprostol debe integrarse a una red de atención organizada y no considerarse como una intervención aislada (MINSA, 2018).</w:t>
      </w:r>
    </w:p>
    <w:p w14:paraId="2FCD3238" w14:textId="6E0C61D0" w:rsidR="0032432F" w:rsidRDefault="0032432F" w:rsidP="002101D1">
      <w:pPr>
        <w:rPr>
          <w:lang w:val="es-NI"/>
        </w:rPr>
      </w:pPr>
    </w:p>
    <w:p w14:paraId="6C114FBD" w14:textId="36A20D8B" w:rsidR="0032432F" w:rsidRDefault="0032432F" w:rsidP="002101D1">
      <w:pPr>
        <w:rPr>
          <w:lang w:val="es-NI"/>
        </w:rPr>
      </w:pPr>
    </w:p>
    <w:p w14:paraId="01EE4F70" w14:textId="385A969A" w:rsidR="0032432F" w:rsidRDefault="0032432F" w:rsidP="002101D1">
      <w:pPr>
        <w:rPr>
          <w:lang w:val="es-NI"/>
        </w:rPr>
      </w:pPr>
    </w:p>
    <w:p w14:paraId="4CE4D309" w14:textId="329EFBDB" w:rsidR="00CE5837" w:rsidRPr="00B8712F" w:rsidRDefault="00B8712F" w:rsidP="00B8712F">
      <w:pPr>
        <w:pStyle w:val="Ttulo1"/>
        <w:rPr>
          <w:lang w:val="es-NI"/>
        </w:rPr>
      </w:pPr>
      <w:bookmarkStart w:id="26" w:name="_Toc223034657"/>
      <w:bookmarkStart w:id="27" w:name="_Toc232986996"/>
      <w:r w:rsidRPr="00B8712F">
        <w:rPr>
          <w:lang w:val="es-NI"/>
        </w:rPr>
        <w:lastRenderedPageBreak/>
        <w:t>Hipótesis</w:t>
      </w:r>
      <w:bookmarkEnd w:id="26"/>
      <w:bookmarkEnd w:id="27"/>
    </w:p>
    <w:p w14:paraId="0CAC8C2C" w14:textId="75FB0396" w:rsidR="002F0F88" w:rsidRPr="00B8712F" w:rsidRDefault="002F0F88" w:rsidP="002F0F88">
      <w:pPr>
        <w:rPr>
          <w:lang w:val="es-NI"/>
        </w:rPr>
      </w:pPr>
      <w:r w:rsidRPr="00B8712F">
        <w:rPr>
          <w:lang w:val="es-NI"/>
        </w:rPr>
        <w:t>H1: El uso de misoprostol como tratamiento médico del aborto espontáneo del primer trimestre en mujeres de América Latina se asociará con una probabilidad de resolución uterina completa sin necesidad de intervención adicional comparable o superior a la observada con otras estrategias de manejo, como el tratamiento quirúrgico o el manejo expectante.</w:t>
      </w:r>
    </w:p>
    <w:p w14:paraId="30CA122A" w14:textId="1A381E9C" w:rsidR="00CE5837" w:rsidRPr="00B8712F" w:rsidRDefault="002F0F88" w:rsidP="002F0F88">
      <w:pPr>
        <w:rPr>
          <w:lang w:val="es-NI"/>
        </w:rPr>
      </w:pPr>
      <w:r w:rsidRPr="00B8712F">
        <w:rPr>
          <w:lang w:val="es-NI"/>
        </w:rPr>
        <w:t>H0: El uso de misoprostol como tratamiento médico del aborto espontáneo del primer trimestre en mujeres de América Latina no se asociará con diferencias significativas en la probabilidad de resolución uterina completa sin necesidad de intervención adicional en comparación con otras estrategias de manejo, como el tratamiento quirúrgico o el manejo expectante.</w:t>
      </w:r>
    </w:p>
    <w:p w14:paraId="5327B192" w14:textId="77777777" w:rsidR="00CE5837" w:rsidRPr="00B8712F" w:rsidRDefault="00CE5837" w:rsidP="00CE5837">
      <w:pPr>
        <w:rPr>
          <w:lang w:val="es-NI"/>
        </w:rPr>
      </w:pPr>
    </w:p>
    <w:p w14:paraId="34D3FF7D" w14:textId="77777777" w:rsidR="00CE5837" w:rsidRPr="00B8712F" w:rsidRDefault="00CE5837" w:rsidP="00CE5837">
      <w:pPr>
        <w:rPr>
          <w:lang w:val="es-NI"/>
        </w:rPr>
      </w:pPr>
    </w:p>
    <w:p w14:paraId="43FD22E5" w14:textId="77777777" w:rsidR="00CE5837" w:rsidRPr="00B8712F" w:rsidRDefault="00CE5837" w:rsidP="00CE5837">
      <w:pPr>
        <w:rPr>
          <w:lang w:val="es-NI"/>
        </w:rPr>
      </w:pPr>
    </w:p>
    <w:p w14:paraId="613085C7" w14:textId="77777777" w:rsidR="00CE5837" w:rsidRPr="00B8712F" w:rsidRDefault="00CE5837" w:rsidP="00CE5837">
      <w:pPr>
        <w:rPr>
          <w:lang w:val="es-NI"/>
        </w:rPr>
      </w:pPr>
    </w:p>
    <w:p w14:paraId="1D89144A" w14:textId="77777777" w:rsidR="00CE5837" w:rsidRPr="00B8712F" w:rsidRDefault="00CE5837" w:rsidP="00CE5837">
      <w:pPr>
        <w:rPr>
          <w:lang w:val="es-NI"/>
        </w:rPr>
      </w:pPr>
    </w:p>
    <w:p w14:paraId="2EDC0B10" w14:textId="77777777" w:rsidR="00CE5837" w:rsidRPr="00B8712F" w:rsidRDefault="00CE5837" w:rsidP="00CE5837">
      <w:pPr>
        <w:rPr>
          <w:lang w:val="es-NI"/>
        </w:rPr>
      </w:pPr>
    </w:p>
    <w:p w14:paraId="4AA136C9" w14:textId="77777777" w:rsidR="00CE5837" w:rsidRPr="00B8712F" w:rsidRDefault="00CE5837" w:rsidP="00CE5837">
      <w:pPr>
        <w:rPr>
          <w:lang w:val="es-NI"/>
        </w:rPr>
      </w:pPr>
    </w:p>
    <w:p w14:paraId="25BF8BEC" w14:textId="77777777" w:rsidR="00CE5837" w:rsidRPr="00B8712F" w:rsidRDefault="00CE5837" w:rsidP="00CE5837">
      <w:pPr>
        <w:rPr>
          <w:lang w:val="es-NI"/>
        </w:rPr>
      </w:pPr>
    </w:p>
    <w:p w14:paraId="40679A7A" w14:textId="77777777" w:rsidR="00CE5837" w:rsidRPr="00B8712F" w:rsidRDefault="00CE5837" w:rsidP="00CE5837">
      <w:pPr>
        <w:rPr>
          <w:lang w:val="es-NI"/>
        </w:rPr>
      </w:pPr>
    </w:p>
    <w:p w14:paraId="619E0792" w14:textId="77777777" w:rsidR="00CE5837" w:rsidRPr="00B8712F" w:rsidRDefault="00CE5837" w:rsidP="00CE5837">
      <w:pPr>
        <w:rPr>
          <w:lang w:val="es-NI"/>
        </w:rPr>
      </w:pPr>
    </w:p>
    <w:p w14:paraId="0695504C" w14:textId="77777777" w:rsidR="00CE5837" w:rsidRPr="00B8712F" w:rsidRDefault="00CE5837" w:rsidP="00CE5837">
      <w:pPr>
        <w:rPr>
          <w:lang w:val="es-NI"/>
        </w:rPr>
      </w:pPr>
    </w:p>
    <w:p w14:paraId="2936286F" w14:textId="5C54E3D0" w:rsidR="00CE5837" w:rsidRDefault="00CE5837" w:rsidP="00CE5837">
      <w:pPr>
        <w:rPr>
          <w:lang w:val="es-NI"/>
        </w:rPr>
      </w:pPr>
    </w:p>
    <w:p w14:paraId="2DF9AF4A" w14:textId="3DE3D925" w:rsidR="003728A7" w:rsidRPr="00000A5F" w:rsidRDefault="00B8712F" w:rsidP="00000A5F">
      <w:pPr>
        <w:pStyle w:val="Ttulo1"/>
        <w:rPr>
          <w:lang w:val="es-NI"/>
        </w:rPr>
      </w:pPr>
      <w:bookmarkStart w:id="28" w:name="_Toc223034658"/>
      <w:bookmarkStart w:id="29" w:name="_Toc232986997"/>
      <w:r w:rsidRPr="00B8712F">
        <w:rPr>
          <w:lang w:val="es-NI"/>
        </w:rPr>
        <w:lastRenderedPageBreak/>
        <w:t>Diseño metodológico</w:t>
      </w:r>
      <w:bookmarkEnd w:id="28"/>
      <w:bookmarkEnd w:id="29"/>
    </w:p>
    <w:p w14:paraId="5EC67868" w14:textId="77777777" w:rsidR="003728A7" w:rsidRPr="00000A5F" w:rsidRDefault="003728A7" w:rsidP="00000A5F">
      <w:pPr>
        <w:pStyle w:val="Ttulo2"/>
      </w:pPr>
      <w:bookmarkStart w:id="30" w:name="_Toc232986998"/>
      <w:r w:rsidRPr="00000A5F">
        <w:t>Formato de reporte</w:t>
      </w:r>
      <w:bookmarkEnd w:id="30"/>
    </w:p>
    <w:p w14:paraId="7F061567"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realizó una revisión sistemática de la literatura con metaanálisis, orientada a sintetizar la evidencia disponible sobre los resultados clínicos del uso de misoprostol en el manejo del aborto espontáneo o incompleto del primer trimestre en mujeres de América Latina. El estudio se centró principalmente en estimar la proporción de éxito del manejo con misoprostol, entendida según el criterio reportado por cada estudio, generalmente como evacuación uterina completa, expulsión completa o ausencia de necesidad de intervención adicional.</w:t>
      </w:r>
    </w:p>
    <w:p w14:paraId="277018A4" w14:textId="46125A29" w:rsidR="003728A7" w:rsidRPr="00000A5F" w:rsidRDefault="003728A7" w:rsidP="00000A5F">
      <w:pPr>
        <w:pStyle w:val="NormalWeb"/>
        <w:spacing w:line="360" w:lineRule="auto"/>
        <w:jc w:val="both"/>
        <w:rPr>
          <w:rFonts w:ascii="Arial" w:hAnsi="Arial" w:cs="Arial"/>
        </w:rPr>
      </w:pPr>
      <w:r w:rsidRPr="00000A5F">
        <w:rPr>
          <w:rFonts w:ascii="Arial" w:hAnsi="Arial" w:cs="Arial"/>
        </w:rPr>
        <w:t>La revisión se desarrolló y reportó tomando como referencia las recomendaciones de la declaración PRISMA 2020 (</w:t>
      </w:r>
      <w:r w:rsidRPr="00000A5F">
        <w:rPr>
          <w:rStyle w:val="nfasis"/>
          <w:rFonts w:ascii="Arial" w:hAnsi="Arial" w:cs="Arial"/>
        </w:rPr>
        <w:t>Preferred Reporting Items for Systematic Reviews and Meta-Analyses</w:t>
      </w:r>
      <w:r w:rsidRPr="00000A5F">
        <w:rPr>
          <w:rFonts w:ascii="Arial" w:hAnsi="Arial" w:cs="Arial"/>
        </w:rPr>
        <w:t>)</w:t>
      </w:r>
      <w:r w:rsidR="00BB70D8">
        <w:rPr>
          <w:rFonts w:ascii="Arial" w:hAnsi="Arial" w:cs="Arial"/>
        </w:rPr>
        <w:t xml:space="preserve"> (</w:t>
      </w:r>
      <w:r w:rsidR="00BB70D8" w:rsidRPr="00BB70D8">
        <w:rPr>
          <w:rFonts w:ascii="Arial" w:hAnsi="Arial" w:cs="Arial"/>
        </w:rPr>
        <w:t>Page</w:t>
      </w:r>
      <w:r w:rsidR="00BB70D8">
        <w:rPr>
          <w:rFonts w:ascii="Arial" w:hAnsi="Arial" w:cs="Arial"/>
        </w:rPr>
        <w:t xml:space="preserve"> et al, 2021)</w:t>
      </w:r>
      <w:r w:rsidRPr="00000A5F">
        <w:rPr>
          <w:rFonts w:ascii="Arial" w:hAnsi="Arial" w:cs="Arial"/>
        </w:rPr>
        <w:t>. Estas directrices orientaron la identificación de estudios, el proceso de cribado, la evaluación de elegibilidad, la selección final de documentos y la presentación de los resultados mediante un diagrama de flujo.</w:t>
      </w:r>
    </w:p>
    <w:p w14:paraId="126E07C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definieron previamente la pregunta de investigación, los objetivos, la población de interés, la intervención, los desenlaces clínicos y los criterios de elegibilidad. Asimismo, se establecieron las fuentes de información, las estrategias de búsqueda, el procedimiento de selección de estudios, la extracción de datos, la evaluación de la calidad metodológica y los métodos de síntesis.</w:t>
      </w:r>
    </w:p>
    <w:p w14:paraId="222BFEC2" w14:textId="5732A050"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Durante el desarrollo de la revisión se consideraron orientaciones metodológicas del </w:t>
      </w:r>
      <w:r w:rsidRPr="00000A5F">
        <w:rPr>
          <w:rStyle w:val="nfasis"/>
          <w:rFonts w:ascii="Arial" w:hAnsi="Arial" w:cs="Arial"/>
        </w:rPr>
        <w:t>Cochrane Handbook for Systematic Reviews of Interventions</w:t>
      </w:r>
      <w:r w:rsidR="00BB70D8">
        <w:rPr>
          <w:rStyle w:val="nfasis"/>
          <w:rFonts w:ascii="Arial" w:hAnsi="Arial" w:cs="Arial"/>
        </w:rPr>
        <w:t xml:space="preserve"> </w:t>
      </w:r>
      <w:r w:rsidR="00BB70D8">
        <w:rPr>
          <w:rStyle w:val="nfasis"/>
          <w:rFonts w:ascii="Arial" w:hAnsi="Arial" w:cs="Arial"/>
          <w:i w:val="0"/>
          <w:iCs w:val="0"/>
        </w:rPr>
        <w:t>(</w:t>
      </w:r>
      <w:r w:rsidR="00BB70D8" w:rsidRPr="00BB70D8">
        <w:rPr>
          <w:rStyle w:val="nfasis"/>
          <w:rFonts w:ascii="Arial" w:hAnsi="Arial" w:cs="Arial"/>
          <w:i w:val="0"/>
          <w:iCs w:val="0"/>
        </w:rPr>
        <w:t>Cumpston</w:t>
      </w:r>
      <w:r w:rsidR="00BB70D8">
        <w:rPr>
          <w:rStyle w:val="nfasis"/>
          <w:rFonts w:ascii="Arial" w:hAnsi="Arial" w:cs="Arial"/>
          <w:i w:val="0"/>
          <w:iCs w:val="0"/>
        </w:rPr>
        <w:t xml:space="preserve"> et al, 2022)</w:t>
      </w:r>
      <w:r w:rsidRPr="00000A5F">
        <w:rPr>
          <w:rFonts w:ascii="Arial" w:hAnsi="Arial" w:cs="Arial"/>
        </w:rPr>
        <w:t>, especialmente para la valoración del riesgo de sesgo, la interpretación de la heterogeneidad y la síntesis de resultados. No obstante, los procedimientos se ajustaron al alcance de una revisión sistemática de pregrado y a las características de la evidencia disponible en América Latina.</w:t>
      </w:r>
    </w:p>
    <w:p w14:paraId="0CD9203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El informe final presentó el número de registros identificados, los documentos excluidos durante el cribado, los estudios evaluados en texto completo, las razones </w:t>
      </w:r>
      <w:r w:rsidRPr="00000A5F">
        <w:rPr>
          <w:rFonts w:ascii="Arial" w:hAnsi="Arial" w:cs="Arial"/>
        </w:rPr>
        <w:lastRenderedPageBreak/>
        <w:t>de exclusión y los estudios finalmente incluidos. Este proceso se representó mediante un diagrama de flujo PRISMA.</w:t>
      </w:r>
    </w:p>
    <w:p w14:paraId="00B47E66" w14:textId="77777777" w:rsidR="003728A7" w:rsidRPr="00000A5F" w:rsidRDefault="003728A7" w:rsidP="00000A5F">
      <w:pPr>
        <w:pStyle w:val="Ttulo2"/>
        <w:jc w:val="both"/>
        <w:rPr>
          <w:rFonts w:cs="Arial"/>
          <w:szCs w:val="24"/>
        </w:rPr>
      </w:pPr>
      <w:bookmarkStart w:id="31" w:name="_Toc232986999"/>
      <w:r w:rsidRPr="00000A5F">
        <w:rPr>
          <w:rFonts w:cs="Arial"/>
          <w:szCs w:val="24"/>
        </w:rPr>
        <w:t>Criterios de elegibilidad</w:t>
      </w:r>
      <w:bookmarkEnd w:id="31"/>
    </w:p>
    <w:p w14:paraId="2761C1EF"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Los criterios de elegibilidad fueron definidos para seleccionar estudios que aportaran información sobre los resultados clínicos del uso de misoprostol en el manejo del aborto espontáneo, aborto incompleto, aborto diferido, huevo muerto retenido, embarazo anembrionado o pérdida gestacional no viable durante el primer trimestre en países de América Latina.</w:t>
      </w:r>
    </w:p>
    <w:p w14:paraId="6C59AE1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incluyeron estudios comparativos y no comparativos, debido a que el objetivo de la revisión contemplaba tanto la descripción global de los resultados clínicos del misoprostol como, cuando los datos lo permitieran, la comparación con otras estrategias de manejo. La inclusión de estudios sin comparador permitió estimar la frecuencia de éxito del manejo médico en contextos regionales donde la evidencia comparativa era limitada.</w:t>
      </w:r>
    </w:p>
    <w:p w14:paraId="47796E08" w14:textId="77777777" w:rsidR="003728A7" w:rsidRPr="00000A5F" w:rsidRDefault="003728A7" w:rsidP="00000A5F">
      <w:pPr>
        <w:pStyle w:val="Ttulo3"/>
        <w:rPr>
          <w:rFonts w:cs="Arial"/>
        </w:rPr>
      </w:pPr>
      <w:bookmarkStart w:id="32" w:name="_Toc232987000"/>
      <w:r w:rsidRPr="00000A5F">
        <w:rPr>
          <w:rFonts w:cs="Arial"/>
        </w:rPr>
        <w:t>Criterios de inclusión</w:t>
      </w:r>
      <w:bookmarkEnd w:id="32"/>
    </w:p>
    <w:p w14:paraId="187F02E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incluyeron estudios que cumplieron con las siguientes características:</w:t>
      </w:r>
    </w:p>
    <w:p w14:paraId="5B9EEACC"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Ensayos clínicos aleatorizados, estudios observacionales analíticos, cohortes, estudios prospectivos, estudios retrospectivos, estudios transversales, estudios comparativos y tesis académicas con información clínica suficiente.</w:t>
      </w:r>
    </w:p>
    <w:p w14:paraId="7AA28B9E"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Mujeres con diagnóstico de aborto espontáneo, aborto incompleto, aborto diferido, huevo muerto retenido, embarazo anembrionado o pérdida gestacional temprana durante el primer trimestre.</w:t>
      </w:r>
    </w:p>
    <w:p w14:paraId="48D321BC"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Estudios realizados en países de América Latina y el Caribe.</w:t>
      </w:r>
    </w:p>
    <w:p w14:paraId="66C21484"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Uso de misoprostol como tratamiento médico, independientemente de la dosis, vía de administración, intervalo entre dosis o esquema terapéutico empleado.</w:t>
      </w:r>
    </w:p>
    <w:p w14:paraId="3E9A0962"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lastRenderedPageBreak/>
        <w:t>Estudios que compararan misoprostol con manejo quirúrgico, manejo expectante u otra estrategia terapéutica, así como estudios sin comparador que reportaran resultados clínicos directamente atribuibles al manejo con misoprostol.</w:t>
      </w:r>
    </w:p>
    <w:p w14:paraId="3666D0FD"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Estudios que reportaran uno o más desenlaces clínicos relevantes: evacuación uterina completa, expulsión completa, éxito o fracaso del manejo médico, necesidad de procedimiento adicional, necesidad de evacuación quirúrgica posterior, tiempo hasta la resolución, complicaciones maternas, eventos adversos, sangrado, dolor, infección, hospitalización o satisfacción de las pacientes.</w:t>
      </w:r>
    </w:p>
    <w:p w14:paraId="216C5254"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Artículos publicados en revistas científicas y literatura académica, incluidas tesis, que proporcionaran información suficiente para describir los resultados clínicos o calcular la proporción de éxito del manejo con misoprostol.</w:t>
      </w:r>
    </w:p>
    <w:p w14:paraId="539F20E1" w14:textId="77777777" w:rsidR="003728A7" w:rsidRPr="00000A5F" w:rsidRDefault="003728A7" w:rsidP="00000A5F">
      <w:pPr>
        <w:pStyle w:val="NormalWeb"/>
        <w:numPr>
          <w:ilvl w:val="0"/>
          <w:numId w:val="7"/>
        </w:numPr>
        <w:spacing w:line="360" w:lineRule="auto"/>
        <w:jc w:val="both"/>
        <w:rPr>
          <w:rFonts w:ascii="Arial" w:hAnsi="Arial" w:cs="Arial"/>
        </w:rPr>
      </w:pPr>
      <w:r w:rsidRPr="00000A5F">
        <w:rPr>
          <w:rFonts w:ascii="Arial" w:hAnsi="Arial" w:cs="Arial"/>
        </w:rPr>
        <w:t>Estudios publicados entre el 1 de enero de 2010 y el 31 de mayo de 2026, sin restricción de idioma.</w:t>
      </w:r>
    </w:p>
    <w:p w14:paraId="1ABD32B4" w14:textId="77777777" w:rsidR="003728A7" w:rsidRPr="00000A5F" w:rsidRDefault="003728A7" w:rsidP="00000A5F">
      <w:pPr>
        <w:pStyle w:val="Ttulo3"/>
        <w:rPr>
          <w:rFonts w:cs="Arial"/>
        </w:rPr>
      </w:pPr>
      <w:bookmarkStart w:id="33" w:name="_Toc232987001"/>
      <w:r w:rsidRPr="00000A5F">
        <w:rPr>
          <w:rFonts w:cs="Arial"/>
        </w:rPr>
        <w:t>Criterios de exclusión</w:t>
      </w:r>
      <w:bookmarkEnd w:id="33"/>
    </w:p>
    <w:p w14:paraId="674EEA7F"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excluyeron revisiones sistemáticas, metaanálisis, editoriales, cartas al editor, comentarios, reportes de caso y series de casos sin información suficiente para el análisis de los desenlaces definidos.</w:t>
      </w:r>
    </w:p>
    <w:p w14:paraId="5986F27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También se excluyeron estudios realizados fuera de América Latina, investigaciones que no incluyeran mujeres con aborto espontáneo o pérdida gestacional del primer trimestre, y estudios relacionados con otras indicaciones obstétricas o ginecológicas del misoprostol, como inducción del trabajo de parto, hemorragia posparto o maduración cervical previa a procedimientos quirúrgicos.</w:t>
      </w:r>
    </w:p>
    <w:p w14:paraId="290F8689"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excluyeron igualmente los estudios en los que el misoprostol se utilizó únicamente como preparación cervical antes de una evacuación quirúrgica, ya que no evaluaban el medicamento como tratamiento médico definitivo para lograr la resolución del aborto espontáneo.</w:t>
      </w:r>
    </w:p>
    <w:p w14:paraId="53A8F30F"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lastRenderedPageBreak/>
        <w:t>No se incluyeron publicaciones duplicadas o superpuestas derivadas de un mismo estudio. Cuando se identificaron informes múltiples de una misma investigación, se conservó la versión más completa, con mayor información sobre la población, el tratamiento y los desenlaces clínicos.</w:t>
      </w:r>
    </w:p>
    <w:p w14:paraId="1381769F"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Finalmente, se excluyeron los estudios que, aun evaluando misoprostol, no permitían identificar de manera suficiente el número de mujeres tratadas, el número de éxitos o fallos, el desenlace clínico evaluado o la necesidad de intervención adicional. Esta información era necesaria para incorporarlos a la síntesis narrativa o al metaanálisis de proporciones.</w:t>
      </w:r>
    </w:p>
    <w:p w14:paraId="68B06203" w14:textId="77777777" w:rsidR="003728A7" w:rsidRPr="00000A5F" w:rsidRDefault="003728A7" w:rsidP="00000A5F">
      <w:pPr>
        <w:pStyle w:val="Ttulo2"/>
        <w:jc w:val="both"/>
        <w:rPr>
          <w:rFonts w:cs="Arial"/>
          <w:szCs w:val="24"/>
        </w:rPr>
      </w:pPr>
      <w:bookmarkStart w:id="34" w:name="_Toc232987002"/>
      <w:r w:rsidRPr="00000A5F">
        <w:rPr>
          <w:rFonts w:cs="Arial"/>
          <w:szCs w:val="24"/>
        </w:rPr>
        <w:t>Fuentes de información y estrategia de búsqueda</w:t>
      </w:r>
      <w:bookmarkEnd w:id="34"/>
    </w:p>
    <w:p w14:paraId="51AD0C64"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realizó una búsqueda estructurada en cinco fuentes de información: PubMed, LILACS Plus, SciELO, Redalyc y Google Scholar. PubMed, LILACS, SciELO y Redalyc fueron utilizadas para localizar artículos científicos publicados, mientras que Google Scholar se empleó principalmente para identificar tesis, trabajos de titulación, disertaciones y otros documentos académicos relevantes no indexados en las bases bibliográficas convencionales.</w:t>
      </w:r>
    </w:p>
    <w:p w14:paraId="76C14978"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búsqueda se realizó para estudios publicados entre el 1 de enero de 2010 y el 31 de mayo de 2026. No se aplicaron restricciones de idioma. La estrategia combinó términos controlados, términos libres y operadores booleanos relacionados con misoprostol, aborto espontáneo, aborto incompleto, aborto del primer trimestre, pérdida gestacional temprana y países de América Latina.</w:t>
      </w:r>
    </w:p>
    <w:p w14:paraId="702C6512"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PubMed se utilizaron términos MeSH y palabras clave relacionadas con misoprostol, aborto espontáneo, aborto incompleto, primer trimestre y países de América Latina y el Caribe. En LILACS, SciELO y Redalyc se emplearon términos en español, inglés y portugués, de acuerdo con el idioma predominante de cada fuente. En Google Scholar se incorporaron términos adicionales relacionados con tesis, trabajos de grado, disertaciones y universidades, con el propósito de recuperar literatura académica regional.</w:t>
      </w:r>
    </w:p>
    <w:p w14:paraId="722E53B4"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lastRenderedPageBreak/>
        <w:t>La búsqueda recuperó 962 registros: PubMed aportó 9 registros, LILACS Plus 15, SciELO 14, Redalyc 74 y Google Scholar 850. Las estrategias completas de búsqueda, los términos utilizados y el número de registros identificados en cada fuente se presentan en el Anexo 1.</w:t>
      </w:r>
    </w:p>
    <w:p w14:paraId="764E1D71"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Además de la búsqueda electrónica, se revisaron las listas de referencias de estudios incluidos, revisiones sistemáticas y publicaciones relacionadas con el manejo médico del aborto espontáneo. Esta búsqueda complementaria tuvo como objetivo identificar investigaciones latinoamericanas que no hubieran sido recuperadas mediante las ecuaciones iniciales.</w:t>
      </w:r>
    </w:p>
    <w:p w14:paraId="2DCC7E6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No se realizó una búsqueda formal en registros de ensayos clínicos, debido a que el objetivo de la revisión fue sintetizar estudios con resultados disponibles y no identificar investigaciones en curso o no publicadas.</w:t>
      </w:r>
    </w:p>
    <w:p w14:paraId="1919DCC2" w14:textId="77777777" w:rsidR="003728A7" w:rsidRPr="00000A5F" w:rsidRDefault="003728A7" w:rsidP="00000A5F">
      <w:pPr>
        <w:pStyle w:val="Ttulo2"/>
        <w:jc w:val="both"/>
        <w:rPr>
          <w:rFonts w:cs="Arial"/>
          <w:szCs w:val="24"/>
        </w:rPr>
      </w:pPr>
      <w:bookmarkStart w:id="35" w:name="_Toc232987003"/>
      <w:r w:rsidRPr="00000A5F">
        <w:rPr>
          <w:rFonts w:cs="Arial"/>
          <w:szCs w:val="24"/>
        </w:rPr>
        <w:t>Proceso de selección de estudios</w:t>
      </w:r>
      <w:bookmarkEnd w:id="35"/>
    </w:p>
    <w:p w14:paraId="1036BFD1"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Los registros recuperados fueron organizados en una matriz de selección. Se eliminaron 78 registros duplicados antes del cribado, por lo que 884 documentos fueron evaluados mediante revisión de título y resumen.</w:t>
      </w:r>
    </w:p>
    <w:p w14:paraId="1F697764"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Durante el cribado se excluyeron 863 registros por no corresponder al tema de investigación, no incluir población de América Latina, evaluar otras condiciones obstétricas, no utilizar misoprostol como tratamiento médico definitivo, corresponder a revisiones o documentos no elegibles, o no presentar resultados clínicos relevantes para la revisión.</w:t>
      </w:r>
    </w:p>
    <w:p w14:paraId="2C15EF3A"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Posteriormente, 21 documentos fueron seleccionados para revisión en texto completo. De estos, se recuperaron 17 textos completos, correspondientes a ocho artículos publicados y nueve tesis. Cuatro documentos no pudieron ser recuperados porque correspondían a tesis con acceso limitado al resumen o sin disponibilidad del texto completo.</w:t>
      </w:r>
    </w:p>
    <w:p w14:paraId="60874AE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lastRenderedPageBreak/>
        <w:t>Los 17 documentos recuperados fueron evaluados en texto completo. Se excluyeron nueve documentos: seis tesis y tres artículos científicos. Las razones principales de exclusión fueron ausencia de datos utilizables sobre el éxito del manejo con misoprostol, falta de información sobre el número de mujeres tratadas o los desenlaces clínicos, uso de misoprostol como preparación cervical, publicaciones duplicadas o superpuestas, ausencia de pertinencia geográfica o clínica, y falta de comparabilidad con el objetivo de la revisión.</w:t>
      </w:r>
    </w:p>
    <w:p w14:paraId="4150662A"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Finalmente, se incluyeron ocho estudios: cinco artículos científicos y tres tesis. Los estudios incluidos aportaron información sobre éxito del manejo, evacuación uterina, expulsión completa, fracaso terapéutico, necesidad de intervención adicional, eventos adversos, complicaciones, dosis, vía de administración y tiempo de resolución.</w:t>
      </w:r>
    </w:p>
    <w:p w14:paraId="446C3D9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selección fue realizada por los autores mediante revisión de títulos, resúmenes y textos completos. Las discrepancias en la selección o clasificación de los estudios fueron discutidas hasta alcanzar consenso. Las razones de inclusión y exclusión de los estudios revisados se presentan en las Tablas suplementarias S1 y S2.</w:t>
      </w:r>
    </w:p>
    <w:p w14:paraId="078385A7" w14:textId="77777777" w:rsidR="003728A7" w:rsidRPr="00000A5F" w:rsidRDefault="003728A7" w:rsidP="00000A5F">
      <w:pPr>
        <w:pStyle w:val="Ttulo2"/>
        <w:jc w:val="both"/>
        <w:rPr>
          <w:rFonts w:cs="Arial"/>
          <w:szCs w:val="24"/>
        </w:rPr>
      </w:pPr>
      <w:bookmarkStart w:id="36" w:name="_Toc232987004"/>
      <w:r w:rsidRPr="00000A5F">
        <w:rPr>
          <w:rFonts w:cs="Arial"/>
          <w:szCs w:val="24"/>
        </w:rPr>
        <w:t>Extracción de datos</w:t>
      </w:r>
      <w:bookmarkEnd w:id="36"/>
    </w:p>
    <w:p w14:paraId="5BAB0932"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utilizó una matriz estructurada para recopilar la información de los estudios incluidos. La matriz fue elaborada de acuerdo con los objetivos de la revisión, los desenlaces clínicos definidos y las características de los estudios encontrados. Su estructura se presenta en el Anexo 2.</w:t>
      </w:r>
    </w:p>
    <w:p w14:paraId="4B8C9F7A"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extracción incluyó datos bibliográficos generales, como autor, año de publicación, país, tipo de publicación y fuente documental. También se registraron características metodológicas, tales como diseño del estudio, tipo de población, tamaño de muestra, presencia o ausencia de grupo comparador, tipo de estrategia comparada, duración del seguimiento y criterios de diagnóstico.</w:t>
      </w:r>
    </w:p>
    <w:p w14:paraId="6CCEDCC4"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lastRenderedPageBreak/>
        <w:t>Respecto a la población, se registraron el número total de mujeres incluidas, el número de participantes tratadas con misoprostol, el diagnóstico clínico, la edad gestacional cuando estuvo disponible, y otros antecedentes obstétricos o clínicos descritos por los autores.</w:t>
      </w:r>
    </w:p>
    <w:p w14:paraId="56F8360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relación con la intervención, se extrajeron la dosis de misoprostol, vía de administración, número de dosis, intervalo entre dosis, duración del esquema terapéutico y necesidad de dosis adicionales. Cuando los estudios incluyeron comparadores, se registró el tipo de manejo alternativo, incluyendo aspiración manual endouterina, legrado uterino instrumental, evacuación quirúrgica o manejo expectante.</w:t>
      </w:r>
    </w:p>
    <w:p w14:paraId="0B3E6B77"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El desenlace principal de esta revisión fue el éxito del manejo con misoprostol. Debido a la heterogeneidad de los estudios, este desenlace se aceptó según la definición reportada por cada investigación. Las definiciones incluyeron evacuación uterina completa sin cirugía adicional, resolución sin curetaje posterior, expulsión completa sin cirugía, ausencia de fallo del método, manejo exitoso con misoprostol o resolución sin evacuación quirúrgica.</w:t>
      </w:r>
    </w:p>
    <w:p w14:paraId="74AD666E"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También se extrajeron desenlaces secundarios: necesidad de procedimientos adicionales, fracaso del manejo médico, evacuación uterina posterior, tiempo hasta la expulsión, dolor, sangrado, náuseas, vómitos, diarrea, fiebre, infección, reacciones adversas, complicaciones, hospitalización y satisfacción de las pacientes.</w:t>
      </w:r>
    </w:p>
    <w:p w14:paraId="3B3F7EA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Cuando los estudios reportaron eventos y denominadores de forma directa, se registró el número de mujeres con éxito y el número total de mujeres tratadas con misoprostol. Cuando los autores informaron únicamente la frecuencia de fracaso terapéutico, el número de éxitos se calculó mediante la diferencia entre el total de mujeres tratadas y el número de fallos reportados.</w:t>
      </w:r>
    </w:p>
    <w:p w14:paraId="0DE992E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En el estudio de Montesinos et al., el análisis de proporciones se realizó sobre las participantes con seguimiento disponible, debido a que las pérdidas durante el </w:t>
      </w:r>
      <w:r w:rsidRPr="00000A5F">
        <w:rPr>
          <w:rFonts w:ascii="Arial" w:hAnsi="Arial" w:cs="Arial"/>
        </w:rPr>
        <w:lastRenderedPageBreak/>
        <w:t>seguimiento impedían conocer el desenlace final de todas las mujeres inicialmente asignadas al grupo de misoprostol.</w:t>
      </w:r>
    </w:p>
    <w:p w14:paraId="54B6368F"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información extraída se organizó en tablas descriptivas. La Tabla 1 presentó los resultados clínicos y comparaciones reportadas en los estudios incluidos. La Tabla 4 presentó los estudios incorporados al metaanálisis de proporciones, mientras que la Tabla 5 resumió el diseño, la población y los datos de éxito y total tratado de cada estudio incluido en el análisis cuantitativo.</w:t>
      </w:r>
    </w:p>
    <w:p w14:paraId="6D57E915" w14:textId="77777777" w:rsidR="003728A7" w:rsidRPr="00000A5F" w:rsidRDefault="003728A7" w:rsidP="00000A5F">
      <w:pPr>
        <w:pStyle w:val="Ttulo2"/>
        <w:jc w:val="both"/>
        <w:rPr>
          <w:rFonts w:cs="Arial"/>
          <w:szCs w:val="24"/>
        </w:rPr>
      </w:pPr>
      <w:bookmarkStart w:id="37" w:name="_Toc232987005"/>
      <w:r w:rsidRPr="00000A5F">
        <w:rPr>
          <w:rFonts w:cs="Arial"/>
          <w:szCs w:val="24"/>
        </w:rPr>
        <w:t>Evaluación del riesgo de sesgo y calidad metodológica</w:t>
      </w:r>
      <w:bookmarkEnd w:id="37"/>
    </w:p>
    <w:p w14:paraId="6095C25D" w14:textId="012DCD14"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La calidad metodológica y el riesgo de sesgo fueron evaluados de acuerdo con el diseño de cada estudio incluido. Se aplicó la herramienta Cochrane Risk of Bias 2 (RoB 2) </w:t>
      </w:r>
      <w:r w:rsidR="00E6098D">
        <w:rPr>
          <w:rFonts w:ascii="Arial" w:hAnsi="Arial" w:cs="Arial"/>
        </w:rPr>
        <w:t xml:space="preserve"> </w:t>
      </w:r>
      <w:r w:rsidR="00E6098D" w:rsidRPr="00E6098D">
        <w:rPr>
          <w:rFonts w:ascii="Arial" w:hAnsi="Arial" w:cs="Arial"/>
        </w:rPr>
        <w:t>(Crocker et al, 2023; Nejadghaderi et al, 2024)</w:t>
      </w:r>
      <w:r w:rsidR="00E6098D">
        <w:rPr>
          <w:rFonts w:ascii="Arial" w:hAnsi="Arial" w:cs="Arial"/>
        </w:rPr>
        <w:t xml:space="preserve"> </w:t>
      </w:r>
      <w:r w:rsidRPr="00000A5F">
        <w:rPr>
          <w:rFonts w:ascii="Arial" w:hAnsi="Arial" w:cs="Arial"/>
        </w:rPr>
        <w:t>al único ensayo clínico aleatorizado incluido. Los estudios observacionales fueron evaluados mediante una versión adaptada de la escala Newcastle-Ottawa.</w:t>
      </w:r>
    </w:p>
    <w:p w14:paraId="6C4E4DD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herramienta RoB 2 permitió valorar cinco dominios: proceso de aleatorización, desviaciones de las intervenciones previstas, datos faltantes del desenlace, medición del desenlace y selección del resultado reportado. El juicio global se expresó como bajo riesgo de sesgo, algunas preocupaciones o alto riesgo de sesgo.</w:t>
      </w:r>
    </w:p>
    <w:p w14:paraId="130C113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el ensayo clínico aleatorizado incluido, el proceso de aleatorización fue valorado como de bajo riesgo. La medición del desenlace y la selección de los resultados reportados también fueron clasificadas como de bajo riesgo. Sin embargo, se identificaron algunas preocupaciones relacionadas con la ausencia de cegamiento y con las pérdidas durante el seguimiento. Por ello, el juicio global fue de algunas preocupaciones.</w:t>
      </w:r>
    </w:p>
    <w:p w14:paraId="50FD06C7" w14:textId="13B99C76" w:rsidR="003728A7" w:rsidRPr="00000A5F" w:rsidRDefault="003728A7" w:rsidP="00000A5F">
      <w:pPr>
        <w:pStyle w:val="NormalWeb"/>
        <w:spacing w:line="360" w:lineRule="auto"/>
        <w:jc w:val="both"/>
        <w:rPr>
          <w:rFonts w:ascii="Arial" w:hAnsi="Arial" w:cs="Arial"/>
        </w:rPr>
      </w:pPr>
      <w:r w:rsidRPr="00000A5F">
        <w:rPr>
          <w:rFonts w:ascii="Arial" w:hAnsi="Arial" w:cs="Arial"/>
        </w:rPr>
        <w:t>Los siete estudios observacionales fueron valorados con una escala Newcastle-Ottawa adaptada para estudios</w:t>
      </w:r>
      <w:r w:rsidR="00E6098D">
        <w:rPr>
          <w:rFonts w:ascii="Arial" w:hAnsi="Arial" w:cs="Arial"/>
        </w:rPr>
        <w:t xml:space="preserve"> observacionales, y estudios de intervención</w:t>
      </w:r>
      <w:r w:rsidRPr="00000A5F">
        <w:rPr>
          <w:rFonts w:ascii="Arial" w:hAnsi="Arial" w:cs="Arial"/>
        </w:rPr>
        <w:t xml:space="preserve"> no aleatorizados</w:t>
      </w:r>
      <w:r w:rsidR="00E6098D">
        <w:rPr>
          <w:rFonts w:ascii="Arial" w:hAnsi="Arial" w:cs="Arial"/>
        </w:rPr>
        <w:t xml:space="preserve"> (</w:t>
      </w:r>
      <w:r w:rsidR="00E6098D" w:rsidRPr="00E6098D">
        <w:rPr>
          <w:rFonts w:ascii="Arial" w:hAnsi="Arial" w:cs="Arial"/>
        </w:rPr>
        <w:t>Gualdi-Russo</w:t>
      </w:r>
      <w:r w:rsidR="00E6098D">
        <w:rPr>
          <w:rFonts w:ascii="Arial" w:hAnsi="Arial" w:cs="Arial"/>
        </w:rPr>
        <w:t xml:space="preserve"> et al 2026)</w:t>
      </w:r>
      <w:r w:rsidRPr="00000A5F">
        <w:rPr>
          <w:rFonts w:ascii="Arial" w:hAnsi="Arial" w:cs="Arial"/>
        </w:rPr>
        <w:t xml:space="preserve">. La evaluación consideró tres dominios: </w:t>
      </w:r>
      <w:r w:rsidRPr="00000A5F">
        <w:rPr>
          <w:rFonts w:ascii="Arial" w:hAnsi="Arial" w:cs="Arial"/>
        </w:rPr>
        <w:lastRenderedPageBreak/>
        <w:t>selección de la población, comparabilidad entre grupos y evaluación del desenlace. La puntuación total posible fue de nueve puntos.</w:t>
      </w:r>
    </w:p>
    <w:p w14:paraId="15F9E90C"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Los estudios con puntuaciones de cuatro puntos fueron clasificados como de calidad metodológica baja; aquellos con cinco puntos, como de calidad moderada; y el estudio con siete puntos, como de calidad alta. La ausencia de grupos comparadores, el tamaño muestral reducido, la selección hospitalaria, el muestreo por conveniencia, los diseños retrospectivos y la falta de control de factores de confusión fueron los principales elementos que limitaron la calidad metodológica de varios estudios.</w:t>
      </w:r>
    </w:p>
    <w:p w14:paraId="2F6E224A"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Los resultados de esta evaluación se presentaron en la Tabla 2 para el ensayo clínico aleatorizado y en la Tabla 3 para los estudios observacionales. Las matrices de evaluación se incluyeron en el Anexo 3.</w:t>
      </w:r>
    </w:p>
    <w:p w14:paraId="68D1669D" w14:textId="77777777" w:rsidR="003728A7" w:rsidRPr="00000A5F" w:rsidRDefault="003728A7" w:rsidP="00000A5F">
      <w:pPr>
        <w:pStyle w:val="Ttulo2"/>
        <w:jc w:val="both"/>
        <w:rPr>
          <w:rFonts w:cs="Arial"/>
          <w:szCs w:val="24"/>
        </w:rPr>
      </w:pPr>
      <w:bookmarkStart w:id="38" w:name="_Toc232987006"/>
      <w:r w:rsidRPr="00000A5F">
        <w:rPr>
          <w:rFonts w:cs="Arial"/>
          <w:szCs w:val="24"/>
        </w:rPr>
        <w:t>Métodos de síntesis y análisis estadístico</w:t>
      </w:r>
      <w:bookmarkEnd w:id="38"/>
    </w:p>
    <w:p w14:paraId="445A7CE3"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Inicialmente, se planificó realizar una síntesis comparativa de la eficacia del misoprostol frente a otras estrategias de manejo, principalmente evacuación uterina quirúrgica y manejo expectante. Para ello se esperaba identificar estudios con grupos comparables y datos suficientes para calcular medidas relativas de efecto, como riesgo relativo, razón de momios o diferencia de riesgos, utilizando como desenlace principal la evacuación uterina completa o resolución del aborto sin necesidad de intervención adicional.</w:t>
      </w:r>
    </w:p>
    <w:p w14:paraId="5E75E0D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También se planificó comparar la frecuencia de procedimientos posteriores, tiempo hasta la resolución, complicaciones y eventos adversos entre los grupos tratados con misoprostol y las estrategias alternativas. Cuando los estudios no presentaran medidas de efecto, pero reportaran eventos y denominadores por grupo, se consideró calcular estas estimaciones a partir de tablas de dos por dos.</w:t>
      </w:r>
    </w:p>
    <w:p w14:paraId="6B40544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Sin embargo, los estudios incluidos presentaron limitaciones importantes para realizar esta síntesis comparativa. La mayoría no contó con grupo comparador </w:t>
      </w:r>
      <w:r w:rsidRPr="00000A5F">
        <w:rPr>
          <w:rFonts w:ascii="Arial" w:hAnsi="Arial" w:cs="Arial"/>
        </w:rPr>
        <w:lastRenderedPageBreak/>
        <w:t>terapéutico independiente. Algunos estudios describieron el manejo médico con misoprostol de forma única, mientras que otros incluyeron comparaciones descriptivas sin datos suficientemente desagregados. Además, en los estudios que compararon estrategias de manejo, los datos disponibles no permitieron extraer de forma consistente los eventos y denominadores por grupo para el desenlace principal.</w:t>
      </w:r>
    </w:p>
    <w:p w14:paraId="1DEEFBE5"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También existió heterogeneidad en las poblaciones, los diagnósticos clínicos, las dosis, las vías de administración, los intervalos entre dosis, los tiempos de seguimiento y las definiciones de éxito terapéutico. Por estas razones, no fue posible realizar un metaanálisis comparativo de eficacia entre misoprostol, manejo quirúrgico y manejo expectante.</w:t>
      </w:r>
    </w:p>
    <w:p w14:paraId="744245A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Ante estas limitaciones, se realizó una síntesis narrativa de los resultados clínicos y un metaanálisis de proporciones para estimar la frecuencia de éxito del manejo con misoprostol. Este análisis incluyó únicamente los estudios que reportaron datos suficientes para identificar el número de mujeres con éxito terapéutico y el número total de mujeres tratadas con misoprostol.</w:t>
      </w:r>
    </w:p>
    <w:p w14:paraId="2D76D9C2"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El éxito del manejo se definió de acuerdo con el criterio utilizado en cada estudio. En términos generales, se consideraron equivalentes para fines de síntesis las definiciones de evacuación uterina completa sin cirugía adicional, resolución sin curetaje posterior, expulsión completa sin cirugía, ausencia de fallo terapéutico, manejo exitoso con misoprostol o resolución sin evacuación quirúrgica.</w:t>
      </w:r>
    </w:p>
    <w:p w14:paraId="438CA30B"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Se realizaron tres metaanálisis de proporciones: uno con los artículos científicos publicados, otro con las tesis incluidas y un tercero con todos los estudios combinados. La separación según tipo de publicación tuvo como propósito explorar las diferencias entre artículos científicos y literatura académica no publicada en revistas científicas.</w:t>
      </w:r>
    </w:p>
    <w:p w14:paraId="0557C659"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Se utilizaron modelos de efectos fijos y de efectos aleatorios. Debido a la heterogeneidad clínica y metodológica prevista entre los estudios, la estimación </w:t>
      </w:r>
      <w:r w:rsidRPr="00000A5F">
        <w:rPr>
          <w:rFonts w:ascii="Arial" w:hAnsi="Arial" w:cs="Arial"/>
        </w:rPr>
        <w:lastRenderedPageBreak/>
        <w:t>obtenida con el modelo de efectos aleatorios se consideró la medida principal para la interpretación. El modelo de efectos fijos se presentó como referencia descriptiva, pero no se consideró la estimación principal cuando existía heterogeneidad elevada.</w:t>
      </w:r>
    </w:p>
    <w:p w14:paraId="136106A6"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heterogeneidad estadística se evaluó mediante la prueba Q de Cochran, el estadístico I² y la varianza entre estudios, τ². Los valores elevados de I² se interpretaron como evidencia de inconsistencia importante entre los resultados individuales y se valoraron junto con las diferencias clínicas y metodológicas identificadas.</w:t>
      </w:r>
    </w:p>
    <w:p w14:paraId="0C48B845"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el metaanálisis de artículos publicados se incluyeron cuatro estudios y 437 mujeres tratadas con misoprostol. La heterogeneidad fue elevada, con Q = 15,81, tres grados de libertad, p = 0,001, I² = 81,0% y τ² = 0,603. Por ello, la estimación de efectos aleatorios fue utilizada como referencia principal.</w:t>
      </w:r>
    </w:p>
    <w:p w14:paraId="5CD1D7C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el metaanálisis de tesis se incluyeron tres estudios y 261 mujeres tratadas con misoprostol. La heterogeneidad también fue elevada, con Q = 21,23, dos grados de libertad, p &lt; 0,001, I² = 90,6% y τ² = 0,643. Debido a la amplitud del intervalo de confianza y a la variabilidad entre estudios, esta estimación se interpretó con cautela.</w:t>
      </w:r>
    </w:p>
    <w:p w14:paraId="794ED2CA"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El análisis combinado incluyó siete estudios y 698 mujeres tratadas con misoprostol. La heterogeneidad fue muy elevada, con Q = 90,92, seis grados de libertad, p &lt; 0,001, I² = 93,4% y τ² = 1,245. En consecuencia, la proporción global combinada derivada del modelo de efectos aleatorios se interpretó como una estimación promedio de estudios clínicamente heterogéneos, y no como una frecuencia única aplicable a todos los contextos de manejo.</w:t>
      </w:r>
    </w:p>
    <w:p w14:paraId="5FF97AC1"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 xml:space="preserve">No se realizaron análisis de subgrupos por diagnóstico clínico, vía de administración, dosis, edad gestacional, tipo de estudio o país, porque el número de estudios disponibles fue reducido y la información reportada no permitió formar grupos suficientemente comparables. Tampoco se realizaron análisis de sensibilidad mediante exclusión de estudios de menor calidad metodológica, debido </w:t>
      </w:r>
      <w:r w:rsidRPr="00000A5F">
        <w:rPr>
          <w:rFonts w:ascii="Arial" w:hAnsi="Arial" w:cs="Arial"/>
        </w:rPr>
        <w:lastRenderedPageBreak/>
        <w:t>a que el número total de estudios era limitado y dicha exclusión habría reducido aún más la precisión de las estimaciones.</w:t>
      </w:r>
    </w:p>
    <w:p w14:paraId="00E72332"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Los resultados del metaanálisis se presentaron en tablas y mediante gráfico de bosque. Las tablas incluyeron el número de éxitos, número total de mujeres tratadas, proporción individual de éxito, intervalo de confianza del 95%, ponderación de cada estudio y proporciones combinadas mediante modelos de efectos fijos y aleatorios.</w:t>
      </w:r>
    </w:p>
    <w:p w14:paraId="3E3DE9EA" w14:textId="77777777" w:rsidR="003728A7" w:rsidRPr="00000A5F" w:rsidRDefault="003728A7" w:rsidP="00000A5F">
      <w:pPr>
        <w:pStyle w:val="Ttulo2"/>
        <w:jc w:val="both"/>
        <w:rPr>
          <w:rFonts w:cs="Arial"/>
          <w:szCs w:val="24"/>
        </w:rPr>
      </w:pPr>
      <w:bookmarkStart w:id="39" w:name="_Toc232987007"/>
      <w:r w:rsidRPr="00000A5F">
        <w:rPr>
          <w:rFonts w:cs="Arial"/>
          <w:szCs w:val="24"/>
        </w:rPr>
        <w:t>Evaluación del sesgo de publicación</w:t>
      </w:r>
      <w:bookmarkEnd w:id="39"/>
    </w:p>
    <w:p w14:paraId="68438B0D"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posible presencia de sesgo de publicación se evaluó mediante inspección visual de gráficos de embudo y mediante las pruebas estadísticas de Egger y Begg. Los gráficos de embudo se elaboraron para el análisis de artículos publicados, el análisis de tesis y el análisis combinado.</w:t>
      </w:r>
    </w:p>
    <w:p w14:paraId="023A5D40"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En estos gráficos, cada punto representó un estudio incluido; la línea vertical correspondió a la proporción combinada de éxito del manejo con misoprostol y las líneas diagonales delimitaron el área esperada de distribución según la precisión de cada estimación.</w:t>
      </w:r>
    </w:p>
    <w:p w14:paraId="14180677"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La prueba de Egger se utilizó para explorar la asimetría del gráfico de embudo mediante regresión, mientras que la prueba de Begg evaluó la posible asociación entre la magnitud del efecto y la precisión o tamaño de los estudios. Un valor de p menor de 0,05 se consideró indicativo de posible asimetría estadísticamente significativa.</w:t>
      </w:r>
    </w:p>
    <w:p w14:paraId="78BCCF22"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Debido a que los análisis incluyeron un número reducido de estudios, los resultados de los gráficos de embudo y de las pruebas de Egger y Begg se interpretaron con cautela. Con menos de diez estudios, estas pruebas tienen baja potencia estadística y una ausencia de significancia no permite descartar con certeza la presencia de sesgo de publicación.</w:t>
      </w:r>
    </w:p>
    <w:p w14:paraId="7E633C44"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lastRenderedPageBreak/>
        <w:t>Asimismo, cualquier asimetría observada podía relacionarse con heterogeneidad clínica y metodológica, diferencias en las definiciones de éxito, variación en los tamaños de muestra o diferencias entre artículos publicados y tesis, además de una posible influencia del sesgo de publicación.</w:t>
      </w:r>
    </w:p>
    <w:p w14:paraId="400BF2B7" w14:textId="77777777" w:rsidR="003728A7" w:rsidRPr="00000A5F" w:rsidRDefault="003728A7" w:rsidP="00000A5F">
      <w:pPr>
        <w:pStyle w:val="NormalWeb"/>
        <w:spacing w:line="360" w:lineRule="auto"/>
        <w:jc w:val="both"/>
        <w:rPr>
          <w:rFonts w:ascii="Arial" w:hAnsi="Arial" w:cs="Arial"/>
        </w:rPr>
      </w:pPr>
      <w:r w:rsidRPr="00000A5F">
        <w:rPr>
          <w:rFonts w:ascii="Arial" w:hAnsi="Arial" w:cs="Arial"/>
        </w:rPr>
        <w:t>Por tanto, la evaluación del sesgo de publicación se utilizó como un análisis exploratorio complementario y no como evidencia definitiva de ausencia o presencia de dicho sesgo.</w:t>
      </w:r>
    </w:p>
    <w:p w14:paraId="7BA207E4" w14:textId="7F0D0669" w:rsidR="00B8712F" w:rsidRPr="00B8712F" w:rsidRDefault="00B8712F" w:rsidP="00000A5F">
      <w:pPr>
        <w:rPr>
          <w:lang w:val="es-NI"/>
        </w:rPr>
      </w:pPr>
    </w:p>
    <w:p w14:paraId="31BBF98F" w14:textId="1361AFE7" w:rsidR="00B8712F" w:rsidRPr="00B8712F" w:rsidRDefault="00B8712F" w:rsidP="00000A5F">
      <w:pPr>
        <w:rPr>
          <w:lang w:val="es-NI"/>
        </w:rPr>
      </w:pPr>
    </w:p>
    <w:p w14:paraId="25A5F94D" w14:textId="6B59C447" w:rsidR="00B8712F" w:rsidRPr="00B8712F" w:rsidRDefault="00B8712F" w:rsidP="00000A5F">
      <w:pPr>
        <w:rPr>
          <w:lang w:val="es-NI"/>
        </w:rPr>
      </w:pPr>
    </w:p>
    <w:p w14:paraId="6DCBD8AB" w14:textId="690E43A5" w:rsidR="00B8712F" w:rsidRDefault="00B8712F" w:rsidP="00000A5F">
      <w:pPr>
        <w:rPr>
          <w:lang w:val="es-NI"/>
        </w:rPr>
      </w:pPr>
    </w:p>
    <w:p w14:paraId="6345FDA9" w14:textId="07EE049B" w:rsidR="00000A5F" w:rsidRDefault="00000A5F" w:rsidP="00000A5F">
      <w:pPr>
        <w:rPr>
          <w:lang w:val="es-NI"/>
        </w:rPr>
      </w:pPr>
    </w:p>
    <w:p w14:paraId="513374F7" w14:textId="3E1B0C96" w:rsidR="00000A5F" w:rsidRDefault="00000A5F" w:rsidP="00000A5F">
      <w:pPr>
        <w:rPr>
          <w:lang w:val="es-NI"/>
        </w:rPr>
      </w:pPr>
    </w:p>
    <w:p w14:paraId="2EBE9CB4" w14:textId="618E606F" w:rsidR="00000A5F" w:rsidRDefault="00000A5F" w:rsidP="00000A5F">
      <w:pPr>
        <w:rPr>
          <w:lang w:val="es-NI"/>
        </w:rPr>
      </w:pPr>
    </w:p>
    <w:p w14:paraId="2E166143" w14:textId="2B9E0023" w:rsidR="00000A5F" w:rsidRDefault="00000A5F" w:rsidP="00000A5F">
      <w:pPr>
        <w:rPr>
          <w:lang w:val="es-NI"/>
        </w:rPr>
      </w:pPr>
    </w:p>
    <w:p w14:paraId="67780C6A" w14:textId="03812636" w:rsidR="00000A5F" w:rsidRDefault="00000A5F" w:rsidP="00000A5F">
      <w:pPr>
        <w:rPr>
          <w:lang w:val="es-NI"/>
        </w:rPr>
      </w:pPr>
    </w:p>
    <w:p w14:paraId="0CA3A815" w14:textId="77777777" w:rsidR="00000A5F" w:rsidRPr="00B8712F" w:rsidRDefault="00000A5F" w:rsidP="00000A5F">
      <w:pPr>
        <w:rPr>
          <w:lang w:val="es-NI"/>
        </w:rPr>
      </w:pPr>
    </w:p>
    <w:p w14:paraId="0C13202F" w14:textId="54C65D46" w:rsidR="00B8712F" w:rsidRPr="00B8712F" w:rsidRDefault="00B8712F" w:rsidP="00000A5F">
      <w:pPr>
        <w:rPr>
          <w:lang w:val="es-NI"/>
        </w:rPr>
      </w:pPr>
    </w:p>
    <w:p w14:paraId="58F53B18" w14:textId="77777777" w:rsidR="00B8712F" w:rsidRPr="00B8712F" w:rsidRDefault="00B8712F" w:rsidP="00000A5F">
      <w:pPr>
        <w:rPr>
          <w:lang w:val="es-NI"/>
        </w:rPr>
      </w:pPr>
    </w:p>
    <w:p w14:paraId="5263774E" w14:textId="7C226AB5" w:rsidR="00CE5837" w:rsidRDefault="00CE5837" w:rsidP="00000A5F">
      <w:pPr>
        <w:rPr>
          <w:lang w:val="es-NI"/>
        </w:rPr>
      </w:pPr>
    </w:p>
    <w:p w14:paraId="4FDCE0BB" w14:textId="77777777" w:rsidR="000A215B" w:rsidRDefault="000A215B" w:rsidP="00EC41BF">
      <w:pPr>
        <w:pStyle w:val="Ttulo1"/>
        <w:rPr>
          <w:lang w:val="es-NI"/>
        </w:rPr>
      </w:pPr>
      <w:bookmarkStart w:id="40" w:name="_Toc232987008"/>
    </w:p>
    <w:p w14:paraId="4F64A8A0" w14:textId="755D4CFE" w:rsidR="00EC41BF" w:rsidRDefault="00EC41BF" w:rsidP="00EC41BF">
      <w:pPr>
        <w:pStyle w:val="Ttulo1"/>
        <w:rPr>
          <w:lang w:val="es-NI"/>
        </w:rPr>
      </w:pPr>
      <w:r>
        <w:rPr>
          <w:lang w:val="es-NI"/>
        </w:rPr>
        <w:t>Resultados</w:t>
      </w:r>
      <w:bookmarkEnd w:id="40"/>
    </w:p>
    <w:p w14:paraId="1068BAFF" w14:textId="07C9C3EE" w:rsidR="00EC41BF" w:rsidRPr="00EC41BF" w:rsidRDefault="00EC41BF" w:rsidP="00EC41BF">
      <w:pPr>
        <w:rPr>
          <w:lang w:val="es-NI"/>
        </w:rPr>
      </w:pPr>
      <w:r w:rsidRPr="00EC41BF">
        <w:rPr>
          <w:lang w:val="es-NI"/>
        </w:rPr>
        <w:t>Durante el proceso de identificación se recuperaron 962 registros procedentes de cinco fuentes de información: PubMed (n = 9), LILACS (n = 15), SciELO (n = 14), Redalyc (n = 74) y Google Scholar (n = 850). Antes del cribado se eliminaron 78 registros duplicados, por lo que 884 registros fueron examinados mediante la revisión de títulos y resúmenes</w:t>
      </w:r>
      <w:r>
        <w:rPr>
          <w:lang w:val="es-NI"/>
        </w:rPr>
        <w:t xml:space="preserve"> (figura 1)</w:t>
      </w:r>
      <w:r w:rsidRPr="00EC41BF">
        <w:rPr>
          <w:lang w:val="es-NI"/>
        </w:rPr>
        <w:t>.</w:t>
      </w:r>
    </w:p>
    <w:p w14:paraId="1CDA7AEB" w14:textId="77777777" w:rsidR="00EC41BF" w:rsidRPr="00EC41BF" w:rsidRDefault="00EC41BF" w:rsidP="00EC41BF">
      <w:pPr>
        <w:rPr>
          <w:lang w:val="es-NI"/>
        </w:rPr>
      </w:pPr>
      <w:r w:rsidRPr="00EC41BF">
        <w:rPr>
          <w:lang w:val="es-NI"/>
        </w:rPr>
        <w:t>Durante la fase de cribado se excluyeron 863 registros por no cumplir con los criterios de pertinencia temática, población, intervención o tipo de documento. Como resultado, 21 registros fueron seleccionados para revisión en texto completo. De estos, se logró recuperar el texto completo de 17 documentos, correspondientes a 8 artículos publicados y 9 tesis; cuatro registros no fueron recuperados, ya que correspondían a tesis para las cuales solo se encontraba disponible el resumen.</w:t>
      </w:r>
    </w:p>
    <w:p w14:paraId="04AA3848" w14:textId="77777777" w:rsidR="00EC41BF" w:rsidRPr="00EC41BF" w:rsidRDefault="00EC41BF" w:rsidP="00EC41BF">
      <w:pPr>
        <w:rPr>
          <w:lang w:val="es-NI"/>
        </w:rPr>
      </w:pPr>
      <w:r w:rsidRPr="00EC41BF">
        <w:rPr>
          <w:lang w:val="es-NI"/>
        </w:rPr>
        <w:t>Los 17 textos completos disponibles fueron evaluados para determinar su elegibilidad. En esta etapa se excluyeron 9 documentos: 6 tesis y 3 artículos publicados. Las principales razones de exclusión fueron no evaluar el misoprostol como tratamiento médico definitivo, no reportar desenlaces clínicos relevantes, corresponder a registros duplicados o superpuestos, o no ajustarse al alcance geográfico o clínico definido para la revisión.</w:t>
      </w:r>
    </w:p>
    <w:p w14:paraId="175FA91B" w14:textId="626E3070" w:rsidR="00EC41BF" w:rsidRDefault="00EC41BF" w:rsidP="00EC41BF">
      <w:pPr>
        <w:rPr>
          <w:lang w:val="es-NI"/>
        </w:rPr>
      </w:pPr>
      <w:r w:rsidRPr="00EC41BF">
        <w:rPr>
          <w:lang w:val="es-NI"/>
        </w:rPr>
        <w:t>Finalmente, 8 estudios cumplieron los criterios de inclusión y fueron incorporados en la revisión: 3 tesis y 5 artículos publicados en revistas científicas. Estos estudios aportaron información sobre resultados clínicos del uso de misoprostol en el manejo del aborto espontáneo o incompleto del primer trimestre, incluyendo resolución completa, fracaso terapéutico, necesidad de intervención adicional, complicaciones y, en algunos casos, comparación con otras estrategias de manejo.</w:t>
      </w:r>
    </w:p>
    <w:p w14:paraId="3845349F" w14:textId="52007BDF" w:rsidR="00EC41BF" w:rsidRDefault="00EC41BF" w:rsidP="00EC41BF">
      <w:pPr>
        <w:rPr>
          <w:lang w:val="es-NI"/>
        </w:rPr>
      </w:pPr>
    </w:p>
    <w:p w14:paraId="779CF81E" w14:textId="3B6F0A49" w:rsidR="00EC41BF" w:rsidRDefault="00EC41BF" w:rsidP="00EC41BF">
      <w:pPr>
        <w:rPr>
          <w:lang w:val="es-NI"/>
        </w:rPr>
      </w:pPr>
    </w:p>
    <w:p w14:paraId="2DEA7799" w14:textId="6EF437CF" w:rsidR="00EC41BF" w:rsidRDefault="00EC41BF" w:rsidP="00EC41BF">
      <w:pPr>
        <w:rPr>
          <w:lang w:val="es-NI"/>
        </w:rPr>
      </w:pPr>
    </w:p>
    <w:p w14:paraId="2A0DFB29" w14:textId="4911314F" w:rsidR="00EC41BF" w:rsidRDefault="00EC41BF" w:rsidP="00EC41BF">
      <w:pPr>
        <w:rPr>
          <w:lang w:val="es-NI"/>
        </w:rPr>
      </w:pPr>
    </w:p>
    <w:p w14:paraId="339D8029" w14:textId="434C48C0" w:rsidR="00EC41BF" w:rsidRDefault="00EC41BF" w:rsidP="001E4932">
      <w:pPr>
        <w:spacing w:after="0"/>
        <w:jc w:val="center"/>
        <w:rPr>
          <w:lang w:val="es-NI"/>
        </w:rPr>
      </w:pPr>
      <w:r>
        <w:rPr>
          <w:noProof/>
          <w:lang w:val="es-NI" w:eastAsia="es-NI"/>
        </w:rPr>
        <w:drawing>
          <wp:inline distT="0" distB="0" distL="0" distR="0" wp14:anchorId="51C093E8" wp14:editId="198CDFCE">
            <wp:extent cx="4518486" cy="602419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33773" cy="6044575"/>
                    </a:xfrm>
                    <a:prstGeom prst="rect">
                      <a:avLst/>
                    </a:prstGeom>
                  </pic:spPr>
                </pic:pic>
              </a:graphicData>
            </a:graphic>
          </wp:inline>
        </w:drawing>
      </w:r>
    </w:p>
    <w:p w14:paraId="608FC56A" w14:textId="49542F17" w:rsidR="00EC41BF" w:rsidRDefault="00EC41BF" w:rsidP="001E4932">
      <w:pPr>
        <w:pStyle w:val="Descripcin"/>
        <w:spacing w:after="0"/>
        <w:rPr>
          <w:lang w:val="es-NI"/>
        </w:rPr>
      </w:pPr>
      <w:bookmarkStart w:id="41" w:name="_Toc232987044"/>
      <w:r w:rsidRPr="00EC41BF">
        <w:rPr>
          <w:b/>
          <w:bCs/>
        </w:rPr>
        <w:t xml:space="preserve">Figura </w:t>
      </w:r>
      <w:r w:rsidRPr="00EC41BF">
        <w:rPr>
          <w:b/>
          <w:bCs/>
        </w:rPr>
        <w:fldChar w:fldCharType="begin"/>
      </w:r>
      <w:r w:rsidRPr="00EC41BF">
        <w:rPr>
          <w:b/>
          <w:bCs/>
        </w:rPr>
        <w:instrText xml:space="preserve"> SEQ Figura \* ARABIC </w:instrText>
      </w:r>
      <w:r w:rsidRPr="00EC41BF">
        <w:rPr>
          <w:b/>
          <w:bCs/>
        </w:rPr>
        <w:fldChar w:fldCharType="separate"/>
      </w:r>
      <w:r w:rsidR="001E57DF">
        <w:rPr>
          <w:b/>
          <w:bCs/>
          <w:noProof/>
        </w:rPr>
        <w:t>1</w:t>
      </w:r>
      <w:r w:rsidRPr="00EC41BF">
        <w:rPr>
          <w:b/>
          <w:bCs/>
        </w:rPr>
        <w:fldChar w:fldCharType="end"/>
      </w:r>
      <w:r w:rsidRPr="00EC41BF">
        <w:rPr>
          <w:b/>
          <w:bCs/>
        </w:rPr>
        <w:t>.</w:t>
      </w:r>
      <w:r>
        <w:t xml:space="preserve"> </w:t>
      </w:r>
      <w:r>
        <w:rPr>
          <w:lang w:val="es-NI"/>
        </w:rPr>
        <w:t>Diagrama PRISMA de identificación, cribado, revisión y selección de estudios incluidos en la revisión sistemática y metanálisis</w:t>
      </w:r>
      <w:bookmarkEnd w:id="41"/>
    </w:p>
    <w:p w14:paraId="4BDD28AD" w14:textId="77777777" w:rsidR="001E4932" w:rsidRDefault="001E4932" w:rsidP="001E4932">
      <w:pPr>
        <w:rPr>
          <w:lang w:val="es-NI"/>
        </w:rPr>
      </w:pPr>
    </w:p>
    <w:p w14:paraId="06F6B77D" w14:textId="4410997D" w:rsidR="001E4932" w:rsidRPr="001E4932" w:rsidRDefault="001E4932" w:rsidP="001E4932">
      <w:pPr>
        <w:pStyle w:val="Ttulo2"/>
        <w:jc w:val="both"/>
        <w:rPr>
          <w:lang w:val="es-NI"/>
        </w:rPr>
      </w:pPr>
      <w:bookmarkStart w:id="42" w:name="_Toc232987009"/>
      <w:r>
        <w:rPr>
          <w:lang w:val="es-NI"/>
        </w:rPr>
        <w:lastRenderedPageBreak/>
        <w:t xml:space="preserve">Resultados del objetivo 1. </w:t>
      </w:r>
      <w:r w:rsidRPr="001E4932">
        <w:rPr>
          <w:lang w:val="es-NI"/>
        </w:rPr>
        <w:t>Características generales, clínicas y metodológicas de los estudios incluidos</w:t>
      </w:r>
      <w:bookmarkEnd w:id="42"/>
    </w:p>
    <w:p w14:paraId="43D01161" w14:textId="70E054C9" w:rsidR="001E4932" w:rsidRPr="001E4932" w:rsidRDefault="001E4932" w:rsidP="001E4932">
      <w:pPr>
        <w:rPr>
          <w:lang w:val="es-NI"/>
        </w:rPr>
      </w:pPr>
      <w:r w:rsidRPr="001E4932">
        <w:rPr>
          <w:lang w:val="es-NI"/>
        </w:rPr>
        <w:t>Se incluyeron ocho estudios publicados entre 2011 y 2025, procedentes de cinco países de América Latina: Ecuador (n = 2), Honduras (n = 2), México (n = 2), Perú (n = 1) y Colombia (n = 1)</w:t>
      </w:r>
      <w:r>
        <w:rPr>
          <w:lang w:val="es-NI"/>
        </w:rPr>
        <w:t xml:space="preserve"> (ver figura 1)</w:t>
      </w:r>
      <w:r w:rsidRPr="001E4932">
        <w:rPr>
          <w:lang w:val="es-NI"/>
        </w:rPr>
        <w:t>. Cinco correspondieron a artículos publicados en revistas científicas y tres a tesis académicas. La distribución por país, año, tipo de publicación, diseño y principales resultados clínicos se presenta en la Tabla 1, mientras que las características ampliadas de los estudios se describen en la Tabla S3 del anexo.</w:t>
      </w:r>
    </w:p>
    <w:p w14:paraId="114B4229" w14:textId="77777777" w:rsidR="001E4932" w:rsidRPr="001E4932" w:rsidRDefault="001E4932" w:rsidP="001E4932">
      <w:pPr>
        <w:rPr>
          <w:lang w:val="es-NI"/>
        </w:rPr>
      </w:pPr>
      <w:r w:rsidRPr="001E4932">
        <w:rPr>
          <w:lang w:val="es-NI"/>
        </w:rPr>
        <w:t>Los estudios incluyeron un total de 1 294 mujeres; de ellas, 887 recibieron misoprostol como manejo médico. El tamaño muestral osciló entre 37 y 321 participantes. Las poblaciones incluyeron mujeres con aborto incompleto, aborto espontáneo de primer trimestre, aborto diferido, huevo muerto retenido y embarazo anembrionado. La edad gestacional fue generalmente menor de 12 semanas; algunos estudios incluyeron exclusivamente aborto incompleto, mientras que otros incorporaron diferentes formas de pérdida gestacional temprana, como aborto diferido y embarazo anembrionado.</w:t>
      </w:r>
    </w:p>
    <w:p w14:paraId="21413C40" w14:textId="77777777" w:rsidR="001E4932" w:rsidRPr="001E4932" w:rsidRDefault="001E4932" w:rsidP="001E4932">
      <w:pPr>
        <w:rPr>
          <w:lang w:val="es-NI"/>
        </w:rPr>
      </w:pPr>
      <w:r w:rsidRPr="001E4932">
        <w:rPr>
          <w:lang w:val="es-NI"/>
        </w:rPr>
        <w:t>Se identificó heterogeneidad metodológica entre los estudios. Solo Montesinos et al. (2011) correspondió a un ensayo clínico aleatorizado que comparó misoprostol oral de 600 µg con aspiración manual endouterina. Los demás estudios fueron observacionales, incluyendo diseños prospectivos sin grupo control, transversales descriptivos, cohortes prospectivas y estudios retrospectivos. En conjunto, cinco investigaciones no incluyeron un comparador terapéutico formal; en estos estudios, los resultados describieron principalmente la frecuencia de éxito, fracaso, necesidad de tratamiento adicional, tiempo de expulsión y eventos adversos asociados al misoprostol.</w:t>
      </w:r>
    </w:p>
    <w:p w14:paraId="4F453B41" w14:textId="77777777" w:rsidR="001E4932" w:rsidRPr="001E4932" w:rsidRDefault="001E4932" w:rsidP="001E4932">
      <w:pPr>
        <w:rPr>
          <w:lang w:val="es-NI"/>
        </w:rPr>
      </w:pPr>
      <w:r w:rsidRPr="001E4932">
        <w:rPr>
          <w:lang w:val="es-NI"/>
        </w:rPr>
        <w:t xml:space="preserve">Las estrategias terapéuticas evaluadas fueron variables. El misoprostol se administró por vía oral, sublingual o según esquemas institucionales o basados en recomendaciones FIGO, con dosis entre 400 y 800 µg y diferente número de dosis. Los comparadores reportados incluyeron aspiración manual endouterina, legrado </w:t>
      </w:r>
      <w:r w:rsidRPr="001E4932">
        <w:rPr>
          <w:lang w:val="es-NI"/>
        </w:rPr>
        <w:lastRenderedPageBreak/>
        <w:t>uterino instrumental, manejo quirúrgico y manejo expectante. Sin embargo, solo Montesinos et al. (2011) presentó una comparación directa con datos suficientes para estimar una medida relativa de efecto entre misoprostol y AMEU. Chérrez Ramos y Arévalo Villanueva (2021) compararon misoprostol con legrado uterino instrumental en una muestra pequeña y retrospectiva. Alvarado-Franco et al. (2025) y Valles Jáquez (2024) describieron la distribución de modalidades de manejo, pero no evaluaron grupos terapéuticos comparables ni realizaron análisis ajustados.</w:t>
      </w:r>
    </w:p>
    <w:p w14:paraId="02DB2B36" w14:textId="2A87EEBF" w:rsidR="001E4932" w:rsidRDefault="001E4932" w:rsidP="001E4932">
      <w:pPr>
        <w:rPr>
          <w:lang w:val="es-NI"/>
        </w:rPr>
      </w:pPr>
      <w:r w:rsidRPr="001E4932">
        <w:rPr>
          <w:lang w:val="es-NI"/>
        </w:rPr>
        <w:t>Los desenlaces clínicos evaluados también fueron heterogéneos. La mayoría de los estudios informó éxito del manejo mediante evacuación uterina completa, expulsión completa sin tratamiento quirúrgico posterior, ausencia de fallo terapéutico o falta de necesidad de intervención adicional. Otros desenlaces incluyeron fracaso del manejo médico, necesidad de AMEU o legrado, número de dosis administradas, tiempo hasta la expulsión, sangrado, dolor, náuseas, vómitos, diarrea, fiebre, complicaciones, hospitalización y satisfacción o tolerabilidad. Esta diversidad en la definición de éxito, los esquemas terapéuticos y los períodos de seguimiento limitó la posibilidad de efectuar una comparación cuantitativa directa entre misoprostol y las demás estrategias de manejo.</w:t>
      </w:r>
    </w:p>
    <w:p w14:paraId="4CE34C12" w14:textId="216F13A7" w:rsidR="0028162F" w:rsidRDefault="0028162F" w:rsidP="00EC41BF">
      <w:pPr>
        <w:rPr>
          <w:lang w:val="es-NI"/>
        </w:rPr>
      </w:pPr>
      <w:r>
        <w:rPr>
          <w:noProof/>
          <w:lang w:val="es-NI" w:eastAsia="es-NI"/>
        </w:rPr>
        <w:lastRenderedPageBreak/>
        <w:drawing>
          <wp:inline distT="0" distB="0" distL="0" distR="0" wp14:anchorId="3D51AD22" wp14:editId="0C2D259F">
            <wp:extent cx="5612130" cy="4209415"/>
            <wp:effectExtent l="0" t="0" r="762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2130" cy="4209415"/>
                    </a:xfrm>
                    <a:prstGeom prst="rect">
                      <a:avLst/>
                    </a:prstGeom>
                  </pic:spPr>
                </pic:pic>
              </a:graphicData>
            </a:graphic>
          </wp:inline>
        </w:drawing>
      </w:r>
    </w:p>
    <w:p w14:paraId="6133F928" w14:textId="24064B5C" w:rsidR="00BE0144" w:rsidRDefault="0028162F" w:rsidP="001E4932">
      <w:pPr>
        <w:pStyle w:val="Descripcin"/>
        <w:rPr>
          <w:lang w:val="es-NI"/>
        </w:rPr>
      </w:pPr>
      <w:bookmarkStart w:id="43" w:name="_Toc232987045"/>
      <w:r w:rsidRPr="0028162F">
        <w:rPr>
          <w:b/>
          <w:bCs/>
        </w:rPr>
        <w:t xml:space="preserve">Figura </w:t>
      </w:r>
      <w:r w:rsidRPr="0028162F">
        <w:rPr>
          <w:b/>
          <w:bCs/>
        </w:rPr>
        <w:fldChar w:fldCharType="begin"/>
      </w:r>
      <w:r w:rsidRPr="0028162F">
        <w:rPr>
          <w:b/>
          <w:bCs/>
        </w:rPr>
        <w:instrText xml:space="preserve"> SEQ Figura \* ARABIC </w:instrText>
      </w:r>
      <w:r w:rsidRPr="0028162F">
        <w:rPr>
          <w:b/>
          <w:bCs/>
        </w:rPr>
        <w:fldChar w:fldCharType="separate"/>
      </w:r>
      <w:r w:rsidR="001E57DF">
        <w:rPr>
          <w:b/>
          <w:bCs/>
          <w:noProof/>
        </w:rPr>
        <w:t>2</w:t>
      </w:r>
      <w:r w:rsidRPr="0028162F">
        <w:rPr>
          <w:b/>
          <w:bCs/>
        </w:rPr>
        <w:fldChar w:fldCharType="end"/>
      </w:r>
      <w:r w:rsidRPr="0028162F">
        <w:rPr>
          <w:b/>
          <w:bCs/>
        </w:rPr>
        <w:t>.</w:t>
      </w:r>
      <w:r>
        <w:t xml:space="preserve"> </w:t>
      </w:r>
      <w:r>
        <w:rPr>
          <w:lang w:val="es-NI"/>
        </w:rPr>
        <w:t>Mapa del número, tipo y procedencia de los artículos y tesis incluidas en la revisión</w:t>
      </w:r>
      <w:r w:rsidR="00B933D6">
        <w:rPr>
          <w:lang w:val="es-NI"/>
        </w:rPr>
        <w:t>. Fuente: Elaboración propia.</w:t>
      </w:r>
      <w:bookmarkEnd w:id="43"/>
    </w:p>
    <w:p w14:paraId="0B388ACA" w14:textId="77777777" w:rsidR="00BE0144" w:rsidRDefault="00BE0144" w:rsidP="00EC41BF">
      <w:pPr>
        <w:rPr>
          <w:lang w:val="es-NI"/>
        </w:rPr>
        <w:sectPr w:rsidR="00BE0144" w:rsidSect="000D3DAF">
          <w:pgSz w:w="12240" w:h="15840"/>
          <w:pgMar w:top="1417" w:right="1701" w:bottom="1417" w:left="1701" w:header="708" w:footer="708" w:gutter="0"/>
          <w:pgNumType w:start="1"/>
          <w:cols w:space="708"/>
          <w:docGrid w:linePitch="360"/>
        </w:sectPr>
      </w:pPr>
    </w:p>
    <w:p w14:paraId="68381FD6" w14:textId="4E50DAA8" w:rsidR="00BE0144" w:rsidRPr="00B53A73" w:rsidRDefault="008769A4" w:rsidP="008769A4">
      <w:pPr>
        <w:pStyle w:val="Descripcin"/>
        <w:rPr>
          <w:lang w:eastAsia="es-ES"/>
        </w:rPr>
      </w:pPr>
      <w:bookmarkStart w:id="44" w:name="_Toc232987032"/>
      <w:r w:rsidRPr="008769A4">
        <w:rPr>
          <w:b/>
          <w:bCs/>
        </w:rPr>
        <w:lastRenderedPageBreak/>
        <w:t xml:space="preserve">Tabla </w:t>
      </w:r>
      <w:r w:rsidRPr="008769A4">
        <w:rPr>
          <w:b/>
          <w:bCs/>
        </w:rPr>
        <w:fldChar w:fldCharType="begin"/>
      </w:r>
      <w:r w:rsidRPr="008769A4">
        <w:rPr>
          <w:b/>
          <w:bCs/>
        </w:rPr>
        <w:instrText xml:space="preserve"> SEQ Tabla \* ARABIC </w:instrText>
      </w:r>
      <w:r w:rsidRPr="008769A4">
        <w:rPr>
          <w:b/>
          <w:bCs/>
        </w:rPr>
        <w:fldChar w:fldCharType="separate"/>
      </w:r>
      <w:r w:rsidR="0045369C">
        <w:rPr>
          <w:b/>
          <w:bCs/>
          <w:noProof/>
        </w:rPr>
        <w:t>1</w:t>
      </w:r>
      <w:r w:rsidRPr="008769A4">
        <w:rPr>
          <w:b/>
          <w:bCs/>
        </w:rPr>
        <w:fldChar w:fldCharType="end"/>
      </w:r>
      <w:r w:rsidRPr="008769A4">
        <w:rPr>
          <w:b/>
          <w:bCs/>
        </w:rPr>
        <w:t>.</w:t>
      </w:r>
      <w:r>
        <w:t xml:space="preserve"> </w:t>
      </w:r>
      <w:r w:rsidR="00BE0144" w:rsidRPr="00B53A73">
        <w:rPr>
          <w:lang w:eastAsia="es-ES"/>
        </w:rPr>
        <w:t>Resultados clínicos del misoprostol y comparaciones reportadas en los estudios incluidos</w:t>
      </w:r>
      <w:r>
        <w:rPr>
          <w:lang w:eastAsia="es-ES"/>
        </w:rPr>
        <w:t xml:space="preserve"> en la revision</w:t>
      </w:r>
      <w:bookmarkEnd w:id="44"/>
      <w:r>
        <w:rPr>
          <w:lang w:eastAsia="es-ES"/>
        </w:rPr>
        <w:t xml:space="preserve"> </w:t>
      </w:r>
    </w:p>
    <w:tbl>
      <w:tblPr>
        <w:tblStyle w:val="Tablaconcuadrcula"/>
        <w:tblW w:w="0" w:type="auto"/>
        <w:tblLook w:val="04A0" w:firstRow="1" w:lastRow="0" w:firstColumn="1" w:lastColumn="0" w:noHBand="0" w:noVBand="1"/>
      </w:tblPr>
      <w:tblGrid>
        <w:gridCol w:w="532"/>
        <w:gridCol w:w="1518"/>
        <w:gridCol w:w="1214"/>
        <w:gridCol w:w="1528"/>
        <w:gridCol w:w="1819"/>
        <w:gridCol w:w="3431"/>
        <w:gridCol w:w="2952"/>
      </w:tblGrid>
      <w:tr w:rsidR="00BE0144" w:rsidRPr="001E4932" w14:paraId="73D872A1" w14:textId="77777777" w:rsidTr="000A215B">
        <w:tc>
          <w:tcPr>
            <w:tcW w:w="0" w:type="auto"/>
            <w:shd w:val="clear" w:color="auto" w:fill="F2F2F2" w:themeFill="background1" w:themeFillShade="F2"/>
            <w:hideMark/>
          </w:tcPr>
          <w:p w14:paraId="4C2A3566" w14:textId="77777777" w:rsidR="00BE0144" w:rsidRPr="001E4932" w:rsidRDefault="00BE0144" w:rsidP="000A215B">
            <w:pPr>
              <w:jc w:val="right"/>
              <w:rPr>
                <w:rFonts w:eastAsia="Times New Roman" w:cs="Arial"/>
                <w:b/>
                <w:bCs/>
                <w:sz w:val="23"/>
                <w:szCs w:val="23"/>
                <w:lang w:eastAsia="es-ES"/>
              </w:rPr>
            </w:pPr>
            <w:r w:rsidRPr="001E4932">
              <w:rPr>
                <w:rFonts w:eastAsia="Times New Roman" w:cs="Arial"/>
                <w:b/>
                <w:bCs/>
                <w:sz w:val="23"/>
                <w:szCs w:val="23"/>
                <w:lang w:eastAsia="es-ES"/>
              </w:rPr>
              <w:t>N.º</w:t>
            </w:r>
          </w:p>
        </w:tc>
        <w:tc>
          <w:tcPr>
            <w:tcW w:w="0" w:type="auto"/>
            <w:shd w:val="clear" w:color="auto" w:fill="F2F2F2" w:themeFill="background1" w:themeFillShade="F2"/>
            <w:hideMark/>
          </w:tcPr>
          <w:p w14:paraId="0A4F7009"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Autor y año</w:t>
            </w:r>
          </w:p>
        </w:tc>
        <w:tc>
          <w:tcPr>
            <w:tcW w:w="0" w:type="auto"/>
            <w:shd w:val="clear" w:color="auto" w:fill="F2F2F2" w:themeFill="background1" w:themeFillShade="F2"/>
            <w:hideMark/>
          </w:tcPr>
          <w:p w14:paraId="2489C4EA"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País</w:t>
            </w:r>
          </w:p>
        </w:tc>
        <w:tc>
          <w:tcPr>
            <w:tcW w:w="0" w:type="auto"/>
            <w:shd w:val="clear" w:color="auto" w:fill="F2F2F2" w:themeFill="background1" w:themeFillShade="F2"/>
            <w:hideMark/>
          </w:tcPr>
          <w:p w14:paraId="54540EF6"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Tipo de publicación</w:t>
            </w:r>
          </w:p>
        </w:tc>
        <w:tc>
          <w:tcPr>
            <w:tcW w:w="0" w:type="auto"/>
            <w:shd w:val="clear" w:color="auto" w:fill="F2F2F2" w:themeFill="background1" w:themeFillShade="F2"/>
            <w:hideMark/>
          </w:tcPr>
          <w:p w14:paraId="37CED7EC"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Tipo de estudio</w:t>
            </w:r>
          </w:p>
        </w:tc>
        <w:tc>
          <w:tcPr>
            <w:tcW w:w="0" w:type="auto"/>
            <w:shd w:val="clear" w:color="auto" w:fill="F2F2F2" w:themeFill="background1" w:themeFillShade="F2"/>
            <w:hideMark/>
          </w:tcPr>
          <w:p w14:paraId="153E496F"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Resultados del misoprostol</w:t>
            </w:r>
          </w:p>
        </w:tc>
        <w:tc>
          <w:tcPr>
            <w:tcW w:w="0" w:type="auto"/>
            <w:shd w:val="clear" w:color="auto" w:fill="F2F2F2" w:themeFill="background1" w:themeFillShade="F2"/>
            <w:hideMark/>
          </w:tcPr>
          <w:p w14:paraId="1193F2DB" w14:textId="77777777" w:rsidR="00BE0144" w:rsidRPr="001E4932" w:rsidRDefault="00BE0144" w:rsidP="000A215B">
            <w:pPr>
              <w:jc w:val="center"/>
              <w:rPr>
                <w:rFonts w:eastAsia="Times New Roman" w:cs="Arial"/>
                <w:b/>
                <w:bCs/>
                <w:sz w:val="23"/>
                <w:szCs w:val="23"/>
                <w:lang w:eastAsia="es-ES"/>
              </w:rPr>
            </w:pPr>
            <w:r w:rsidRPr="001E4932">
              <w:rPr>
                <w:rFonts w:eastAsia="Times New Roman" w:cs="Arial"/>
                <w:b/>
                <w:bCs/>
                <w:sz w:val="23"/>
                <w:szCs w:val="23"/>
                <w:lang w:eastAsia="es-ES"/>
              </w:rPr>
              <w:t>Resultados de la comparación</w:t>
            </w:r>
          </w:p>
        </w:tc>
      </w:tr>
      <w:tr w:rsidR="00BE0144" w:rsidRPr="001E4932" w14:paraId="1F8DC7B1" w14:textId="77777777" w:rsidTr="000A215B">
        <w:tc>
          <w:tcPr>
            <w:tcW w:w="0" w:type="auto"/>
            <w:hideMark/>
          </w:tcPr>
          <w:p w14:paraId="51B277BC"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t>1</w:t>
            </w:r>
          </w:p>
        </w:tc>
        <w:tc>
          <w:tcPr>
            <w:tcW w:w="0" w:type="auto"/>
            <w:hideMark/>
          </w:tcPr>
          <w:p w14:paraId="46A83AD8"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Montesinos et al., 2011</w:t>
            </w:r>
          </w:p>
        </w:tc>
        <w:tc>
          <w:tcPr>
            <w:tcW w:w="0" w:type="auto"/>
            <w:hideMark/>
          </w:tcPr>
          <w:p w14:paraId="3EE63840"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Ecuador</w:t>
            </w:r>
          </w:p>
        </w:tc>
        <w:tc>
          <w:tcPr>
            <w:tcW w:w="0" w:type="auto"/>
            <w:hideMark/>
          </w:tcPr>
          <w:p w14:paraId="2108C98A"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Artículo publicado</w:t>
            </w:r>
          </w:p>
        </w:tc>
        <w:tc>
          <w:tcPr>
            <w:tcW w:w="0" w:type="auto"/>
            <w:hideMark/>
          </w:tcPr>
          <w:p w14:paraId="69288840"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Ensayo clínico aleatorizado</w:t>
            </w:r>
          </w:p>
        </w:tc>
        <w:tc>
          <w:tcPr>
            <w:tcW w:w="0" w:type="auto"/>
            <w:hideMark/>
          </w:tcPr>
          <w:p w14:paraId="52FFE647"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Misoprostol oral 600 µg en mujeres con aborto incompleto. De las pacientes con seguimiento, 100/106 lograron evacuación completa, con una tasa de éxito de 94,3%. La tasa de fallo fue 5,7%. Los efectos adversos fueron considerados tolerables por 95% de las mujeres.</w:t>
            </w:r>
          </w:p>
        </w:tc>
        <w:tc>
          <w:tcPr>
            <w:tcW w:w="0" w:type="auto"/>
            <w:hideMark/>
          </w:tcPr>
          <w:p w14:paraId="3E320244"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Comparador: aspiración manual endouterina. La tasa de éxito fue 94,3% con misoprostol versus 100% con aspiración manual endouterina; RR 0,94; IC 95%: 0,90–0,99. La pérdida de seguimiento fue 13,1% con misoprostol y 19,2% con aspiración manual endouterina.</w:t>
            </w:r>
          </w:p>
        </w:tc>
      </w:tr>
      <w:tr w:rsidR="00BE0144" w:rsidRPr="001E4932" w14:paraId="0C9C3B3A" w14:textId="77777777" w:rsidTr="000A215B">
        <w:tc>
          <w:tcPr>
            <w:tcW w:w="0" w:type="auto"/>
            <w:hideMark/>
          </w:tcPr>
          <w:p w14:paraId="1D3294BD"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t>2</w:t>
            </w:r>
          </w:p>
        </w:tc>
        <w:tc>
          <w:tcPr>
            <w:tcW w:w="0" w:type="auto"/>
            <w:hideMark/>
          </w:tcPr>
          <w:p w14:paraId="3880DC6B"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Estrada y Espinal, 2015</w:t>
            </w:r>
          </w:p>
        </w:tc>
        <w:tc>
          <w:tcPr>
            <w:tcW w:w="0" w:type="auto"/>
            <w:hideMark/>
          </w:tcPr>
          <w:p w14:paraId="4294D2D5"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Honduras</w:t>
            </w:r>
          </w:p>
        </w:tc>
        <w:tc>
          <w:tcPr>
            <w:tcW w:w="0" w:type="auto"/>
            <w:hideMark/>
          </w:tcPr>
          <w:p w14:paraId="626906AD"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Artículo publicado</w:t>
            </w:r>
          </w:p>
        </w:tc>
        <w:tc>
          <w:tcPr>
            <w:tcW w:w="0" w:type="auto"/>
            <w:hideMark/>
          </w:tcPr>
          <w:p w14:paraId="7231F7C2"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prospectivo de intervención sin grupo control</w:t>
            </w:r>
          </w:p>
        </w:tc>
        <w:tc>
          <w:tcPr>
            <w:tcW w:w="0" w:type="auto"/>
            <w:hideMark/>
          </w:tcPr>
          <w:p w14:paraId="01FAB050"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 xml:space="preserve">Misoprostol oral 800 µg en 100 pacientes con aborto incompleto. La tasa de éxito fue 81%. El fracaso terapéutico ocurrió en 19% y fue manejado posteriormente con curetaje. Se reportó un caso de sangrado </w:t>
            </w:r>
            <w:r w:rsidRPr="001E4932">
              <w:rPr>
                <w:rFonts w:eastAsia="Times New Roman" w:cs="Arial"/>
                <w:sz w:val="23"/>
                <w:szCs w:val="23"/>
                <w:lang w:eastAsia="es-ES"/>
              </w:rPr>
              <w:lastRenderedPageBreak/>
              <w:t>clínicamente significativo, sin necesidad de transfusión, resuelto con curetaje.</w:t>
            </w:r>
          </w:p>
        </w:tc>
        <w:tc>
          <w:tcPr>
            <w:tcW w:w="0" w:type="auto"/>
            <w:hideMark/>
          </w:tcPr>
          <w:p w14:paraId="094A90A8"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lastRenderedPageBreak/>
              <w:t xml:space="preserve">No incluyó grupo comparador. La comparación clínica disponible corresponde al manejo posterior de los casos fallidos, que requirieron curetaje sin </w:t>
            </w:r>
            <w:r w:rsidRPr="001E4932">
              <w:rPr>
                <w:rFonts w:eastAsia="Times New Roman" w:cs="Arial"/>
                <w:sz w:val="23"/>
                <w:szCs w:val="23"/>
                <w:lang w:eastAsia="es-ES"/>
              </w:rPr>
              <w:lastRenderedPageBreak/>
              <w:t>complicaciones posteriores.</w:t>
            </w:r>
          </w:p>
        </w:tc>
      </w:tr>
      <w:tr w:rsidR="00BE0144" w:rsidRPr="001E4932" w14:paraId="0FC0856A" w14:textId="77777777" w:rsidTr="000A215B">
        <w:tc>
          <w:tcPr>
            <w:tcW w:w="0" w:type="auto"/>
            <w:hideMark/>
          </w:tcPr>
          <w:p w14:paraId="6098E166"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lastRenderedPageBreak/>
              <w:t>3</w:t>
            </w:r>
          </w:p>
        </w:tc>
        <w:tc>
          <w:tcPr>
            <w:tcW w:w="0" w:type="auto"/>
            <w:hideMark/>
          </w:tcPr>
          <w:p w14:paraId="640BDF9F"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Sepúlveda Rivera et al., 2019</w:t>
            </w:r>
          </w:p>
        </w:tc>
        <w:tc>
          <w:tcPr>
            <w:tcW w:w="0" w:type="auto"/>
            <w:hideMark/>
          </w:tcPr>
          <w:p w14:paraId="368EBA58"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México</w:t>
            </w:r>
          </w:p>
        </w:tc>
        <w:tc>
          <w:tcPr>
            <w:tcW w:w="0" w:type="auto"/>
            <w:hideMark/>
          </w:tcPr>
          <w:p w14:paraId="1C8F84CF"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Artículo publicado</w:t>
            </w:r>
          </w:p>
        </w:tc>
        <w:tc>
          <w:tcPr>
            <w:tcW w:w="0" w:type="auto"/>
            <w:hideMark/>
          </w:tcPr>
          <w:p w14:paraId="48E6AD93"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observacional transversal descriptivo</w:t>
            </w:r>
          </w:p>
        </w:tc>
        <w:tc>
          <w:tcPr>
            <w:tcW w:w="0" w:type="auto"/>
            <w:hideMark/>
          </w:tcPr>
          <w:p w14:paraId="549DB8F7"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Misoprostol según esquema FIGO 2017 en 76 pacientes con aborto espontáneo del primer trimestre. Se logró evacuación uterina completa en 98,6% de los casos. El efecto adverso más frecuente fue sangrado vaginal asociado a dolor pélvico, reportado en 72,3%.</w:t>
            </w:r>
          </w:p>
        </w:tc>
        <w:tc>
          <w:tcPr>
            <w:tcW w:w="0" w:type="auto"/>
            <w:hideMark/>
          </w:tcPr>
          <w:p w14:paraId="41CDD065"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No incluyó grupo comparador. El estudio describe la eficacia del protocolo FIGO 2017 con misoprostol en aborto diferido, aborto incompleto y embarazo anembrionado.</w:t>
            </w:r>
          </w:p>
        </w:tc>
      </w:tr>
      <w:tr w:rsidR="00BE0144" w:rsidRPr="001E4932" w14:paraId="1C257689" w14:textId="77777777" w:rsidTr="000A215B">
        <w:tc>
          <w:tcPr>
            <w:tcW w:w="0" w:type="auto"/>
            <w:hideMark/>
          </w:tcPr>
          <w:p w14:paraId="67CAFB5D"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t>4</w:t>
            </w:r>
          </w:p>
        </w:tc>
        <w:tc>
          <w:tcPr>
            <w:tcW w:w="0" w:type="auto"/>
            <w:hideMark/>
          </w:tcPr>
          <w:p w14:paraId="711A000A"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Martínez-Rodas et al., 2020</w:t>
            </w:r>
          </w:p>
        </w:tc>
        <w:tc>
          <w:tcPr>
            <w:tcW w:w="0" w:type="auto"/>
            <w:hideMark/>
          </w:tcPr>
          <w:p w14:paraId="0D8076FF"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Honduras</w:t>
            </w:r>
          </w:p>
        </w:tc>
        <w:tc>
          <w:tcPr>
            <w:tcW w:w="0" w:type="auto"/>
            <w:hideMark/>
          </w:tcPr>
          <w:p w14:paraId="1461D5C1"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Artículo publicado</w:t>
            </w:r>
          </w:p>
        </w:tc>
        <w:tc>
          <w:tcPr>
            <w:tcW w:w="0" w:type="auto"/>
            <w:hideMark/>
          </w:tcPr>
          <w:p w14:paraId="0851FAAC"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observacional descriptivo transversal prospectivo</w:t>
            </w:r>
          </w:p>
        </w:tc>
        <w:tc>
          <w:tcPr>
            <w:tcW w:w="0" w:type="auto"/>
            <w:hideMark/>
          </w:tcPr>
          <w:p w14:paraId="67244E53" w14:textId="77777777" w:rsidR="00BE0144" w:rsidRDefault="00BE0144" w:rsidP="000A215B">
            <w:pPr>
              <w:rPr>
                <w:rFonts w:cs="Arial"/>
                <w:sz w:val="23"/>
                <w:szCs w:val="23"/>
              </w:rPr>
            </w:pPr>
            <w:r w:rsidRPr="001E4932">
              <w:rPr>
                <w:rFonts w:cs="Arial"/>
                <w:sz w:val="23"/>
                <w:szCs w:val="23"/>
              </w:rPr>
              <w:t xml:space="preserve">Misoprostol en 155 pacientes con aborto menor de 12 semanas. La primera dosis fue suficiente en 40,0% de las pacientes, dos dosis fueron requeridas en 37,42% y tres dosis en 22,58%. En aborto incompleto, una dosis fue suficiente en 38,71% de los casos. Los efectos secundarios </w:t>
            </w:r>
            <w:r w:rsidRPr="001E4932">
              <w:rPr>
                <w:rFonts w:cs="Arial"/>
                <w:sz w:val="23"/>
                <w:szCs w:val="23"/>
              </w:rPr>
              <w:lastRenderedPageBreak/>
              <w:t>más frecuentes fueron náuseas 86,45%, vómitos 36,13%, fiebre 23,87% y diarrea 11,61%. Las complicaciones reportadas fueron fallo del método 7,74% y hemorragia 2,58%.</w:t>
            </w:r>
          </w:p>
          <w:p w14:paraId="4C0A5CBE" w14:textId="3EC3586E" w:rsidR="001E4932" w:rsidRPr="001E4932" w:rsidRDefault="001E4932" w:rsidP="000A215B">
            <w:pPr>
              <w:rPr>
                <w:rFonts w:eastAsia="Times New Roman" w:cs="Arial"/>
                <w:sz w:val="23"/>
                <w:szCs w:val="23"/>
                <w:lang w:eastAsia="es-ES"/>
              </w:rPr>
            </w:pPr>
          </w:p>
        </w:tc>
        <w:tc>
          <w:tcPr>
            <w:tcW w:w="0" w:type="auto"/>
            <w:hideMark/>
          </w:tcPr>
          <w:p w14:paraId="4494D112" w14:textId="77777777" w:rsidR="00BE0144" w:rsidRPr="001E4932" w:rsidRDefault="00BE0144" w:rsidP="000A215B">
            <w:pPr>
              <w:rPr>
                <w:rFonts w:eastAsia="Times New Roman" w:cs="Arial"/>
                <w:sz w:val="23"/>
                <w:szCs w:val="23"/>
                <w:lang w:eastAsia="es-ES"/>
              </w:rPr>
            </w:pPr>
            <w:r w:rsidRPr="001E4932">
              <w:rPr>
                <w:rFonts w:cs="Arial"/>
                <w:sz w:val="23"/>
                <w:szCs w:val="23"/>
              </w:rPr>
              <w:lastRenderedPageBreak/>
              <w:t>No incluyó grupo comparador formal. En los casos con complicaciones o fallo del método, el procedimiento posterior más utilizado fue AMEU en 87,50% de los casos; el resto correspondió a legrado uterino instrumental.</w:t>
            </w:r>
          </w:p>
        </w:tc>
      </w:tr>
      <w:tr w:rsidR="00BE0144" w:rsidRPr="001E4932" w14:paraId="13F4D643" w14:textId="77777777" w:rsidTr="000A215B">
        <w:tc>
          <w:tcPr>
            <w:tcW w:w="0" w:type="auto"/>
            <w:hideMark/>
          </w:tcPr>
          <w:p w14:paraId="644114D3"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t>5</w:t>
            </w:r>
          </w:p>
        </w:tc>
        <w:tc>
          <w:tcPr>
            <w:tcW w:w="0" w:type="auto"/>
            <w:hideMark/>
          </w:tcPr>
          <w:p w14:paraId="2FC8BF31"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Alvarado-Franco et al., 2025</w:t>
            </w:r>
          </w:p>
        </w:tc>
        <w:tc>
          <w:tcPr>
            <w:tcW w:w="0" w:type="auto"/>
            <w:hideMark/>
          </w:tcPr>
          <w:p w14:paraId="435B7ACA"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Perú</w:t>
            </w:r>
          </w:p>
        </w:tc>
        <w:tc>
          <w:tcPr>
            <w:tcW w:w="0" w:type="auto"/>
            <w:hideMark/>
          </w:tcPr>
          <w:p w14:paraId="278275DF"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Artículo publicado</w:t>
            </w:r>
          </w:p>
        </w:tc>
        <w:tc>
          <w:tcPr>
            <w:tcW w:w="0" w:type="auto"/>
            <w:hideMark/>
          </w:tcPr>
          <w:p w14:paraId="52F0A15C"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observacional retrospectivo descriptivo</w:t>
            </w:r>
          </w:p>
        </w:tc>
        <w:tc>
          <w:tcPr>
            <w:tcW w:w="0" w:type="auto"/>
            <w:hideMark/>
          </w:tcPr>
          <w:p w14:paraId="746B2CD9"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El tratamiento farmacológico con misoprostol fue la estrategia más utilizada: 173/321 pacientes, equivalente a 53,9%. Entre las pacientes tratadas farmacológicamente y reevaluadas, 36,3% requirió tratamiento adicional; cuando el tratamiento adicional fue farmacológico, el fármaco utilizado fue misoprostol en 100% de los casos.</w:t>
            </w:r>
          </w:p>
        </w:tc>
        <w:tc>
          <w:tcPr>
            <w:tcW w:w="0" w:type="auto"/>
            <w:hideMark/>
          </w:tcPr>
          <w:p w14:paraId="4EA46649"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Comparación descriptiva entre modalidades de manejo. Tratamiento expectante: 32/321 pacientes (10,0%); tratamiento farmacológico con misoprostol: 173/321 (53,9%); tratamiento quirúrgico: 116/321 (36,1%). El tratamiento adicional fue requerido por 50,0% del grupo expectante, 36,3% del grupo farmacológico y 0% del grupo quirúrgico.</w:t>
            </w:r>
          </w:p>
        </w:tc>
      </w:tr>
      <w:tr w:rsidR="00BE0144" w:rsidRPr="001E4932" w14:paraId="436753F2" w14:textId="77777777" w:rsidTr="000A215B">
        <w:tc>
          <w:tcPr>
            <w:tcW w:w="0" w:type="auto"/>
            <w:hideMark/>
          </w:tcPr>
          <w:p w14:paraId="32CC96B7"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lastRenderedPageBreak/>
              <w:t>6</w:t>
            </w:r>
          </w:p>
        </w:tc>
        <w:tc>
          <w:tcPr>
            <w:tcW w:w="0" w:type="auto"/>
            <w:hideMark/>
          </w:tcPr>
          <w:p w14:paraId="6DBEC42B"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Chérrez Ramos y Arévalo Villanueva, 2021</w:t>
            </w:r>
          </w:p>
        </w:tc>
        <w:tc>
          <w:tcPr>
            <w:tcW w:w="0" w:type="auto"/>
            <w:hideMark/>
          </w:tcPr>
          <w:p w14:paraId="4A788FB8"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Ecuador</w:t>
            </w:r>
          </w:p>
        </w:tc>
        <w:tc>
          <w:tcPr>
            <w:tcW w:w="0" w:type="auto"/>
            <w:hideMark/>
          </w:tcPr>
          <w:p w14:paraId="0E2E677B"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Tesis</w:t>
            </w:r>
          </w:p>
        </w:tc>
        <w:tc>
          <w:tcPr>
            <w:tcW w:w="0" w:type="auto"/>
            <w:hideMark/>
          </w:tcPr>
          <w:p w14:paraId="254480CC"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observacional retrospectivo transversal comparativo</w:t>
            </w:r>
          </w:p>
        </w:tc>
        <w:tc>
          <w:tcPr>
            <w:tcW w:w="0" w:type="auto"/>
            <w:hideMark/>
          </w:tcPr>
          <w:p w14:paraId="5E70F7B7" w14:textId="77777777" w:rsidR="001E4932" w:rsidRDefault="00BE0144" w:rsidP="000A215B">
            <w:pPr>
              <w:rPr>
                <w:rFonts w:eastAsia="Times New Roman" w:cs="Arial"/>
                <w:sz w:val="23"/>
                <w:szCs w:val="23"/>
                <w:lang w:eastAsia="es-ES"/>
              </w:rPr>
            </w:pPr>
            <w:r w:rsidRPr="001E4932">
              <w:rPr>
                <w:rFonts w:eastAsia="Times New Roman" w:cs="Arial"/>
                <w:sz w:val="23"/>
                <w:szCs w:val="23"/>
                <w:lang w:eastAsia="es-ES"/>
              </w:rPr>
              <w:t xml:space="preserve">Misoprostol en pacientes de 25 a 35 años con aborto incompleto. El fracaso del tratamiento con misoprostol fue elevado y requirió complemento con legrado uterino instrumental en 76,9%. </w:t>
            </w:r>
          </w:p>
          <w:p w14:paraId="4A22AD57" w14:textId="77777777" w:rsidR="001E4932" w:rsidRDefault="001E4932" w:rsidP="000A215B">
            <w:pPr>
              <w:rPr>
                <w:rFonts w:eastAsia="Times New Roman" w:cs="Arial"/>
                <w:sz w:val="23"/>
                <w:szCs w:val="23"/>
                <w:lang w:eastAsia="es-ES"/>
              </w:rPr>
            </w:pPr>
          </w:p>
          <w:p w14:paraId="1C7E7239" w14:textId="2EDC07C4" w:rsidR="00BE0144" w:rsidRDefault="00BE0144" w:rsidP="000A215B">
            <w:pPr>
              <w:rPr>
                <w:rFonts w:eastAsia="Times New Roman" w:cs="Arial"/>
                <w:sz w:val="23"/>
                <w:szCs w:val="23"/>
                <w:lang w:eastAsia="es-ES"/>
              </w:rPr>
            </w:pPr>
            <w:r w:rsidRPr="001E4932">
              <w:rPr>
                <w:rFonts w:eastAsia="Times New Roman" w:cs="Arial"/>
                <w:sz w:val="23"/>
                <w:szCs w:val="23"/>
                <w:lang w:eastAsia="es-ES"/>
              </w:rPr>
              <w:t>Las complicaciones más descritas con misoprostol fueron dolor abdominal y sangrado escaso, reportadas en 35,7%.</w:t>
            </w:r>
          </w:p>
          <w:p w14:paraId="500DE4E8" w14:textId="2DE7463E" w:rsidR="001E4932" w:rsidRPr="001E4932" w:rsidRDefault="001E4932" w:rsidP="000A215B">
            <w:pPr>
              <w:rPr>
                <w:rFonts w:eastAsia="Times New Roman" w:cs="Arial"/>
                <w:sz w:val="23"/>
                <w:szCs w:val="23"/>
                <w:lang w:eastAsia="es-ES"/>
              </w:rPr>
            </w:pPr>
          </w:p>
        </w:tc>
        <w:tc>
          <w:tcPr>
            <w:tcW w:w="0" w:type="auto"/>
            <w:hideMark/>
          </w:tcPr>
          <w:p w14:paraId="4013671B"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Comparador: legrado uterino instrumental. El legrado fue el manejo más frecuente, con 62,2% de los casos, y presentó 83,3% de éxito. El estudio concluyó que la eficacia se asoció principalmente al legrado uterino instrumental.</w:t>
            </w:r>
          </w:p>
        </w:tc>
      </w:tr>
      <w:tr w:rsidR="00BE0144" w:rsidRPr="001E4932" w14:paraId="1A2A0E94" w14:textId="77777777" w:rsidTr="000A215B">
        <w:tc>
          <w:tcPr>
            <w:tcW w:w="0" w:type="auto"/>
            <w:hideMark/>
          </w:tcPr>
          <w:p w14:paraId="6E0C3C49"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t>7</w:t>
            </w:r>
          </w:p>
        </w:tc>
        <w:tc>
          <w:tcPr>
            <w:tcW w:w="0" w:type="auto"/>
            <w:hideMark/>
          </w:tcPr>
          <w:p w14:paraId="6671A066"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Rueda Espinel, 2022</w:t>
            </w:r>
          </w:p>
        </w:tc>
        <w:tc>
          <w:tcPr>
            <w:tcW w:w="0" w:type="auto"/>
            <w:hideMark/>
          </w:tcPr>
          <w:p w14:paraId="302347D7"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Colombia</w:t>
            </w:r>
          </w:p>
        </w:tc>
        <w:tc>
          <w:tcPr>
            <w:tcW w:w="0" w:type="auto"/>
            <w:hideMark/>
          </w:tcPr>
          <w:p w14:paraId="5487D454"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Tesis</w:t>
            </w:r>
          </w:p>
        </w:tc>
        <w:tc>
          <w:tcPr>
            <w:tcW w:w="0" w:type="auto"/>
            <w:hideMark/>
          </w:tcPr>
          <w:p w14:paraId="79E97075"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Cohorte prospectiva</w:t>
            </w:r>
          </w:p>
        </w:tc>
        <w:tc>
          <w:tcPr>
            <w:tcW w:w="0" w:type="auto"/>
            <w:hideMark/>
          </w:tcPr>
          <w:p w14:paraId="0B8C1F75"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 xml:space="preserve">Misoprostol como manejo médico intramural del aborto espontáneo en 157 participantes. El tratamiento fue exitoso en 116 mujeres, equivalente a 74% (IC 95%: 66,28–80,56). Factores asociados con mayor éxito incluyeron sangrado vaginal </w:t>
            </w:r>
            <w:r w:rsidRPr="001E4932">
              <w:rPr>
                <w:rFonts w:eastAsia="Times New Roman" w:cs="Arial"/>
                <w:sz w:val="23"/>
                <w:szCs w:val="23"/>
                <w:lang w:eastAsia="es-ES"/>
              </w:rPr>
              <w:lastRenderedPageBreak/>
              <w:t>previo y antecedente de parto vaginal.</w:t>
            </w:r>
          </w:p>
        </w:tc>
        <w:tc>
          <w:tcPr>
            <w:tcW w:w="0" w:type="auto"/>
            <w:hideMark/>
          </w:tcPr>
          <w:p w14:paraId="659D3CB2" w14:textId="77777777" w:rsidR="001E4932" w:rsidRDefault="00BE0144" w:rsidP="000A215B">
            <w:pPr>
              <w:rPr>
                <w:rFonts w:eastAsia="Times New Roman" w:cs="Arial"/>
                <w:sz w:val="23"/>
                <w:szCs w:val="23"/>
                <w:lang w:eastAsia="es-ES"/>
              </w:rPr>
            </w:pPr>
            <w:r w:rsidRPr="001E4932">
              <w:rPr>
                <w:rFonts w:eastAsia="Times New Roman" w:cs="Arial"/>
                <w:sz w:val="23"/>
                <w:szCs w:val="23"/>
                <w:lang w:eastAsia="es-ES"/>
              </w:rPr>
              <w:lastRenderedPageBreak/>
              <w:t xml:space="preserve">No incluyó comparador terapéutico inicial. La comparación fue interna entre manejo exitoso y fallo del manejo médico. </w:t>
            </w:r>
          </w:p>
          <w:p w14:paraId="796D6188" w14:textId="77777777" w:rsidR="001E4932" w:rsidRDefault="001E4932" w:rsidP="000A215B">
            <w:pPr>
              <w:rPr>
                <w:rFonts w:eastAsia="Times New Roman" w:cs="Arial"/>
                <w:sz w:val="23"/>
                <w:szCs w:val="23"/>
                <w:lang w:eastAsia="es-ES"/>
              </w:rPr>
            </w:pPr>
          </w:p>
          <w:p w14:paraId="5FA7ADCC" w14:textId="5C2E5B32" w:rsidR="00BE0144" w:rsidRDefault="00BE0144" w:rsidP="000A215B">
            <w:pPr>
              <w:rPr>
                <w:rFonts w:eastAsia="Times New Roman" w:cs="Arial"/>
                <w:sz w:val="23"/>
                <w:szCs w:val="23"/>
                <w:lang w:eastAsia="es-ES"/>
              </w:rPr>
            </w:pPr>
            <w:r w:rsidRPr="001E4932">
              <w:rPr>
                <w:rFonts w:eastAsia="Times New Roman" w:cs="Arial"/>
                <w:sz w:val="23"/>
                <w:szCs w:val="23"/>
                <w:lang w:eastAsia="es-ES"/>
              </w:rPr>
              <w:t xml:space="preserve">La pérdida gestacional después de la semana 13 aumentó el riesgo de fallo, </w:t>
            </w:r>
            <w:r w:rsidRPr="001E4932">
              <w:rPr>
                <w:rFonts w:eastAsia="Times New Roman" w:cs="Arial"/>
                <w:sz w:val="23"/>
                <w:szCs w:val="23"/>
                <w:lang w:eastAsia="es-ES"/>
              </w:rPr>
              <w:lastRenderedPageBreak/>
              <w:t>RR 3,49; IC 95%: 2,21–5,52. Más de 4 dosis de misoprostol se asoció con fracaso, RR 3,15; IC 95%: 1,53–6,5.</w:t>
            </w:r>
          </w:p>
          <w:p w14:paraId="199F9529" w14:textId="39F0A2F0" w:rsidR="001E4932" w:rsidRPr="001E4932" w:rsidRDefault="001E4932" w:rsidP="000A215B">
            <w:pPr>
              <w:rPr>
                <w:rFonts w:eastAsia="Times New Roman" w:cs="Arial"/>
                <w:sz w:val="23"/>
                <w:szCs w:val="23"/>
                <w:lang w:eastAsia="es-ES"/>
              </w:rPr>
            </w:pPr>
          </w:p>
        </w:tc>
      </w:tr>
      <w:tr w:rsidR="00BE0144" w:rsidRPr="001E4932" w14:paraId="5CD833D8" w14:textId="77777777" w:rsidTr="000A215B">
        <w:tc>
          <w:tcPr>
            <w:tcW w:w="0" w:type="auto"/>
            <w:hideMark/>
          </w:tcPr>
          <w:p w14:paraId="5A7DFE95" w14:textId="77777777" w:rsidR="00BE0144" w:rsidRPr="001E4932" w:rsidRDefault="00BE0144" w:rsidP="000A215B">
            <w:pPr>
              <w:jc w:val="right"/>
              <w:rPr>
                <w:rFonts w:eastAsia="Times New Roman" w:cs="Arial"/>
                <w:sz w:val="23"/>
                <w:szCs w:val="23"/>
                <w:lang w:eastAsia="es-ES"/>
              </w:rPr>
            </w:pPr>
            <w:r w:rsidRPr="001E4932">
              <w:rPr>
                <w:rFonts w:eastAsia="Times New Roman" w:cs="Arial"/>
                <w:sz w:val="23"/>
                <w:szCs w:val="23"/>
                <w:lang w:eastAsia="es-ES"/>
              </w:rPr>
              <w:lastRenderedPageBreak/>
              <w:t>8</w:t>
            </w:r>
          </w:p>
        </w:tc>
        <w:tc>
          <w:tcPr>
            <w:tcW w:w="0" w:type="auto"/>
            <w:hideMark/>
          </w:tcPr>
          <w:p w14:paraId="2E9C8A86"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Valles Jáquez, 2024</w:t>
            </w:r>
          </w:p>
        </w:tc>
        <w:tc>
          <w:tcPr>
            <w:tcW w:w="0" w:type="auto"/>
            <w:hideMark/>
          </w:tcPr>
          <w:p w14:paraId="467AFBD7"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México</w:t>
            </w:r>
          </w:p>
        </w:tc>
        <w:tc>
          <w:tcPr>
            <w:tcW w:w="0" w:type="auto"/>
            <w:hideMark/>
          </w:tcPr>
          <w:p w14:paraId="771C33AE"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Tesis</w:t>
            </w:r>
          </w:p>
        </w:tc>
        <w:tc>
          <w:tcPr>
            <w:tcW w:w="0" w:type="auto"/>
            <w:hideMark/>
          </w:tcPr>
          <w:p w14:paraId="0FF78C7B"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Estudio observacional retrospectivo descriptivo</w:t>
            </w:r>
          </w:p>
        </w:tc>
        <w:tc>
          <w:tcPr>
            <w:tcW w:w="0" w:type="auto"/>
            <w:hideMark/>
          </w:tcPr>
          <w:p w14:paraId="26D4FE50" w14:textId="77777777"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Misoprostol en 90 pacientes con aborto del primer trimestre. La expulsión completa sin tratamiento quirúrgico posterior se logró en 48,89%; el fallo del manejo médico ocurrió en 51,11%. La dosis más usada fue 600 µg (68,89%); la vía más frecuente fue sublingual (64,44%). La tasa de complicaciones secundarias al misoprostol fue 0,49%.</w:t>
            </w:r>
          </w:p>
        </w:tc>
        <w:tc>
          <w:tcPr>
            <w:tcW w:w="0" w:type="auto"/>
            <w:hideMark/>
          </w:tcPr>
          <w:p w14:paraId="76CB31A4" w14:textId="77777777" w:rsidR="001E4932" w:rsidRDefault="00BE0144" w:rsidP="000A215B">
            <w:pPr>
              <w:rPr>
                <w:rFonts w:eastAsia="Times New Roman" w:cs="Arial"/>
                <w:sz w:val="23"/>
                <w:szCs w:val="23"/>
                <w:lang w:eastAsia="es-ES"/>
              </w:rPr>
            </w:pPr>
            <w:r w:rsidRPr="001E4932">
              <w:rPr>
                <w:rFonts w:eastAsia="Times New Roman" w:cs="Arial"/>
                <w:sz w:val="23"/>
                <w:szCs w:val="23"/>
                <w:lang w:eastAsia="es-ES"/>
              </w:rPr>
              <w:t xml:space="preserve">Comparación descriptiva con manejo quirúrgico. De 206 pacientes incluidas, 43,69% recibió misoprostol y 56,31% fue sometida a tratamiento quirúrgico de primera intención. </w:t>
            </w:r>
          </w:p>
          <w:p w14:paraId="62A7726B" w14:textId="77777777" w:rsidR="001E4932" w:rsidRDefault="001E4932" w:rsidP="000A215B">
            <w:pPr>
              <w:rPr>
                <w:rFonts w:eastAsia="Times New Roman" w:cs="Arial"/>
                <w:sz w:val="23"/>
                <w:szCs w:val="23"/>
                <w:lang w:eastAsia="es-ES"/>
              </w:rPr>
            </w:pPr>
          </w:p>
          <w:p w14:paraId="542CFC4F" w14:textId="6C3C5C22" w:rsidR="00BE0144" w:rsidRPr="001E4932" w:rsidRDefault="00BE0144" w:rsidP="000A215B">
            <w:pPr>
              <w:rPr>
                <w:rFonts w:eastAsia="Times New Roman" w:cs="Arial"/>
                <w:sz w:val="23"/>
                <w:szCs w:val="23"/>
                <w:lang w:eastAsia="es-ES"/>
              </w:rPr>
            </w:pPr>
            <w:r w:rsidRPr="001E4932">
              <w:rPr>
                <w:rFonts w:eastAsia="Times New Roman" w:cs="Arial"/>
                <w:sz w:val="23"/>
                <w:szCs w:val="23"/>
                <w:lang w:eastAsia="es-ES"/>
              </w:rPr>
              <w:t>En total, 165 pacientes recibieron tratamiento quirúrgico: 70% como primera intención y 30% por fallo del manejo médico.</w:t>
            </w:r>
          </w:p>
        </w:tc>
      </w:tr>
    </w:tbl>
    <w:p w14:paraId="160A0463" w14:textId="4915863C" w:rsidR="001E4932" w:rsidRDefault="00B933D6" w:rsidP="00BE0144">
      <w:r>
        <w:t>Fuente: Elaboración propia</w:t>
      </w:r>
    </w:p>
    <w:p w14:paraId="1A3BFB9C" w14:textId="7AB53D9F" w:rsidR="00B933D6" w:rsidRDefault="00B933D6" w:rsidP="00BE0144">
      <w:pPr>
        <w:sectPr w:rsidR="00B933D6" w:rsidSect="000A215B">
          <w:pgSz w:w="15840" w:h="12240" w:orient="landscape"/>
          <w:pgMar w:top="1701" w:right="1418" w:bottom="1701" w:left="1418" w:header="709" w:footer="709" w:gutter="0"/>
          <w:cols w:space="708"/>
          <w:docGrid w:linePitch="360"/>
        </w:sectPr>
      </w:pPr>
    </w:p>
    <w:p w14:paraId="455BFBE9" w14:textId="4AE71F13" w:rsidR="00BE0144" w:rsidRPr="002B68C1" w:rsidRDefault="002B68C1" w:rsidP="002B68C1">
      <w:pPr>
        <w:pStyle w:val="Ttulo2"/>
        <w:jc w:val="both"/>
        <w:rPr>
          <w:lang w:val="es-NI"/>
        </w:rPr>
      </w:pPr>
      <w:bookmarkStart w:id="45" w:name="_Toc232987010"/>
      <w:r w:rsidRPr="002B68C1">
        <w:rPr>
          <w:lang w:val="es-NI"/>
        </w:rPr>
        <w:lastRenderedPageBreak/>
        <w:t>Resultados del objetivo 2.</w:t>
      </w:r>
      <w:r>
        <w:rPr>
          <w:lang w:val="es-NI"/>
        </w:rPr>
        <w:t xml:space="preserve"> </w:t>
      </w:r>
      <w:r w:rsidRPr="002B68C1">
        <w:rPr>
          <w:lang w:val="es-NI"/>
        </w:rPr>
        <w:t>Evaluac</w:t>
      </w:r>
      <w:r>
        <w:rPr>
          <w:lang w:val="es-NI"/>
        </w:rPr>
        <w:t>ió</w:t>
      </w:r>
      <w:r w:rsidRPr="002B68C1">
        <w:rPr>
          <w:lang w:val="es-NI"/>
        </w:rPr>
        <w:t>n del riesgo de sesgo de los estudios incluidos y la calidad global de la evidencia disponible</w:t>
      </w:r>
      <w:bookmarkEnd w:id="45"/>
    </w:p>
    <w:p w14:paraId="152483F8" w14:textId="77777777" w:rsidR="002B68C1" w:rsidRDefault="002B68C1" w:rsidP="002B68C1">
      <w:r>
        <w:t>La evaluación metodológica mostró variabilidad en la calidad de la evidencia disponible. El único ensayo clínico aleatorizado incluido, Montesinos et al. (2011), fue evaluado mediante la herramienta Cochrane Risk of Bias 2. El estudio presentó bajo riesgo de sesgo en el proceso de aleatorización, la medición del desenlace y la selección de los resultados reportados. Sin embargo, se identificaron algunas preocupaciones en relación con las desviaciones de las intervenciones previstas, debido a la ausencia de cegamiento, y con los datos faltantes del desenlace, ya que 16% de las participantes no completó el seguimiento. En consecuencia, el juicio global para este ensayo fue de algunas preocupaciones (Tabla 2).</w:t>
      </w:r>
    </w:p>
    <w:p w14:paraId="31D6CF87" w14:textId="77777777" w:rsidR="002B68C1" w:rsidRDefault="002B68C1" w:rsidP="002B68C1">
      <w:r>
        <w:t>Los siete estudios observacionales fueron evaluados mediante la escala Newcastle-Ottawa adaptada, con puntuaciones entre 4 y 7 de un máximo de 9 puntos. Tres estudios obtuvieron cuatro puntos y fueron clasificados como de calidad metodológica baja: Estrada y Espinal (2015), Sepúlveda Rivera et al. (2019) y Martínez-Rodas et al. (2020). Las principales limitaciones fueron la ausencia de grupo comparador, la selección hospitalaria de las participantes, el muestreo por conveniencia, el seguimiento limitado y la falta de control de posibles factores de confusión.</w:t>
      </w:r>
    </w:p>
    <w:p w14:paraId="056D7FE5" w14:textId="77777777" w:rsidR="002B68C1" w:rsidRDefault="002B68C1" w:rsidP="002B68C1">
      <w:r>
        <w:t>Tres estudios alcanzaron cinco puntos y fueron clasificados como de calidad metodológica moderada: Alvarado-Franco et al. (2025), Chérrez Ramos y Arévalo Villanueva (2021) y Valles Jáquez (2024). En estos estudios, las principales fuentes de limitación fueron el carácter retrospectivo, la dependencia de registros clínicos potencialmente incompletos, el tamaño muestral reducido en algunos casos y la ausencia de comparaciones ajustadas entre las estrategias de manejo. En particular, las diferencias en las características clínicas iniciales de las pacientes pudieron influir en la elección del tratamiento y en los desenlaces observados.</w:t>
      </w:r>
    </w:p>
    <w:p w14:paraId="4F8348D2" w14:textId="77777777" w:rsidR="002B68C1" w:rsidRDefault="002B68C1" w:rsidP="002B68C1">
      <w:r>
        <w:t xml:space="preserve">Rueda Espinel (2022) obtuvo la puntuación más alta, con siete puntos, y fue clasificado como de calidad metodológica alta. Su diseño de cohorte prospectiva y el seguimiento de las participantes fortalecieron la evaluación del desenlace clínico. </w:t>
      </w:r>
      <w:r>
        <w:lastRenderedPageBreak/>
        <w:t>Sin embargo, al no incluir un comparador terapéutico independiente, sus resultados permitieron identificar factores asociados al éxito o fracaso del misoprostol, pero no estimar comparativamente su eficacia frente a manejo quirúrgico o expectante.</w:t>
      </w:r>
    </w:p>
    <w:p w14:paraId="74DBE2D9" w14:textId="22428E08" w:rsidR="00BE0144" w:rsidRDefault="00B933D6" w:rsidP="002B68C1">
      <w:bookmarkStart w:id="46" w:name="_Hlk232965310"/>
      <w:r w:rsidRPr="00B933D6">
        <w:t>En síntesis, el ensayo clínico aleatorizado presentó algunas preocupaciones de sesgo. Entre los estudios observacionales, tres fueron clasificados con calidad metodológica baja, tres con calidad moderada y uno con calidad alta. Estas valoraciones se consideraron al interpretar los resultados clínicos de cada estudio. La evaluación detallada del riesgo de sesgo y de la calidad metodológica se presenta en las Tablas 2 y 3.</w:t>
      </w:r>
    </w:p>
    <w:p w14:paraId="3D86DADA" w14:textId="0B355A8A" w:rsidR="002B68C1" w:rsidRPr="005A21CC" w:rsidRDefault="002B68C1" w:rsidP="002B68C1">
      <w:pPr>
        <w:pStyle w:val="Descripcin"/>
        <w:rPr>
          <w:lang w:eastAsia="es-ES"/>
        </w:rPr>
      </w:pPr>
      <w:bookmarkStart w:id="47" w:name="_Toc232987033"/>
      <w:bookmarkEnd w:id="46"/>
      <w:r w:rsidRPr="008769A4">
        <w:rPr>
          <w:b/>
          <w:bCs/>
        </w:rPr>
        <w:t xml:space="preserve">Tabla </w:t>
      </w:r>
      <w:r w:rsidRPr="008769A4">
        <w:rPr>
          <w:b/>
          <w:bCs/>
        </w:rPr>
        <w:fldChar w:fldCharType="begin"/>
      </w:r>
      <w:r w:rsidRPr="008769A4">
        <w:rPr>
          <w:b/>
          <w:bCs/>
        </w:rPr>
        <w:instrText xml:space="preserve"> SEQ Tabla \* ARABIC </w:instrText>
      </w:r>
      <w:r w:rsidRPr="008769A4">
        <w:rPr>
          <w:b/>
          <w:bCs/>
        </w:rPr>
        <w:fldChar w:fldCharType="separate"/>
      </w:r>
      <w:r w:rsidR="0045369C">
        <w:rPr>
          <w:b/>
          <w:bCs/>
          <w:noProof/>
        </w:rPr>
        <w:t>2</w:t>
      </w:r>
      <w:r w:rsidRPr="008769A4">
        <w:rPr>
          <w:b/>
          <w:bCs/>
        </w:rPr>
        <w:fldChar w:fldCharType="end"/>
      </w:r>
      <w:r w:rsidRPr="008769A4">
        <w:rPr>
          <w:b/>
          <w:bCs/>
        </w:rPr>
        <w:t>.</w:t>
      </w:r>
      <w:r>
        <w:t xml:space="preserve"> </w:t>
      </w:r>
      <w:r w:rsidRPr="005A21CC">
        <w:rPr>
          <w:lang w:eastAsia="es-ES"/>
        </w:rPr>
        <w:t>Evaluación del riesgo de sesgo del ensayo clínico aleatorizado incluido mediante Cochrane Risk of Bias 2</w:t>
      </w:r>
      <w:bookmarkEnd w:id="47"/>
    </w:p>
    <w:tbl>
      <w:tblPr>
        <w:tblStyle w:val="Tablaconcuadrcula"/>
        <w:tblW w:w="0" w:type="auto"/>
        <w:tblLook w:val="04A0" w:firstRow="1" w:lastRow="0" w:firstColumn="1" w:lastColumn="0" w:noHBand="0" w:noVBand="1"/>
      </w:tblPr>
      <w:tblGrid>
        <w:gridCol w:w="1635"/>
        <w:gridCol w:w="1904"/>
        <w:gridCol w:w="5289"/>
      </w:tblGrid>
      <w:tr w:rsidR="002B68C1" w:rsidRPr="008769A4" w14:paraId="6B65399D" w14:textId="77777777" w:rsidTr="00B933D6">
        <w:tc>
          <w:tcPr>
            <w:tcW w:w="0" w:type="auto"/>
            <w:shd w:val="clear" w:color="auto" w:fill="D9D9D9" w:themeFill="background1" w:themeFillShade="D9"/>
            <w:hideMark/>
          </w:tcPr>
          <w:p w14:paraId="7986B815" w14:textId="77777777" w:rsidR="002B68C1" w:rsidRPr="008769A4" w:rsidRDefault="002B68C1" w:rsidP="002B68C1">
            <w:pPr>
              <w:spacing w:line="276" w:lineRule="auto"/>
              <w:jc w:val="center"/>
              <w:rPr>
                <w:rFonts w:eastAsia="Times New Roman" w:cs="Arial"/>
                <w:b/>
                <w:bCs/>
                <w:sz w:val="22"/>
                <w:szCs w:val="20"/>
                <w:lang w:eastAsia="es-ES"/>
              </w:rPr>
            </w:pPr>
            <w:r w:rsidRPr="008769A4">
              <w:rPr>
                <w:rFonts w:eastAsia="Times New Roman" w:cs="Arial"/>
                <w:b/>
                <w:bCs/>
                <w:sz w:val="22"/>
                <w:szCs w:val="20"/>
                <w:lang w:eastAsia="es-ES"/>
              </w:rPr>
              <w:t>Dominio evaluado</w:t>
            </w:r>
          </w:p>
        </w:tc>
        <w:tc>
          <w:tcPr>
            <w:tcW w:w="1904" w:type="dxa"/>
            <w:shd w:val="clear" w:color="auto" w:fill="D9D9D9" w:themeFill="background1" w:themeFillShade="D9"/>
            <w:hideMark/>
          </w:tcPr>
          <w:p w14:paraId="4050E422" w14:textId="77777777" w:rsidR="002B68C1" w:rsidRPr="008769A4" w:rsidRDefault="002B68C1" w:rsidP="002B68C1">
            <w:pPr>
              <w:spacing w:line="276" w:lineRule="auto"/>
              <w:jc w:val="center"/>
              <w:rPr>
                <w:rFonts w:eastAsia="Times New Roman" w:cs="Arial"/>
                <w:b/>
                <w:bCs/>
                <w:sz w:val="22"/>
                <w:szCs w:val="20"/>
                <w:lang w:eastAsia="es-ES"/>
              </w:rPr>
            </w:pPr>
            <w:r w:rsidRPr="008769A4">
              <w:rPr>
                <w:rFonts w:eastAsia="Times New Roman" w:cs="Arial"/>
                <w:b/>
                <w:bCs/>
                <w:sz w:val="22"/>
                <w:szCs w:val="20"/>
                <w:lang w:eastAsia="es-ES"/>
              </w:rPr>
              <w:t>Juicio para Montesinos et al., 2011</w:t>
            </w:r>
          </w:p>
        </w:tc>
        <w:tc>
          <w:tcPr>
            <w:tcW w:w="5289" w:type="dxa"/>
            <w:shd w:val="clear" w:color="auto" w:fill="D9D9D9" w:themeFill="background1" w:themeFillShade="D9"/>
            <w:hideMark/>
          </w:tcPr>
          <w:p w14:paraId="7A4CB268" w14:textId="77777777" w:rsidR="002B68C1" w:rsidRPr="008769A4" w:rsidRDefault="002B68C1" w:rsidP="002B68C1">
            <w:pPr>
              <w:spacing w:line="276" w:lineRule="auto"/>
              <w:jc w:val="center"/>
              <w:rPr>
                <w:rFonts w:eastAsia="Times New Roman" w:cs="Arial"/>
                <w:b/>
                <w:bCs/>
                <w:sz w:val="22"/>
                <w:szCs w:val="20"/>
                <w:lang w:eastAsia="es-ES"/>
              </w:rPr>
            </w:pPr>
            <w:r w:rsidRPr="008769A4">
              <w:rPr>
                <w:rFonts w:eastAsia="Times New Roman" w:cs="Arial"/>
                <w:b/>
                <w:bCs/>
                <w:sz w:val="22"/>
                <w:szCs w:val="20"/>
                <w:lang w:eastAsia="es-ES"/>
              </w:rPr>
              <w:t>Justificación</w:t>
            </w:r>
          </w:p>
        </w:tc>
      </w:tr>
      <w:tr w:rsidR="002B68C1" w:rsidRPr="008769A4" w14:paraId="69B37783" w14:textId="77777777" w:rsidTr="00B933D6">
        <w:tc>
          <w:tcPr>
            <w:tcW w:w="0" w:type="auto"/>
            <w:hideMark/>
          </w:tcPr>
          <w:p w14:paraId="2560235D"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Proceso de aleatorización</w:t>
            </w:r>
          </w:p>
        </w:tc>
        <w:tc>
          <w:tcPr>
            <w:tcW w:w="1904" w:type="dxa"/>
            <w:hideMark/>
          </w:tcPr>
          <w:p w14:paraId="74396CD7"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Bajo riesgo</w:t>
            </w:r>
          </w:p>
        </w:tc>
        <w:tc>
          <w:tcPr>
            <w:tcW w:w="5289" w:type="dxa"/>
            <w:hideMark/>
          </w:tcPr>
          <w:p w14:paraId="5A116DF0"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El estudio utilizó asignación aleatoria para comparar misoprostol oral 600 µg frente a aspiración manual endouterina en mujeres con aborto incompleto.</w:t>
            </w:r>
          </w:p>
        </w:tc>
      </w:tr>
      <w:tr w:rsidR="002B68C1" w:rsidRPr="008769A4" w14:paraId="30EE1DD5" w14:textId="77777777" w:rsidTr="00B933D6">
        <w:tc>
          <w:tcPr>
            <w:tcW w:w="0" w:type="auto"/>
            <w:hideMark/>
          </w:tcPr>
          <w:p w14:paraId="24FCC8F0"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Desviaciones de las intervenciones previstas</w:t>
            </w:r>
          </w:p>
        </w:tc>
        <w:tc>
          <w:tcPr>
            <w:tcW w:w="1904" w:type="dxa"/>
            <w:hideMark/>
          </w:tcPr>
          <w:p w14:paraId="10B56BB1"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Algunas preocupaciones</w:t>
            </w:r>
          </w:p>
        </w:tc>
        <w:tc>
          <w:tcPr>
            <w:tcW w:w="5289" w:type="dxa"/>
            <w:hideMark/>
          </w:tcPr>
          <w:p w14:paraId="1AF12A3D"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El estudio comparó dos intervenciones claramente diferenciadas y no fue cegado, lo que pudo influir en la atención recibida, la percepción de efectos adversos o la satisfacción reportada.</w:t>
            </w:r>
          </w:p>
        </w:tc>
      </w:tr>
      <w:tr w:rsidR="002B68C1" w:rsidRPr="008769A4" w14:paraId="2016EE70" w14:textId="77777777" w:rsidTr="00B933D6">
        <w:tc>
          <w:tcPr>
            <w:tcW w:w="0" w:type="auto"/>
            <w:hideMark/>
          </w:tcPr>
          <w:p w14:paraId="39FB4CA5"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Datos faltantes del desenlace</w:t>
            </w:r>
          </w:p>
        </w:tc>
        <w:tc>
          <w:tcPr>
            <w:tcW w:w="1904" w:type="dxa"/>
            <w:hideMark/>
          </w:tcPr>
          <w:p w14:paraId="78B82EBA"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Algunas preocupaciones</w:t>
            </w:r>
          </w:p>
        </w:tc>
        <w:tc>
          <w:tcPr>
            <w:tcW w:w="5289" w:type="dxa"/>
            <w:hideMark/>
          </w:tcPr>
          <w:p w14:paraId="4CE59F23" w14:textId="258B1DB2"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 xml:space="preserve">El 16% de las participantes no acudió al seguimiento, </w:t>
            </w:r>
            <w:r w:rsidR="00B933D6">
              <w:rPr>
                <w:rFonts w:eastAsia="Times New Roman" w:cs="Arial"/>
                <w:sz w:val="22"/>
                <w:szCs w:val="20"/>
                <w:lang w:eastAsia="es-ES"/>
              </w:rPr>
              <w:t>y</w:t>
            </w:r>
            <w:r w:rsidRPr="008769A4">
              <w:rPr>
                <w:rFonts w:eastAsia="Times New Roman" w:cs="Arial"/>
                <w:sz w:val="22"/>
                <w:szCs w:val="20"/>
                <w:lang w:eastAsia="es-ES"/>
              </w:rPr>
              <w:t xml:space="preserve"> sus desenlaces fueron desconocidos. Esta pérdida de seguimiento puede afectar la certeza sobre la estimación del éxito terapéutico.</w:t>
            </w:r>
          </w:p>
        </w:tc>
      </w:tr>
      <w:tr w:rsidR="002B68C1" w:rsidRPr="008769A4" w14:paraId="1467B09E" w14:textId="77777777" w:rsidTr="00B933D6">
        <w:tc>
          <w:tcPr>
            <w:tcW w:w="0" w:type="auto"/>
            <w:hideMark/>
          </w:tcPr>
          <w:p w14:paraId="2AC607AB"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Medición del desenlace</w:t>
            </w:r>
          </w:p>
        </w:tc>
        <w:tc>
          <w:tcPr>
            <w:tcW w:w="1904" w:type="dxa"/>
            <w:hideMark/>
          </w:tcPr>
          <w:p w14:paraId="0A2101D1"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Bajo riesgo</w:t>
            </w:r>
          </w:p>
        </w:tc>
        <w:tc>
          <w:tcPr>
            <w:tcW w:w="5289" w:type="dxa"/>
            <w:hideMark/>
          </w:tcPr>
          <w:p w14:paraId="2F4F6879"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El desenlace principal, éxito del tratamiento o evacuación uterina completa, corresponde a un resultado clínico objetivo y verificable durante el seguimiento.</w:t>
            </w:r>
          </w:p>
        </w:tc>
      </w:tr>
      <w:tr w:rsidR="002B68C1" w:rsidRPr="008769A4" w14:paraId="677ADDC8" w14:textId="77777777" w:rsidTr="00B933D6">
        <w:tc>
          <w:tcPr>
            <w:tcW w:w="0" w:type="auto"/>
            <w:hideMark/>
          </w:tcPr>
          <w:p w14:paraId="68EF5BE3"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Selección del resultado reportado</w:t>
            </w:r>
          </w:p>
        </w:tc>
        <w:tc>
          <w:tcPr>
            <w:tcW w:w="1904" w:type="dxa"/>
            <w:hideMark/>
          </w:tcPr>
          <w:p w14:paraId="41A50009"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Bajo riesgo</w:t>
            </w:r>
          </w:p>
        </w:tc>
        <w:tc>
          <w:tcPr>
            <w:tcW w:w="5289" w:type="dxa"/>
            <w:hideMark/>
          </w:tcPr>
          <w:p w14:paraId="71FF3AAC"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El estudio reportó los desenlaces clínicos principales esperados para este tipo de comparación, incluyendo éxito terapéutico, efectos adversos y satisfacción.</w:t>
            </w:r>
          </w:p>
        </w:tc>
      </w:tr>
      <w:tr w:rsidR="002B68C1" w:rsidRPr="008769A4" w14:paraId="3CD94B6C" w14:textId="77777777" w:rsidTr="00B933D6">
        <w:tc>
          <w:tcPr>
            <w:tcW w:w="0" w:type="auto"/>
            <w:hideMark/>
          </w:tcPr>
          <w:p w14:paraId="6F9B20E3"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Juicio global</w:t>
            </w:r>
          </w:p>
        </w:tc>
        <w:tc>
          <w:tcPr>
            <w:tcW w:w="1904" w:type="dxa"/>
            <w:hideMark/>
          </w:tcPr>
          <w:p w14:paraId="2D499F80"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Algunas preocupaciones</w:t>
            </w:r>
          </w:p>
        </w:tc>
        <w:tc>
          <w:tcPr>
            <w:tcW w:w="5289" w:type="dxa"/>
            <w:hideMark/>
          </w:tcPr>
          <w:p w14:paraId="7C78AEDD" w14:textId="77777777" w:rsidR="002B68C1" w:rsidRPr="008769A4" w:rsidRDefault="002B68C1" w:rsidP="002B68C1">
            <w:pPr>
              <w:spacing w:line="276" w:lineRule="auto"/>
              <w:rPr>
                <w:rFonts w:eastAsia="Times New Roman" w:cs="Arial"/>
                <w:sz w:val="22"/>
                <w:szCs w:val="20"/>
                <w:lang w:eastAsia="es-ES"/>
              </w:rPr>
            </w:pPr>
            <w:r w:rsidRPr="008769A4">
              <w:rPr>
                <w:rFonts w:eastAsia="Times New Roman" w:cs="Arial"/>
                <w:sz w:val="22"/>
                <w:szCs w:val="20"/>
                <w:lang w:eastAsia="es-ES"/>
              </w:rPr>
              <w:t>Aunque el diseño aleatorizado fortalece la validez interna, la ausencia de cegamiento y la pérdida de seguimiento justifican clasificar el riesgo global como algunas preocupaciones.</w:t>
            </w:r>
          </w:p>
        </w:tc>
      </w:tr>
    </w:tbl>
    <w:p w14:paraId="2497CC44" w14:textId="4141D67E" w:rsidR="008769A4" w:rsidRDefault="00B933D6" w:rsidP="00EC41BF">
      <w:pPr>
        <w:rPr>
          <w:lang w:val="es-NI"/>
        </w:rPr>
      </w:pPr>
      <w:r>
        <w:t>Fuente: Elaboración propia</w:t>
      </w:r>
    </w:p>
    <w:p w14:paraId="7C1091FF" w14:textId="77777777" w:rsidR="001E4932" w:rsidRDefault="001E4932" w:rsidP="00EC41BF">
      <w:pPr>
        <w:rPr>
          <w:lang w:val="es-NI"/>
        </w:rPr>
        <w:sectPr w:rsidR="001E4932" w:rsidSect="001E4932">
          <w:pgSz w:w="12240" w:h="15840"/>
          <w:pgMar w:top="1418" w:right="1701" w:bottom="1418" w:left="1701" w:header="709" w:footer="709" w:gutter="0"/>
          <w:cols w:space="708"/>
          <w:docGrid w:linePitch="360"/>
        </w:sectPr>
      </w:pPr>
    </w:p>
    <w:p w14:paraId="0B0971EB" w14:textId="2EE6366C" w:rsidR="008769A4" w:rsidRPr="005A21CC" w:rsidRDefault="008769A4" w:rsidP="008769A4">
      <w:pPr>
        <w:pStyle w:val="Descripcin"/>
        <w:rPr>
          <w:lang w:eastAsia="es-ES"/>
        </w:rPr>
      </w:pPr>
      <w:bookmarkStart w:id="48" w:name="_Toc232987034"/>
      <w:r w:rsidRPr="008769A4">
        <w:rPr>
          <w:b/>
          <w:bCs/>
        </w:rPr>
        <w:lastRenderedPageBreak/>
        <w:t xml:space="preserve">Tabla </w:t>
      </w:r>
      <w:r w:rsidRPr="008769A4">
        <w:rPr>
          <w:b/>
          <w:bCs/>
        </w:rPr>
        <w:fldChar w:fldCharType="begin"/>
      </w:r>
      <w:r w:rsidRPr="008769A4">
        <w:rPr>
          <w:b/>
          <w:bCs/>
        </w:rPr>
        <w:instrText xml:space="preserve"> SEQ Tabla \* ARABIC </w:instrText>
      </w:r>
      <w:r w:rsidRPr="008769A4">
        <w:rPr>
          <w:b/>
          <w:bCs/>
        </w:rPr>
        <w:fldChar w:fldCharType="separate"/>
      </w:r>
      <w:r w:rsidR="0045369C">
        <w:rPr>
          <w:b/>
          <w:bCs/>
          <w:noProof/>
        </w:rPr>
        <w:t>3</w:t>
      </w:r>
      <w:r w:rsidRPr="008769A4">
        <w:rPr>
          <w:b/>
          <w:bCs/>
        </w:rPr>
        <w:fldChar w:fldCharType="end"/>
      </w:r>
      <w:r w:rsidRPr="008769A4">
        <w:rPr>
          <w:b/>
          <w:bCs/>
        </w:rPr>
        <w:t>.</w:t>
      </w:r>
      <w:r>
        <w:t xml:space="preserve"> </w:t>
      </w:r>
      <w:r w:rsidRPr="008769A4">
        <w:rPr>
          <w:lang w:eastAsia="es-ES"/>
        </w:rPr>
        <w:t>Evaluación de la calidad metodológica de los estudios observacionales incluidos en la revisión mediante la escala Newcastle-Ottawa adaptada</w:t>
      </w:r>
      <w:bookmarkEnd w:id="48"/>
    </w:p>
    <w:tbl>
      <w:tblPr>
        <w:tblStyle w:val="Tablaconcuadrcula"/>
        <w:tblW w:w="0" w:type="auto"/>
        <w:jc w:val="center"/>
        <w:tblLook w:val="04A0" w:firstRow="1" w:lastRow="0" w:firstColumn="1" w:lastColumn="0" w:noHBand="0" w:noVBand="1"/>
      </w:tblPr>
      <w:tblGrid>
        <w:gridCol w:w="1390"/>
        <w:gridCol w:w="1712"/>
        <w:gridCol w:w="1298"/>
        <w:gridCol w:w="1879"/>
        <w:gridCol w:w="1424"/>
        <w:gridCol w:w="1430"/>
        <w:gridCol w:w="1500"/>
        <w:gridCol w:w="2361"/>
      </w:tblGrid>
      <w:tr w:rsidR="008769A4" w:rsidRPr="00B933D6" w14:paraId="420DAE6F" w14:textId="77777777" w:rsidTr="008769A4">
        <w:trPr>
          <w:jc w:val="center"/>
        </w:trPr>
        <w:tc>
          <w:tcPr>
            <w:tcW w:w="0" w:type="auto"/>
            <w:hideMark/>
          </w:tcPr>
          <w:p w14:paraId="04640723"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Estudio</w:t>
            </w:r>
          </w:p>
        </w:tc>
        <w:tc>
          <w:tcPr>
            <w:tcW w:w="0" w:type="auto"/>
            <w:hideMark/>
          </w:tcPr>
          <w:p w14:paraId="0C727720"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Diseño</w:t>
            </w:r>
          </w:p>
        </w:tc>
        <w:tc>
          <w:tcPr>
            <w:tcW w:w="0" w:type="auto"/>
            <w:hideMark/>
          </w:tcPr>
          <w:p w14:paraId="48A38ED5" w14:textId="75E7390F"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Selección de población</w:t>
            </w:r>
          </w:p>
          <w:p w14:paraId="1E50BCF3" w14:textId="3AFAF55C"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0–4</w:t>
            </w:r>
          </w:p>
        </w:tc>
        <w:tc>
          <w:tcPr>
            <w:tcW w:w="0" w:type="auto"/>
            <w:hideMark/>
          </w:tcPr>
          <w:p w14:paraId="680FB1AE"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Comparabilidad</w:t>
            </w:r>
          </w:p>
          <w:p w14:paraId="1A6D8435" w14:textId="22E937D5"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0–2</w:t>
            </w:r>
          </w:p>
        </w:tc>
        <w:tc>
          <w:tcPr>
            <w:tcW w:w="0" w:type="auto"/>
            <w:hideMark/>
          </w:tcPr>
          <w:p w14:paraId="35C38B79"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Evaluación del desenlace</w:t>
            </w:r>
          </w:p>
          <w:p w14:paraId="76759521" w14:textId="29CA7541"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0–3</w:t>
            </w:r>
          </w:p>
        </w:tc>
        <w:tc>
          <w:tcPr>
            <w:tcW w:w="0" w:type="auto"/>
            <w:hideMark/>
          </w:tcPr>
          <w:p w14:paraId="2925D295"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Puntuación total</w:t>
            </w:r>
          </w:p>
          <w:p w14:paraId="17E715D1" w14:textId="2B0C61F1"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0–9</w:t>
            </w:r>
          </w:p>
        </w:tc>
        <w:tc>
          <w:tcPr>
            <w:tcW w:w="0" w:type="auto"/>
            <w:hideMark/>
          </w:tcPr>
          <w:p w14:paraId="173CAC19" w14:textId="3B457097" w:rsidR="008769A4" w:rsidRPr="00B933D6" w:rsidRDefault="008769A4" w:rsidP="008769A4">
            <w:pPr>
              <w:jc w:val="center"/>
              <w:rPr>
                <w:rFonts w:eastAsia="Times New Roman" w:cs="Arial"/>
                <w:b/>
                <w:bCs/>
                <w:sz w:val="22"/>
                <w:lang w:val="en-US" w:eastAsia="es-ES"/>
              </w:rPr>
            </w:pPr>
            <w:r w:rsidRPr="00B933D6">
              <w:rPr>
                <w:rFonts w:eastAsia="Times New Roman" w:cs="Arial"/>
                <w:b/>
                <w:bCs/>
                <w:sz w:val="22"/>
                <w:lang w:eastAsia="es-ES"/>
              </w:rPr>
              <w:t>Conclusión</w:t>
            </w:r>
            <w:r w:rsidRPr="00B933D6">
              <w:rPr>
                <w:rFonts w:eastAsia="Times New Roman" w:cs="Arial"/>
                <w:b/>
                <w:bCs/>
                <w:sz w:val="22"/>
                <w:lang w:val="en-US" w:eastAsia="es-ES"/>
              </w:rPr>
              <w:t>*</w:t>
            </w:r>
          </w:p>
        </w:tc>
        <w:tc>
          <w:tcPr>
            <w:tcW w:w="0" w:type="auto"/>
            <w:hideMark/>
          </w:tcPr>
          <w:p w14:paraId="0DA30544" w14:textId="77777777" w:rsidR="008769A4" w:rsidRPr="00B933D6" w:rsidRDefault="008769A4" w:rsidP="008769A4">
            <w:pPr>
              <w:jc w:val="center"/>
              <w:rPr>
                <w:rFonts w:eastAsia="Times New Roman" w:cs="Arial"/>
                <w:b/>
                <w:bCs/>
                <w:sz w:val="22"/>
                <w:lang w:eastAsia="es-ES"/>
              </w:rPr>
            </w:pPr>
            <w:r w:rsidRPr="00B933D6">
              <w:rPr>
                <w:rFonts w:eastAsia="Times New Roman" w:cs="Arial"/>
                <w:b/>
                <w:bCs/>
                <w:sz w:val="22"/>
                <w:lang w:eastAsia="es-ES"/>
              </w:rPr>
              <w:t>Comentario sobre calidad metodológica y riesgo de sesgo</w:t>
            </w:r>
          </w:p>
        </w:tc>
      </w:tr>
      <w:tr w:rsidR="008769A4" w:rsidRPr="00B933D6" w14:paraId="4EDDA33D" w14:textId="77777777" w:rsidTr="008769A4">
        <w:trPr>
          <w:jc w:val="center"/>
        </w:trPr>
        <w:tc>
          <w:tcPr>
            <w:tcW w:w="0" w:type="auto"/>
            <w:hideMark/>
          </w:tcPr>
          <w:p w14:paraId="21E9C306"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Estrada y Espinal, 2015</w:t>
            </w:r>
          </w:p>
        </w:tc>
        <w:tc>
          <w:tcPr>
            <w:tcW w:w="0" w:type="auto"/>
            <w:hideMark/>
          </w:tcPr>
          <w:p w14:paraId="1FEB89D5"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prospectivo de intervención sin grupo control</w:t>
            </w:r>
          </w:p>
        </w:tc>
        <w:tc>
          <w:tcPr>
            <w:tcW w:w="0" w:type="auto"/>
            <w:hideMark/>
          </w:tcPr>
          <w:p w14:paraId="2A138340"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499F040B"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0</w:t>
            </w:r>
          </w:p>
        </w:tc>
        <w:tc>
          <w:tcPr>
            <w:tcW w:w="0" w:type="auto"/>
            <w:hideMark/>
          </w:tcPr>
          <w:p w14:paraId="746AF302"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45F98BD6"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4</w:t>
            </w:r>
          </w:p>
        </w:tc>
        <w:tc>
          <w:tcPr>
            <w:tcW w:w="0" w:type="auto"/>
            <w:hideMark/>
          </w:tcPr>
          <w:p w14:paraId="1176712E"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Baja</w:t>
            </w:r>
          </w:p>
        </w:tc>
        <w:tc>
          <w:tcPr>
            <w:tcW w:w="0" w:type="auto"/>
            <w:hideMark/>
          </w:tcPr>
          <w:p w14:paraId="07E09C6C"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La ausencia de grupo comparador impide evaluar diferencias frente a otras estrategias terapéuticas. La selección hospitalaria y el seguimiento corto limitan la generalización de los hallazgos.</w:t>
            </w:r>
          </w:p>
        </w:tc>
      </w:tr>
      <w:tr w:rsidR="008769A4" w:rsidRPr="00B933D6" w14:paraId="36B13714" w14:textId="77777777" w:rsidTr="008769A4">
        <w:trPr>
          <w:jc w:val="center"/>
        </w:trPr>
        <w:tc>
          <w:tcPr>
            <w:tcW w:w="0" w:type="auto"/>
            <w:hideMark/>
          </w:tcPr>
          <w:p w14:paraId="27CC4A5B"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Sepúlveda Rivera et al., 2019</w:t>
            </w:r>
          </w:p>
        </w:tc>
        <w:tc>
          <w:tcPr>
            <w:tcW w:w="0" w:type="auto"/>
            <w:hideMark/>
          </w:tcPr>
          <w:p w14:paraId="634D4DD0"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observacional transversal descriptivo</w:t>
            </w:r>
          </w:p>
        </w:tc>
        <w:tc>
          <w:tcPr>
            <w:tcW w:w="0" w:type="auto"/>
            <w:hideMark/>
          </w:tcPr>
          <w:p w14:paraId="27AF0CB7"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01878E65"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0</w:t>
            </w:r>
          </w:p>
        </w:tc>
        <w:tc>
          <w:tcPr>
            <w:tcW w:w="0" w:type="auto"/>
            <w:hideMark/>
          </w:tcPr>
          <w:p w14:paraId="486E57DD"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4C2D8257"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4</w:t>
            </w:r>
          </w:p>
        </w:tc>
        <w:tc>
          <w:tcPr>
            <w:tcW w:w="0" w:type="auto"/>
            <w:hideMark/>
          </w:tcPr>
          <w:p w14:paraId="08EE2CBC"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Baja</w:t>
            </w:r>
          </w:p>
        </w:tc>
        <w:tc>
          <w:tcPr>
            <w:tcW w:w="0" w:type="auto"/>
            <w:hideMark/>
          </w:tcPr>
          <w:p w14:paraId="3436D5B4"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 xml:space="preserve">El diseño descriptivo sin grupo comparador limita la inferencia causal. La evaluación en un único centro y la ausencia de control </w:t>
            </w:r>
            <w:r w:rsidRPr="00B933D6">
              <w:rPr>
                <w:rFonts w:eastAsia="Times New Roman" w:cs="Arial"/>
                <w:sz w:val="22"/>
                <w:lang w:eastAsia="es-ES"/>
              </w:rPr>
              <w:lastRenderedPageBreak/>
              <w:t>de factores de confusión reducen la validez externa e interna.</w:t>
            </w:r>
          </w:p>
        </w:tc>
      </w:tr>
      <w:tr w:rsidR="008769A4" w:rsidRPr="00B933D6" w14:paraId="7A11378C" w14:textId="77777777" w:rsidTr="008769A4">
        <w:trPr>
          <w:jc w:val="center"/>
        </w:trPr>
        <w:tc>
          <w:tcPr>
            <w:tcW w:w="0" w:type="auto"/>
            <w:hideMark/>
          </w:tcPr>
          <w:p w14:paraId="479AC831"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lastRenderedPageBreak/>
              <w:t>Martínez-Rodas et al., 2020</w:t>
            </w:r>
          </w:p>
        </w:tc>
        <w:tc>
          <w:tcPr>
            <w:tcW w:w="0" w:type="auto"/>
            <w:hideMark/>
          </w:tcPr>
          <w:p w14:paraId="17FED60C"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observacional descriptivo transversal prospectivo</w:t>
            </w:r>
          </w:p>
        </w:tc>
        <w:tc>
          <w:tcPr>
            <w:tcW w:w="0" w:type="auto"/>
            <w:hideMark/>
          </w:tcPr>
          <w:p w14:paraId="26664076"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3BC3A7E3"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0</w:t>
            </w:r>
          </w:p>
        </w:tc>
        <w:tc>
          <w:tcPr>
            <w:tcW w:w="0" w:type="auto"/>
            <w:hideMark/>
          </w:tcPr>
          <w:p w14:paraId="5C0C9212"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694C97E0"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4</w:t>
            </w:r>
          </w:p>
        </w:tc>
        <w:tc>
          <w:tcPr>
            <w:tcW w:w="0" w:type="auto"/>
            <w:hideMark/>
          </w:tcPr>
          <w:p w14:paraId="3A6B5653"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Baja</w:t>
            </w:r>
          </w:p>
        </w:tc>
        <w:tc>
          <w:tcPr>
            <w:tcW w:w="0" w:type="auto"/>
            <w:hideMark/>
          </w:tcPr>
          <w:p w14:paraId="42DB81D9"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El muestreo por conveniencia y la ausencia de grupo comparador aumentan el riesgo de sesgo de selección. La falta de análisis ajustado limita la interpretación de factores asociados al desenlace.</w:t>
            </w:r>
          </w:p>
        </w:tc>
      </w:tr>
      <w:tr w:rsidR="008769A4" w:rsidRPr="00B933D6" w14:paraId="24D2E043" w14:textId="77777777" w:rsidTr="008769A4">
        <w:trPr>
          <w:jc w:val="center"/>
        </w:trPr>
        <w:tc>
          <w:tcPr>
            <w:tcW w:w="0" w:type="auto"/>
            <w:hideMark/>
          </w:tcPr>
          <w:p w14:paraId="018CEE46"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Alvarado-Franco et al., 2025</w:t>
            </w:r>
          </w:p>
        </w:tc>
        <w:tc>
          <w:tcPr>
            <w:tcW w:w="0" w:type="auto"/>
            <w:hideMark/>
          </w:tcPr>
          <w:p w14:paraId="169DA303"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observacional retrospectivo descriptivo</w:t>
            </w:r>
          </w:p>
        </w:tc>
        <w:tc>
          <w:tcPr>
            <w:tcW w:w="0" w:type="auto"/>
            <w:hideMark/>
          </w:tcPr>
          <w:p w14:paraId="38836AAE"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3</w:t>
            </w:r>
          </w:p>
        </w:tc>
        <w:tc>
          <w:tcPr>
            <w:tcW w:w="0" w:type="auto"/>
            <w:hideMark/>
          </w:tcPr>
          <w:p w14:paraId="24A06A38"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0</w:t>
            </w:r>
          </w:p>
        </w:tc>
        <w:tc>
          <w:tcPr>
            <w:tcW w:w="0" w:type="auto"/>
            <w:hideMark/>
          </w:tcPr>
          <w:p w14:paraId="3917AFC6"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5CBF1911"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5</w:t>
            </w:r>
          </w:p>
        </w:tc>
        <w:tc>
          <w:tcPr>
            <w:tcW w:w="0" w:type="auto"/>
            <w:hideMark/>
          </w:tcPr>
          <w:p w14:paraId="2A318EB9"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Moderada</w:t>
            </w:r>
          </w:p>
        </w:tc>
        <w:tc>
          <w:tcPr>
            <w:tcW w:w="0" w:type="auto"/>
            <w:hideMark/>
          </w:tcPr>
          <w:p w14:paraId="4A3D181D"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 xml:space="preserve">El uso de historias clínicas puede generar sesgo de información por registros incompletos o variables no documentadas. La comparación entre </w:t>
            </w:r>
            <w:r w:rsidRPr="00B933D6">
              <w:rPr>
                <w:rFonts w:eastAsia="Times New Roman" w:cs="Arial"/>
                <w:sz w:val="22"/>
                <w:lang w:eastAsia="es-ES"/>
              </w:rPr>
              <w:lastRenderedPageBreak/>
              <w:t>modalidades de manejo no fue ajustada por indicación clínica.</w:t>
            </w:r>
          </w:p>
        </w:tc>
      </w:tr>
      <w:tr w:rsidR="008769A4" w:rsidRPr="00B933D6" w14:paraId="357DD151" w14:textId="77777777" w:rsidTr="008769A4">
        <w:trPr>
          <w:jc w:val="center"/>
        </w:trPr>
        <w:tc>
          <w:tcPr>
            <w:tcW w:w="0" w:type="auto"/>
            <w:hideMark/>
          </w:tcPr>
          <w:p w14:paraId="48F22801"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lastRenderedPageBreak/>
              <w:t>Chérrez Ramos y Arévalo Villanueva, 2021</w:t>
            </w:r>
          </w:p>
        </w:tc>
        <w:tc>
          <w:tcPr>
            <w:tcW w:w="0" w:type="auto"/>
            <w:hideMark/>
          </w:tcPr>
          <w:p w14:paraId="0CF59B03"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observacional retrospectivo transversal comparativo</w:t>
            </w:r>
          </w:p>
        </w:tc>
        <w:tc>
          <w:tcPr>
            <w:tcW w:w="0" w:type="auto"/>
            <w:hideMark/>
          </w:tcPr>
          <w:p w14:paraId="4548841A"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0A00B443"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1</w:t>
            </w:r>
          </w:p>
        </w:tc>
        <w:tc>
          <w:tcPr>
            <w:tcW w:w="0" w:type="auto"/>
            <w:hideMark/>
          </w:tcPr>
          <w:p w14:paraId="58102782"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7EC896C4"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5</w:t>
            </w:r>
          </w:p>
        </w:tc>
        <w:tc>
          <w:tcPr>
            <w:tcW w:w="0" w:type="auto"/>
            <w:hideMark/>
          </w:tcPr>
          <w:p w14:paraId="704CD6A9"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Moderada</w:t>
            </w:r>
          </w:p>
        </w:tc>
        <w:tc>
          <w:tcPr>
            <w:tcW w:w="0" w:type="auto"/>
            <w:hideMark/>
          </w:tcPr>
          <w:p w14:paraId="4ED3FC2B"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El tamaño muestral reducido y la asignación no aleatoria aumentan el riesgo de sesgo de selección y confusión por indicación. El análisis comparativo no controla suficientemente variables clínicas basales.</w:t>
            </w:r>
          </w:p>
        </w:tc>
      </w:tr>
      <w:tr w:rsidR="008769A4" w:rsidRPr="00B933D6" w14:paraId="3975A01F" w14:textId="77777777" w:rsidTr="008769A4">
        <w:trPr>
          <w:jc w:val="center"/>
        </w:trPr>
        <w:tc>
          <w:tcPr>
            <w:tcW w:w="0" w:type="auto"/>
            <w:hideMark/>
          </w:tcPr>
          <w:p w14:paraId="36D3E625"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Rueda Espinel, 2022</w:t>
            </w:r>
          </w:p>
        </w:tc>
        <w:tc>
          <w:tcPr>
            <w:tcW w:w="0" w:type="auto"/>
            <w:hideMark/>
          </w:tcPr>
          <w:p w14:paraId="7A30EB7C"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Cohorte prospectiva</w:t>
            </w:r>
          </w:p>
        </w:tc>
        <w:tc>
          <w:tcPr>
            <w:tcW w:w="0" w:type="auto"/>
            <w:hideMark/>
          </w:tcPr>
          <w:p w14:paraId="41C6F047"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3</w:t>
            </w:r>
          </w:p>
        </w:tc>
        <w:tc>
          <w:tcPr>
            <w:tcW w:w="0" w:type="auto"/>
            <w:hideMark/>
          </w:tcPr>
          <w:p w14:paraId="07FCB3EE"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1</w:t>
            </w:r>
          </w:p>
        </w:tc>
        <w:tc>
          <w:tcPr>
            <w:tcW w:w="0" w:type="auto"/>
            <w:hideMark/>
          </w:tcPr>
          <w:p w14:paraId="048F66AA"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3</w:t>
            </w:r>
          </w:p>
        </w:tc>
        <w:tc>
          <w:tcPr>
            <w:tcW w:w="0" w:type="auto"/>
            <w:hideMark/>
          </w:tcPr>
          <w:p w14:paraId="0C6239E3"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7</w:t>
            </w:r>
          </w:p>
        </w:tc>
        <w:tc>
          <w:tcPr>
            <w:tcW w:w="0" w:type="auto"/>
            <w:hideMark/>
          </w:tcPr>
          <w:p w14:paraId="2F5380CC"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Alta</w:t>
            </w:r>
          </w:p>
        </w:tc>
        <w:tc>
          <w:tcPr>
            <w:tcW w:w="0" w:type="auto"/>
            <w:hideMark/>
          </w:tcPr>
          <w:p w14:paraId="3180E8F4"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 xml:space="preserve">El seguimiento prospectivo fortalece la medición del desenlace. Sin embargo, al no existir comparador terapéutico </w:t>
            </w:r>
            <w:r w:rsidRPr="00B933D6">
              <w:rPr>
                <w:rFonts w:eastAsia="Times New Roman" w:cs="Arial"/>
                <w:sz w:val="22"/>
                <w:lang w:eastAsia="es-ES"/>
              </w:rPr>
              <w:lastRenderedPageBreak/>
              <w:t>independiente, la comparabilidad se limita a factores asociados al éxito o fracaso del manejo médico.</w:t>
            </w:r>
          </w:p>
        </w:tc>
      </w:tr>
      <w:tr w:rsidR="008769A4" w:rsidRPr="00B933D6" w14:paraId="37BDD269" w14:textId="77777777" w:rsidTr="008769A4">
        <w:trPr>
          <w:jc w:val="center"/>
        </w:trPr>
        <w:tc>
          <w:tcPr>
            <w:tcW w:w="0" w:type="auto"/>
            <w:hideMark/>
          </w:tcPr>
          <w:p w14:paraId="708CAA0A"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lastRenderedPageBreak/>
              <w:t>Valles Jáquez, 2024</w:t>
            </w:r>
          </w:p>
        </w:tc>
        <w:tc>
          <w:tcPr>
            <w:tcW w:w="0" w:type="auto"/>
            <w:hideMark/>
          </w:tcPr>
          <w:p w14:paraId="5F64273C"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Estudio observacional retrospectivo descriptivo</w:t>
            </w:r>
          </w:p>
        </w:tc>
        <w:tc>
          <w:tcPr>
            <w:tcW w:w="0" w:type="auto"/>
            <w:hideMark/>
          </w:tcPr>
          <w:p w14:paraId="20420E54"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3</w:t>
            </w:r>
          </w:p>
        </w:tc>
        <w:tc>
          <w:tcPr>
            <w:tcW w:w="0" w:type="auto"/>
            <w:hideMark/>
          </w:tcPr>
          <w:p w14:paraId="212C64B7"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0</w:t>
            </w:r>
          </w:p>
        </w:tc>
        <w:tc>
          <w:tcPr>
            <w:tcW w:w="0" w:type="auto"/>
            <w:hideMark/>
          </w:tcPr>
          <w:p w14:paraId="3F207CCC"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2</w:t>
            </w:r>
          </w:p>
        </w:tc>
        <w:tc>
          <w:tcPr>
            <w:tcW w:w="0" w:type="auto"/>
            <w:hideMark/>
          </w:tcPr>
          <w:p w14:paraId="5C60806A"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5</w:t>
            </w:r>
          </w:p>
        </w:tc>
        <w:tc>
          <w:tcPr>
            <w:tcW w:w="0" w:type="auto"/>
            <w:hideMark/>
          </w:tcPr>
          <w:p w14:paraId="7D2B4855" w14:textId="77777777" w:rsidR="008769A4" w:rsidRPr="00B933D6" w:rsidRDefault="008769A4" w:rsidP="008769A4">
            <w:pPr>
              <w:jc w:val="center"/>
              <w:rPr>
                <w:rFonts w:eastAsia="Times New Roman" w:cs="Arial"/>
                <w:sz w:val="22"/>
                <w:lang w:eastAsia="es-ES"/>
              </w:rPr>
            </w:pPr>
            <w:r w:rsidRPr="00B933D6">
              <w:rPr>
                <w:rFonts w:eastAsia="Times New Roman" w:cs="Arial"/>
                <w:sz w:val="22"/>
                <w:lang w:eastAsia="es-ES"/>
              </w:rPr>
              <w:t>Moderada</w:t>
            </w:r>
          </w:p>
        </w:tc>
        <w:tc>
          <w:tcPr>
            <w:tcW w:w="0" w:type="auto"/>
            <w:hideMark/>
          </w:tcPr>
          <w:p w14:paraId="0082DF51" w14:textId="77777777" w:rsidR="008769A4" w:rsidRPr="00B933D6" w:rsidRDefault="008769A4" w:rsidP="008769A4">
            <w:pPr>
              <w:rPr>
                <w:rFonts w:eastAsia="Times New Roman" w:cs="Arial"/>
                <w:sz w:val="22"/>
                <w:lang w:eastAsia="es-ES"/>
              </w:rPr>
            </w:pPr>
            <w:r w:rsidRPr="00B933D6">
              <w:rPr>
                <w:rFonts w:eastAsia="Times New Roman" w:cs="Arial"/>
                <w:sz w:val="22"/>
                <w:lang w:eastAsia="es-ES"/>
              </w:rPr>
              <w:t>El diseño retrospectivo depende de la calidad del expediente clínico y puede presentar sesgo de información. La ausencia de comparación ajustada entre manejo médico y quirúrgico limita la interpretación comparativa.</w:t>
            </w:r>
          </w:p>
        </w:tc>
      </w:tr>
    </w:tbl>
    <w:p w14:paraId="3BBD2666" w14:textId="1C20B7F4" w:rsidR="008769A4" w:rsidRPr="00B933D6" w:rsidRDefault="008769A4" w:rsidP="008769A4">
      <w:pPr>
        <w:rPr>
          <w:rFonts w:eastAsia="Times New Roman" w:cs="Arial"/>
          <w:sz w:val="20"/>
          <w:szCs w:val="20"/>
          <w:lang w:eastAsia="es-ES"/>
        </w:rPr>
      </w:pPr>
      <w:r w:rsidRPr="00B933D6">
        <w:rPr>
          <w:rFonts w:cs="Arial"/>
          <w:sz w:val="20"/>
          <w:szCs w:val="20"/>
        </w:rPr>
        <w:t>*</w:t>
      </w:r>
      <w:r w:rsidRPr="00B933D6">
        <w:rPr>
          <w:rFonts w:eastAsia="Times New Roman" w:cs="Arial"/>
          <w:sz w:val="20"/>
          <w:szCs w:val="20"/>
          <w:lang w:eastAsia="es-ES"/>
        </w:rPr>
        <w:t>Calidad metodológica</w:t>
      </w:r>
    </w:p>
    <w:p w14:paraId="1B851E9E" w14:textId="77777777" w:rsidR="00B933D6" w:rsidRPr="00B933D6" w:rsidRDefault="00B933D6" w:rsidP="00B933D6">
      <w:pPr>
        <w:rPr>
          <w:rFonts w:cs="Arial"/>
          <w:sz w:val="20"/>
          <w:szCs w:val="20"/>
        </w:rPr>
      </w:pPr>
      <w:r w:rsidRPr="00B933D6">
        <w:rPr>
          <w:rFonts w:eastAsia="Times New Roman" w:cs="Arial"/>
          <w:sz w:val="20"/>
          <w:szCs w:val="20"/>
          <w:lang w:eastAsia="es-ES"/>
        </w:rPr>
        <w:t xml:space="preserve">Fuente: </w:t>
      </w:r>
      <w:r w:rsidRPr="00B933D6">
        <w:rPr>
          <w:rFonts w:cs="Arial"/>
          <w:sz w:val="20"/>
          <w:szCs w:val="20"/>
        </w:rPr>
        <w:t>Elaboración propia</w:t>
      </w:r>
    </w:p>
    <w:p w14:paraId="2E3DC411" w14:textId="5CF4442D" w:rsidR="00B933D6" w:rsidRPr="008769A4" w:rsidRDefault="00B933D6" w:rsidP="008769A4">
      <w:pPr>
        <w:rPr>
          <w:rFonts w:eastAsia="Times New Roman" w:cs="Arial"/>
          <w:b/>
          <w:bCs/>
          <w:sz w:val="18"/>
          <w:szCs w:val="18"/>
          <w:lang w:eastAsia="es-ES"/>
        </w:rPr>
      </w:pPr>
    </w:p>
    <w:p w14:paraId="7F8FF396" w14:textId="2AE4AA6B" w:rsidR="008769A4" w:rsidRDefault="008769A4" w:rsidP="00EC41BF">
      <w:pPr>
        <w:rPr>
          <w:lang w:val="es-NI"/>
        </w:rPr>
      </w:pPr>
    </w:p>
    <w:p w14:paraId="5648BB65" w14:textId="77777777" w:rsidR="00B933D6" w:rsidRDefault="00B933D6" w:rsidP="00EC41BF">
      <w:pPr>
        <w:rPr>
          <w:lang w:val="es-NI"/>
        </w:rPr>
        <w:sectPr w:rsidR="00B933D6" w:rsidSect="000A215B">
          <w:pgSz w:w="15840" w:h="12240" w:orient="landscape"/>
          <w:pgMar w:top="1701" w:right="1418" w:bottom="1701" w:left="1418" w:header="709" w:footer="709" w:gutter="0"/>
          <w:cols w:space="708"/>
          <w:docGrid w:linePitch="360"/>
        </w:sectPr>
      </w:pPr>
    </w:p>
    <w:p w14:paraId="5B1F3EF9" w14:textId="4B47D546" w:rsidR="008C442E" w:rsidRDefault="0045369C" w:rsidP="008C442E">
      <w:pPr>
        <w:pStyle w:val="Ttulo2"/>
        <w:jc w:val="both"/>
        <w:rPr>
          <w:rFonts w:ascii="Times New Roman" w:hAnsi="Times New Roman"/>
          <w:sz w:val="36"/>
        </w:rPr>
      </w:pPr>
      <w:bookmarkStart w:id="49" w:name="_Toc232987011"/>
      <w:r>
        <w:lastRenderedPageBreak/>
        <w:t xml:space="preserve">Resultado del objetivo 3. </w:t>
      </w:r>
      <w:r w:rsidR="008C442E">
        <w:t>Metaanálisis global y síntesis comparativa de los resultados clínicos del misoprostol</w:t>
      </w:r>
      <w:bookmarkEnd w:id="49"/>
    </w:p>
    <w:p w14:paraId="58BFB9E3" w14:textId="7DD55808" w:rsidR="008C442E" w:rsidRDefault="00D34F29" w:rsidP="008C442E">
      <w:pPr>
        <w:pStyle w:val="Ttulo3"/>
      </w:pPr>
      <w:bookmarkStart w:id="50" w:name="_Toc232987012"/>
      <w:r>
        <w:t>Hallazgos de los e</w:t>
      </w:r>
      <w:r w:rsidR="008C442E">
        <w:t>studios incluidos en el metaanálisis de proporción de éxito del manejo con misoprostol</w:t>
      </w:r>
      <w:bookmarkEnd w:id="50"/>
    </w:p>
    <w:p w14:paraId="4E4B14BA" w14:textId="77777777" w:rsidR="008C442E" w:rsidRDefault="008C442E" w:rsidP="008C442E">
      <w:r>
        <w:t>La Tabla 4 presenta los siete estudios incluidos en el metaanálisis de proporción de éxito del manejo con misoprostol. Cuatro correspondieron a artículos publicados y tres a tesis, realizados en Ecuador, Honduras, México y Colombia. Las poblaciones incluyeron principalmente mujeres con aborto incompleto, aborto espontáneo del primer trimestre o abortos menores de 12 semanas.</w:t>
      </w:r>
    </w:p>
    <w:p w14:paraId="3167068D" w14:textId="77777777" w:rsidR="008C442E" w:rsidRDefault="008C442E" w:rsidP="008C442E">
      <w:r>
        <w:t>Los esquemas de misoprostol fueron heterogéneos en dosis, vía de administración y número de dosis. Se emplearon dosis orales únicas de 600 µg y 800 µg, esquemas institucionales, protocolos basados en FIGO y regímenes de una a tres dosis por vías sublingual o vaginal. Los criterios de éxito también variaron entre estudios, aunque se relacionaron con evacuación uterina completa, expulsión completa, resolución sin curetaje posterior, ausencia de fallo del método o ausencia de cirugía adicional.</w:t>
      </w:r>
    </w:p>
    <w:p w14:paraId="5873270A" w14:textId="77777777" w:rsidR="008C442E" w:rsidRDefault="008C442E" w:rsidP="008C442E">
      <w:r>
        <w:t>Las proporciones individuales de éxito oscilaron entre 28,6% y 98,6%. Las mayores proporciones se observaron en Sepúlveda Rivera et al. (2019), con 75 éxitos en 76 mujeres tratadas, equivalente a 98,6%, y en Montesinos et al. (2011), con 100 éxitos en 106 mujeres con seguimiento disponible, equivalente a 94,3%. La menor proporción correspondió a Chérrez Ramos y Arévalo Villanueva (2021), con cuatro éxitos en 14 mujeres tratadas, equivalente a 28,6%. Los datos de éxitos y fallos de Martínez-Rodas et al. (2020) fueron calculados a partir de la tasa de fallo del método reportada por los autores.</w:t>
      </w:r>
    </w:p>
    <w:p w14:paraId="216A8372" w14:textId="2AD2064F" w:rsidR="0028162F" w:rsidRDefault="0028162F" w:rsidP="008C442E">
      <w:pPr>
        <w:rPr>
          <w:lang w:val="es-NI"/>
        </w:rPr>
      </w:pPr>
    </w:p>
    <w:p w14:paraId="7DD49650" w14:textId="5F978920" w:rsidR="0028162F" w:rsidRDefault="0028162F" w:rsidP="008C442E">
      <w:pPr>
        <w:rPr>
          <w:lang w:val="es-NI"/>
        </w:rPr>
      </w:pPr>
    </w:p>
    <w:p w14:paraId="53747973" w14:textId="36640F0A" w:rsidR="0028162F" w:rsidRDefault="0028162F" w:rsidP="008C442E">
      <w:pPr>
        <w:rPr>
          <w:lang w:val="es-NI"/>
        </w:rPr>
      </w:pPr>
    </w:p>
    <w:p w14:paraId="37A1B971" w14:textId="5253F07A" w:rsidR="0028162F" w:rsidRDefault="0028162F" w:rsidP="00EC41BF">
      <w:pPr>
        <w:rPr>
          <w:lang w:val="es-NI"/>
        </w:rPr>
      </w:pPr>
    </w:p>
    <w:p w14:paraId="154D2A82" w14:textId="0425B513" w:rsidR="00B933D6" w:rsidRDefault="00B933D6" w:rsidP="0028162F">
      <w:pPr>
        <w:pStyle w:val="Descripcin"/>
        <w:keepNext/>
        <w:jc w:val="both"/>
        <w:rPr>
          <w:b/>
          <w:bCs/>
        </w:rPr>
        <w:sectPr w:rsidR="00B933D6" w:rsidSect="00B933D6">
          <w:pgSz w:w="12240" w:h="15840"/>
          <w:pgMar w:top="1418" w:right="1701" w:bottom="1418" w:left="1701" w:header="709" w:footer="709" w:gutter="0"/>
          <w:cols w:space="708"/>
          <w:docGrid w:linePitch="360"/>
        </w:sectPr>
      </w:pPr>
    </w:p>
    <w:p w14:paraId="7EA4078C" w14:textId="1E6F0FAD" w:rsidR="0028162F" w:rsidRPr="0028162F" w:rsidRDefault="0028162F" w:rsidP="0028162F">
      <w:pPr>
        <w:pStyle w:val="Descripcin"/>
        <w:keepNext/>
        <w:jc w:val="both"/>
        <w:rPr>
          <w:lang w:eastAsia="es-ES"/>
        </w:rPr>
      </w:pPr>
      <w:bookmarkStart w:id="51" w:name="_Toc232987035"/>
      <w:r w:rsidRPr="001E57DF">
        <w:rPr>
          <w:b/>
          <w:bCs/>
        </w:rPr>
        <w:lastRenderedPageBreak/>
        <w:t xml:space="preserve">Tabla </w:t>
      </w:r>
      <w:r w:rsidRPr="001E57DF">
        <w:rPr>
          <w:b/>
          <w:bCs/>
        </w:rPr>
        <w:fldChar w:fldCharType="begin"/>
      </w:r>
      <w:r w:rsidRPr="001E57DF">
        <w:rPr>
          <w:b/>
          <w:bCs/>
        </w:rPr>
        <w:instrText xml:space="preserve"> SEQ Tabla \* ARABIC </w:instrText>
      </w:r>
      <w:r w:rsidRPr="001E57DF">
        <w:rPr>
          <w:b/>
          <w:bCs/>
        </w:rPr>
        <w:fldChar w:fldCharType="separate"/>
      </w:r>
      <w:r w:rsidR="0045369C">
        <w:rPr>
          <w:b/>
          <w:bCs/>
          <w:noProof/>
        </w:rPr>
        <w:t>4</w:t>
      </w:r>
      <w:r w:rsidRPr="001E57DF">
        <w:rPr>
          <w:b/>
          <w:bCs/>
        </w:rPr>
        <w:fldChar w:fldCharType="end"/>
      </w:r>
      <w:r w:rsidRPr="001E57DF">
        <w:rPr>
          <w:b/>
          <w:bCs/>
        </w:rPr>
        <w:t>.</w:t>
      </w:r>
      <w:r>
        <w:t xml:space="preserve"> </w:t>
      </w:r>
      <w:r w:rsidRPr="0028162F">
        <w:rPr>
          <w:lang w:eastAsia="es-ES"/>
        </w:rPr>
        <w:t>Estudios incluidos para el metaanálisis de proporción de éxito del manejo con misoprostol</w:t>
      </w:r>
      <w:bookmarkEnd w:id="51"/>
    </w:p>
    <w:tbl>
      <w:tblPr>
        <w:tblStyle w:val="Tablaconcuadrcula"/>
        <w:tblW w:w="0" w:type="auto"/>
        <w:tblLook w:val="04A0" w:firstRow="1" w:lastRow="0" w:firstColumn="1" w:lastColumn="0" w:noHBand="0" w:noVBand="1"/>
      </w:tblPr>
      <w:tblGrid>
        <w:gridCol w:w="544"/>
        <w:gridCol w:w="1636"/>
        <w:gridCol w:w="1829"/>
        <w:gridCol w:w="1596"/>
        <w:gridCol w:w="1698"/>
        <w:gridCol w:w="1595"/>
        <w:gridCol w:w="710"/>
        <w:gridCol w:w="937"/>
        <w:gridCol w:w="910"/>
        <w:gridCol w:w="1539"/>
      </w:tblGrid>
      <w:tr w:rsidR="0028162F" w:rsidRPr="0028162F" w14:paraId="60D10105" w14:textId="77777777" w:rsidTr="0028162F">
        <w:tc>
          <w:tcPr>
            <w:tcW w:w="0" w:type="auto"/>
            <w:shd w:val="clear" w:color="auto" w:fill="D9D9D9" w:themeFill="background1" w:themeFillShade="D9"/>
            <w:hideMark/>
          </w:tcPr>
          <w:p w14:paraId="75C2872F"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N.º</w:t>
            </w:r>
          </w:p>
        </w:tc>
        <w:tc>
          <w:tcPr>
            <w:tcW w:w="0" w:type="auto"/>
            <w:shd w:val="clear" w:color="auto" w:fill="D9D9D9" w:themeFill="background1" w:themeFillShade="D9"/>
            <w:hideMark/>
          </w:tcPr>
          <w:p w14:paraId="42C903B2"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Autor, año y país</w:t>
            </w:r>
          </w:p>
        </w:tc>
        <w:tc>
          <w:tcPr>
            <w:tcW w:w="0" w:type="auto"/>
            <w:shd w:val="clear" w:color="auto" w:fill="D9D9D9" w:themeFill="background1" w:themeFillShade="D9"/>
            <w:hideMark/>
          </w:tcPr>
          <w:p w14:paraId="349F939D"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Tipo de publicación y diseño</w:t>
            </w:r>
          </w:p>
        </w:tc>
        <w:tc>
          <w:tcPr>
            <w:tcW w:w="0" w:type="auto"/>
            <w:shd w:val="clear" w:color="auto" w:fill="D9D9D9" w:themeFill="background1" w:themeFillShade="D9"/>
            <w:hideMark/>
          </w:tcPr>
          <w:p w14:paraId="68EEC09B"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Población</w:t>
            </w:r>
          </w:p>
        </w:tc>
        <w:tc>
          <w:tcPr>
            <w:tcW w:w="0" w:type="auto"/>
            <w:shd w:val="clear" w:color="auto" w:fill="D9D9D9" w:themeFill="background1" w:themeFillShade="D9"/>
            <w:hideMark/>
          </w:tcPr>
          <w:p w14:paraId="2A5FDA98"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Esquema de misoprostol</w:t>
            </w:r>
          </w:p>
        </w:tc>
        <w:tc>
          <w:tcPr>
            <w:tcW w:w="0" w:type="auto"/>
            <w:shd w:val="clear" w:color="auto" w:fill="D9D9D9" w:themeFill="background1" w:themeFillShade="D9"/>
            <w:hideMark/>
          </w:tcPr>
          <w:p w14:paraId="3A51BC5B"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Criterio de éxito</w:t>
            </w:r>
          </w:p>
        </w:tc>
        <w:tc>
          <w:tcPr>
            <w:tcW w:w="0" w:type="auto"/>
            <w:shd w:val="clear" w:color="auto" w:fill="D9D9D9" w:themeFill="background1" w:themeFillShade="D9"/>
            <w:hideMark/>
          </w:tcPr>
          <w:p w14:paraId="6CB3BF4E"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n</w:t>
            </w:r>
          </w:p>
        </w:tc>
        <w:tc>
          <w:tcPr>
            <w:tcW w:w="0" w:type="auto"/>
            <w:shd w:val="clear" w:color="auto" w:fill="D9D9D9" w:themeFill="background1" w:themeFillShade="D9"/>
            <w:hideMark/>
          </w:tcPr>
          <w:p w14:paraId="46BF01C8"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Éxitos</w:t>
            </w:r>
          </w:p>
        </w:tc>
        <w:tc>
          <w:tcPr>
            <w:tcW w:w="0" w:type="auto"/>
            <w:shd w:val="clear" w:color="auto" w:fill="D9D9D9" w:themeFill="background1" w:themeFillShade="D9"/>
            <w:hideMark/>
          </w:tcPr>
          <w:p w14:paraId="28B4259B"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Fallos</w:t>
            </w:r>
          </w:p>
        </w:tc>
        <w:tc>
          <w:tcPr>
            <w:tcW w:w="0" w:type="auto"/>
            <w:shd w:val="clear" w:color="auto" w:fill="D9D9D9" w:themeFill="background1" w:themeFillShade="D9"/>
            <w:hideMark/>
          </w:tcPr>
          <w:p w14:paraId="22137DE2" w14:textId="77777777" w:rsidR="0028162F" w:rsidRPr="0028162F" w:rsidRDefault="0028162F" w:rsidP="000A215B">
            <w:pPr>
              <w:jc w:val="center"/>
              <w:rPr>
                <w:rFonts w:eastAsia="Times New Roman" w:cs="Arial"/>
                <w:b/>
                <w:bCs/>
                <w:lang w:eastAsia="es-ES"/>
              </w:rPr>
            </w:pPr>
            <w:r w:rsidRPr="0028162F">
              <w:rPr>
                <w:rFonts w:eastAsia="Times New Roman" w:cs="Arial"/>
                <w:b/>
                <w:bCs/>
                <w:lang w:eastAsia="es-ES"/>
              </w:rPr>
              <w:t>Proporción de éxito</w:t>
            </w:r>
          </w:p>
        </w:tc>
      </w:tr>
      <w:tr w:rsidR="0028162F" w:rsidRPr="0028162F" w14:paraId="443C01EB" w14:textId="77777777" w:rsidTr="000A215B">
        <w:tc>
          <w:tcPr>
            <w:tcW w:w="0" w:type="auto"/>
            <w:hideMark/>
          </w:tcPr>
          <w:p w14:paraId="4D210651" w14:textId="77777777" w:rsidR="0028162F" w:rsidRPr="0028162F" w:rsidRDefault="0028162F" w:rsidP="000A215B">
            <w:pPr>
              <w:rPr>
                <w:rFonts w:eastAsia="Times New Roman" w:cs="Arial"/>
                <w:lang w:eastAsia="es-ES"/>
              </w:rPr>
            </w:pPr>
            <w:r w:rsidRPr="0028162F">
              <w:rPr>
                <w:rFonts w:eastAsia="Times New Roman" w:cs="Arial"/>
                <w:lang w:eastAsia="es-ES"/>
              </w:rPr>
              <w:t>1</w:t>
            </w:r>
          </w:p>
        </w:tc>
        <w:tc>
          <w:tcPr>
            <w:tcW w:w="0" w:type="auto"/>
            <w:hideMark/>
          </w:tcPr>
          <w:p w14:paraId="06FC21AE" w14:textId="77777777" w:rsidR="0028162F" w:rsidRPr="0028162F" w:rsidRDefault="0028162F" w:rsidP="000A215B">
            <w:pPr>
              <w:rPr>
                <w:rFonts w:eastAsia="Times New Roman" w:cs="Arial"/>
                <w:lang w:eastAsia="es-ES"/>
              </w:rPr>
            </w:pPr>
            <w:r w:rsidRPr="0028162F">
              <w:rPr>
                <w:rFonts w:eastAsia="Times New Roman" w:cs="Arial"/>
                <w:lang w:eastAsia="es-ES"/>
              </w:rPr>
              <w:t>Montesinos et al., 2011 (Ecuador)</w:t>
            </w:r>
          </w:p>
        </w:tc>
        <w:tc>
          <w:tcPr>
            <w:tcW w:w="0" w:type="auto"/>
            <w:hideMark/>
          </w:tcPr>
          <w:p w14:paraId="11A4B1EF" w14:textId="77777777" w:rsidR="0028162F" w:rsidRPr="0028162F" w:rsidRDefault="0028162F" w:rsidP="000A215B">
            <w:pPr>
              <w:rPr>
                <w:rFonts w:eastAsia="Times New Roman" w:cs="Arial"/>
                <w:lang w:eastAsia="es-ES"/>
              </w:rPr>
            </w:pPr>
            <w:r w:rsidRPr="0028162F">
              <w:rPr>
                <w:rFonts w:eastAsia="Times New Roman" w:cs="Arial"/>
                <w:lang w:eastAsia="es-ES"/>
              </w:rPr>
              <w:t>Artículo; ensayo clínico aleatorizado</w:t>
            </w:r>
          </w:p>
        </w:tc>
        <w:tc>
          <w:tcPr>
            <w:tcW w:w="0" w:type="auto"/>
            <w:hideMark/>
          </w:tcPr>
          <w:p w14:paraId="764AC742" w14:textId="77777777" w:rsidR="0028162F" w:rsidRPr="0028162F" w:rsidRDefault="0028162F" w:rsidP="000A215B">
            <w:pPr>
              <w:rPr>
                <w:rFonts w:eastAsia="Times New Roman" w:cs="Arial"/>
                <w:lang w:eastAsia="es-ES"/>
              </w:rPr>
            </w:pPr>
            <w:r w:rsidRPr="0028162F">
              <w:rPr>
                <w:rFonts w:eastAsia="Times New Roman" w:cs="Arial"/>
                <w:lang w:eastAsia="es-ES"/>
              </w:rPr>
              <w:t>Aborto incompleto ≤12 semanas</w:t>
            </w:r>
          </w:p>
        </w:tc>
        <w:tc>
          <w:tcPr>
            <w:tcW w:w="0" w:type="auto"/>
            <w:hideMark/>
          </w:tcPr>
          <w:p w14:paraId="2DCB19FA" w14:textId="77777777" w:rsidR="0028162F" w:rsidRPr="0028162F" w:rsidRDefault="0028162F" w:rsidP="000A215B">
            <w:pPr>
              <w:rPr>
                <w:rFonts w:eastAsia="Times New Roman" w:cs="Arial"/>
                <w:lang w:eastAsia="es-ES"/>
              </w:rPr>
            </w:pPr>
            <w:r w:rsidRPr="0028162F">
              <w:rPr>
                <w:rFonts w:eastAsia="Times New Roman" w:cs="Arial"/>
                <w:lang w:eastAsia="es-ES"/>
              </w:rPr>
              <w:t>600 µg oral, dosis única</w:t>
            </w:r>
          </w:p>
        </w:tc>
        <w:tc>
          <w:tcPr>
            <w:tcW w:w="0" w:type="auto"/>
            <w:hideMark/>
          </w:tcPr>
          <w:p w14:paraId="63B04DFB" w14:textId="77777777" w:rsidR="0028162F" w:rsidRPr="0028162F" w:rsidRDefault="0028162F" w:rsidP="000A215B">
            <w:pPr>
              <w:rPr>
                <w:rFonts w:eastAsia="Times New Roman" w:cs="Arial"/>
                <w:lang w:eastAsia="es-ES"/>
              </w:rPr>
            </w:pPr>
            <w:r w:rsidRPr="0028162F">
              <w:rPr>
                <w:rFonts w:eastAsia="Times New Roman" w:cs="Arial"/>
                <w:lang w:eastAsia="es-ES"/>
              </w:rPr>
              <w:t>Evacuación completa sin cirugía adicional</w:t>
            </w:r>
          </w:p>
        </w:tc>
        <w:tc>
          <w:tcPr>
            <w:tcW w:w="0" w:type="auto"/>
            <w:hideMark/>
          </w:tcPr>
          <w:p w14:paraId="7DAC7EEE" w14:textId="77777777" w:rsidR="0028162F" w:rsidRPr="0028162F" w:rsidRDefault="0028162F" w:rsidP="000A215B">
            <w:pPr>
              <w:rPr>
                <w:rFonts w:eastAsia="Times New Roman" w:cs="Arial"/>
                <w:lang w:eastAsia="es-ES"/>
              </w:rPr>
            </w:pPr>
            <w:r w:rsidRPr="0028162F">
              <w:rPr>
                <w:rFonts w:eastAsia="Times New Roman" w:cs="Arial"/>
                <w:lang w:eastAsia="es-ES"/>
              </w:rPr>
              <w:t>106*</w:t>
            </w:r>
          </w:p>
        </w:tc>
        <w:tc>
          <w:tcPr>
            <w:tcW w:w="0" w:type="auto"/>
            <w:hideMark/>
          </w:tcPr>
          <w:p w14:paraId="5D8E6E1D" w14:textId="77777777" w:rsidR="0028162F" w:rsidRPr="0028162F" w:rsidRDefault="0028162F" w:rsidP="000A215B">
            <w:pPr>
              <w:rPr>
                <w:rFonts w:eastAsia="Times New Roman" w:cs="Arial"/>
                <w:lang w:eastAsia="es-ES"/>
              </w:rPr>
            </w:pPr>
            <w:r w:rsidRPr="0028162F">
              <w:rPr>
                <w:rFonts w:eastAsia="Times New Roman" w:cs="Arial"/>
                <w:lang w:eastAsia="es-ES"/>
              </w:rPr>
              <w:t>100</w:t>
            </w:r>
          </w:p>
        </w:tc>
        <w:tc>
          <w:tcPr>
            <w:tcW w:w="0" w:type="auto"/>
            <w:hideMark/>
          </w:tcPr>
          <w:p w14:paraId="3C233FE7" w14:textId="77777777" w:rsidR="0028162F" w:rsidRPr="0028162F" w:rsidRDefault="0028162F" w:rsidP="000A215B">
            <w:pPr>
              <w:rPr>
                <w:rFonts w:eastAsia="Times New Roman" w:cs="Arial"/>
                <w:lang w:eastAsia="es-ES"/>
              </w:rPr>
            </w:pPr>
            <w:r w:rsidRPr="0028162F">
              <w:rPr>
                <w:rFonts w:eastAsia="Times New Roman" w:cs="Arial"/>
                <w:lang w:eastAsia="es-ES"/>
              </w:rPr>
              <w:t>6</w:t>
            </w:r>
          </w:p>
        </w:tc>
        <w:tc>
          <w:tcPr>
            <w:tcW w:w="0" w:type="auto"/>
            <w:hideMark/>
          </w:tcPr>
          <w:p w14:paraId="2F5753F1" w14:textId="77777777" w:rsidR="0028162F" w:rsidRPr="0028162F" w:rsidRDefault="0028162F" w:rsidP="000A215B">
            <w:pPr>
              <w:rPr>
                <w:rFonts w:eastAsia="Times New Roman" w:cs="Arial"/>
                <w:lang w:eastAsia="es-ES"/>
              </w:rPr>
            </w:pPr>
            <w:r w:rsidRPr="0028162F">
              <w:rPr>
                <w:rFonts w:eastAsia="Times New Roman" w:cs="Arial"/>
                <w:lang w:eastAsia="es-ES"/>
              </w:rPr>
              <w:t>94,3%</w:t>
            </w:r>
          </w:p>
        </w:tc>
      </w:tr>
      <w:tr w:rsidR="0028162F" w:rsidRPr="0028162F" w14:paraId="2F8BBF9A" w14:textId="77777777" w:rsidTr="000A215B">
        <w:tc>
          <w:tcPr>
            <w:tcW w:w="0" w:type="auto"/>
            <w:hideMark/>
          </w:tcPr>
          <w:p w14:paraId="4D226525" w14:textId="77777777" w:rsidR="0028162F" w:rsidRPr="0028162F" w:rsidRDefault="0028162F" w:rsidP="000A215B">
            <w:pPr>
              <w:rPr>
                <w:rFonts w:eastAsia="Times New Roman" w:cs="Arial"/>
                <w:lang w:eastAsia="es-ES"/>
              </w:rPr>
            </w:pPr>
            <w:r w:rsidRPr="0028162F">
              <w:rPr>
                <w:rFonts w:eastAsia="Times New Roman" w:cs="Arial"/>
                <w:lang w:eastAsia="es-ES"/>
              </w:rPr>
              <w:t>2</w:t>
            </w:r>
          </w:p>
        </w:tc>
        <w:tc>
          <w:tcPr>
            <w:tcW w:w="0" w:type="auto"/>
            <w:hideMark/>
          </w:tcPr>
          <w:p w14:paraId="3B8F0EF0" w14:textId="77777777" w:rsidR="0028162F" w:rsidRPr="0028162F" w:rsidRDefault="0028162F" w:rsidP="000A215B">
            <w:pPr>
              <w:rPr>
                <w:rFonts w:eastAsia="Times New Roman" w:cs="Arial"/>
                <w:lang w:eastAsia="es-ES"/>
              </w:rPr>
            </w:pPr>
            <w:r w:rsidRPr="0028162F">
              <w:rPr>
                <w:rFonts w:eastAsia="Times New Roman" w:cs="Arial"/>
                <w:lang w:eastAsia="es-ES"/>
              </w:rPr>
              <w:t>Estrada y Espinal, 2015 (Honduras)</w:t>
            </w:r>
          </w:p>
        </w:tc>
        <w:tc>
          <w:tcPr>
            <w:tcW w:w="0" w:type="auto"/>
            <w:hideMark/>
          </w:tcPr>
          <w:p w14:paraId="7A3CE680" w14:textId="77777777" w:rsidR="0028162F" w:rsidRPr="0028162F" w:rsidRDefault="0028162F" w:rsidP="000A215B">
            <w:pPr>
              <w:rPr>
                <w:rFonts w:eastAsia="Times New Roman" w:cs="Arial"/>
                <w:lang w:eastAsia="es-ES"/>
              </w:rPr>
            </w:pPr>
            <w:r w:rsidRPr="0028162F">
              <w:rPr>
                <w:rFonts w:eastAsia="Times New Roman" w:cs="Arial"/>
                <w:lang w:eastAsia="es-ES"/>
              </w:rPr>
              <w:t>Artículo; estudio prospectivo</w:t>
            </w:r>
          </w:p>
        </w:tc>
        <w:tc>
          <w:tcPr>
            <w:tcW w:w="0" w:type="auto"/>
            <w:hideMark/>
          </w:tcPr>
          <w:p w14:paraId="0D63AA20" w14:textId="77777777" w:rsidR="0028162F" w:rsidRPr="0028162F" w:rsidRDefault="0028162F" w:rsidP="000A215B">
            <w:pPr>
              <w:rPr>
                <w:rFonts w:eastAsia="Times New Roman" w:cs="Arial"/>
                <w:lang w:eastAsia="es-ES"/>
              </w:rPr>
            </w:pPr>
            <w:r w:rsidRPr="0028162F">
              <w:rPr>
                <w:rFonts w:eastAsia="Times New Roman" w:cs="Arial"/>
                <w:lang w:eastAsia="es-ES"/>
              </w:rPr>
              <w:t>Aborto incompleto</w:t>
            </w:r>
          </w:p>
        </w:tc>
        <w:tc>
          <w:tcPr>
            <w:tcW w:w="0" w:type="auto"/>
            <w:hideMark/>
          </w:tcPr>
          <w:p w14:paraId="43823736" w14:textId="77777777" w:rsidR="0028162F" w:rsidRPr="0028162F" w:rsidRDefault="0028162F" w:rsidP="000A215B">
            <w:pPr>
              <w:rPr>
                <w:rFonts w:eastAsia="Times New Roman" w:cs="Arial"/>
                <w:lang w:eastAsia="es-ES"/>
              </w:rPr>
            </w:pPr>
            <w:r w:rsidRPr="0028162F">
              <w:rPr>
                <w:rFonts w:eastAsia="Times New Roman" w:cs="Arial"/>
                <w:lang w:eastAsia="es-ES"/>
              </w:rPr>
              <w:t>800 µg oral</w:t>
            </w:r>
          </w:p>
        </w:tc>
        <w:tc>
          <w:tcPr>
            <w:tcW w:w="0" w:type="auto"/>
            <w:hideMark/>
          </w:tcPr>
          <w:p w14:paraId="758CE52F" w14:textId="77777777" w:rsidR="0028162F" w:rsidRPr="0028162F" w:rsidRDefault="0028162F" w:rsidP="000A215B">
            <w:pPr>
              <w:rPr>
                <w:rFonts w:eastAsia="Times New Roman" w:cs="Arial"/>
                <w:lang w:eastAsia="es-ES"/>
              </w:rPr>
            </w:pPr>
            <w:r w:rsidRPr="0028162F">
              <w:rPr>
                <w:rFonts w:eastAsia="Times New Roman" w:cs="Arial"/>
                <w:lang w:eastAsia="es-ES"/>
              </w:rPr>
              <w:t>Resolución sin curetaje posterior</w:t>
            </w:r>
          </w:p>
        </w:tc>
        <w:tc>
          <w:tcPr>
            <w:tcW w:w="0" w:type="auto"/>
            <w:hideMark/>
          </w:tcPr>
          <w:p w14:paraId="394142B9" w14:textId="77777777" w:rsidR="0028162F" w:rsidRPr="0028162F" w:rsidRDefault="0028162F" w:rsidP="000A215B">
            <w:pPr>
              <w:rPr>
                <w:rFonts w:eastAsia="Times New Roman" w:cs="Arial"/>
                <w:lang w:eastAsia="es-ES"/>
              </w:rPr>
            </w:pPr>
            <w:r w:rsidRPr="0028162F">
              <w:rPr>
                <w:rFonts w:eastAsia="Times New Roman" w:cs="Arial"/>
                <w:lang w:eastAsia="es-ES"/>
              </w:rPr>
              <w:t>100</w:t>
            </w:r>
          </w:p>
        </w:tc>
        <w:tc>
          <w:tcPr>
            <w:tcW w:w="0" w:type="auto"/>
            <w:hideMark/>
          </w:tcPr>
          <w:p w14:paraId="17A9766C" w14:textId="77777777" w:rsidR="0028162F" w:rsidRPr="0028162F" w:rsidRDefault="0028162F" w:rsidP="000A215B">
            <w:pPr>
              <w:rPr>
                <w:rFonts w:eastAsia="Times New Roman" w:cs="Arial"/>
                <w:lang w:eastAsia="es-ES"/>
              </w:rPr>
            </w:pPr>
            <w:r w:rsidRPr="0028162F">
              <w:rPr>
                <w:rFonts w:eastAsia="Times New Roman" w:cs="Arial"/>
                <w:lang w:eastAsia="es-ES"/>
              </w:rPr>
              <w:t>81</w:t>
            </w:r>
          </w:p>
        </w:tc>
        <w:tc>
          <w:tcPr>
            <w:tcW w:w="0" w:type="auto"/>
            <w:hideMark/>
          </w:tcPr>
          <w:p w14:paraId="5B30BE16" w14:textId="77777777" w:rsidR="0028162F" w:rsidRPr="0028162F" w:rsidRDefault="0028162F" w:rsidP="000A215B">
            <w:pPr>
              <w:rPr>
                <w:rFonts w:eastAsia="Times New Roman" w:cs="Arial"/>
                <w:lang w:eastAsia="es-ES"/>
              </w:rPr>
            </w:pPr>
            <w:r w:rsidRPr="0028162F">
              <w:rPr>
                <w:rFonts w:eastAsia="Times New Roman" w:cs="Arial"/>
                <w:lang w:eastAsia="es-ES"/>
              </w:rPr>
              <w:t>19</w:t>
            </w:r>
          </w:p>
        </w:tc>
        <w:tc>
          <w:tcPr>
            <w:tcW w:w="0" w:type="auto"/>
            <w:hideMark/>
          </w:tcPr>
          <w:p w14:paraId="77F93C50" w14:textId="77777777" w:rsidR="0028162F" w:rsidRPr="0028162F" w:rsidRDefault="0028162F" w:rsidP="000A215B">
            <w:pPr>
              <w:rPr>
                <w:rFonts w:eastAsia="Times New Roman" w:cs="Arial"/>
                <w:lang w:eastAsia="es-ES"/>
              </w:rPr>
            </w:pPr>
            <w:r w:rsidRPr="0028162F">
              <w:rPr>
                <w:rFonts w:eastAsia="Times New Roman" w:cs="Arial"/>
                <w:lang w:eastAsia="es-ES"/>
              </w:rPr>
              <w:t>81,0%</w:t>
            </w:r>
          </w:p>
        </w:tc>
      </w:tr>
      <w:tr w:rsidR="0028162F" w:rsidRPr="0028162F" w14:paraId="0E132E44" w14:textId="77777777" w:rsidTr="000A215B">
        <w:tc>
          <w:tcPr>
            <w:tcW w:w="0" w:type="auto"/>
            <w:hideMark/>
          </w:tcPr>
          <w:p w14:paraId="1F423836" w14:textId="77777777" w:rsidR="0028162F" w:rsidRPr="0028162F" w:rsidRDefault="0028162F" w:rsidP="000A215B">
            <w:pPr>
              <w:rPr>
                <w:rFonts w:eastAsia="Times New Roman" w:cs="Arial"/>
                <w:lang w:eastAsia="es-ES"/>
              </w:rPr>
            </w:pPr>
            <w:r w:rsidRPr="0028162F">
              <w:rPr>
                <w:rFonts w:eastAsia="Times New Roman" w:cs="Arial"/>
                <w:lang w:eastAsia="es-ES"/>
              </w:rPr>
              <w:t>3</w:t>
            </w:r>
          </w:p>
        </w:tc>
        <w:tc>
          <w:tcPr>
            <w:tcW w:w="0" w:type="auto"/>
            <w:hideMark/>
          </w:tcPr>
          <w:p w14:paraId="4A732B1C" w14:textId="77777777" w:rsidR="0028162F" w:rsidRPr="0028162F" w:rsidRDefault="0028162F" w:rsidP="000A215B">
            <w:pPr>
              <w:rPr>
                <w:rFonts w:eastAsia="Times New Roman" w:cs="Arial"/>
                <w:lang w:eastAsia="es-ES"/>
              </w:rPr>
            </w:pPr>
            <w:r w:rsidRPr="0028162F">
              <w:rPr>
                <w:rFonts w:eastAsia="Times New Roman" w:cs="Arial"/>
                <w:lang w:eastAsia="es-ES"/>
              </w:rPr>
              <w:t>Sepúlveda Rivera et al., 2019 (México)</w:t>
            </w:r>
          </w:p>
        </w:tc>
        <w:tc>
          <w:tcPr>
            <w:tcW w:w="0" w:type="auto"/>
            <w:hideMark/>
          </w:tcPr>
          <w:p w14:paraId="3F49B38E" w14:textId="77777777" w:rsidR="0028162F" w:rsidRPr="0028162F" w:rsidRDefault="0028162F" w:rsidP="000A215B">
            <w:pPr>
              <w:rPr>
                <w:rFonts w:eastAsia="Times New Roman" w:cs="Arial"/>
                <w:lang w:eastAsia="es-ES"/>
              </w:rPr>
            </w:pPr>
            <w:r w:rsidRPr="0028162F">
              <w:rPr>
                <w:rFonts w:eastAsia="Times New Roman" w:cs="Arial"/>
                <w:lang w:eastAsia="es-ES"/>
              </w:rPr>
              <w:t>Artículo; estudio observacional</w:t>
            </w:r>
          </w:p>
        </w:tc>
        <w:tc>
          <w:tcPr>
            <w:tcW w:w="0" w:type="auto"/>
            <w:hideMark/>
          </w:tcPr>
          <w:p w14:paraId="097A1506" w14:textId="77777777" w:rsidR="0028162F" w:rsidRPr="0028162F" w:rsidRDefault="0028162F" w:rsidP="000A215B">
            <w:pPr>
              <w:rPr>
                <w:rFonts w:eastAsia="Times New Roman" w:cs="Arial"/>
                <w:lang w:eastAsia="es-ES"/>
              </w:rPr>
            </w:pPr>
            <w:r w:rsidRPr="0028162F">
              <w:rPr>
                <w:rFonts w:eastAsia="Times New Roman" w:cs="Arial"/>
                <w:lang w:eastAsia="es-ES"/>
              </w:rPr>
              <w:t>Aborto espontáneo del primer trimestre</w:t>
            </w:r>
          </w:p>
        </w:tc>
        <w:tc>
          <w:tcPr>
            <w:tcW w:w="0" w:type="auto"/>
            <w:hideMark/>
          </w:tcPr>
          <w:p w14:paraId="2B8530C4" w14:textId="77777777" w:rsidR="0028162F" w:rsidRPr="0028162F" w:rsidRDefault="0028162F" w:rsidP="000A215B">
            <w:pPr>
              <w:rPr>
                <w:rFonts w:eastAsia="Times New Roman" w:cs="Arial"/>
                <w:lang w:eastAsia="es-ES"/>
              </w:rPr>
            </w:pPr>
            <w:r w:rsidRPr="0028162F">
              <w:rPr>
                <w:rFonts w:eastAsia="Times New Roman" w:cs="Arial"/>
                <w:lang w:eastAsia="es-ES"/>
              </w:rPr>
              <w:t>Según protocolo FIGO 2017</w:t>
            </w:r>
          </w:p>
        </w:tc>
        <w:tc>
          <w:tcPr>
            <w:tcW w:w="0" w:type="auto"/>
            <w:hideMark/>
          </w:tcPr>
          <w:p w14:paraId="2FACA1C7" w14:textId="77777777" w:rsidR="0028162F" w:rsidRPr="0028162F" w:rsidRDefault="0028162F" w:rsidP="000A215B">
            <w:pPr>
              <w:rPr>
                <w:rFonts w:eastAsia="Times New Roman" w:cs="Arial"/>
                <w:lang w:eastAsia="es-ES"/>
              </w:rPr>
            </w:pPr>
            <w:r w:rsidRPr="0028162F">
              <w:rPr>
                <w:rFonts w:eastAsia="Times New Roman" w:cs="Arial"/>
                <w:lang w:eastAsia="es-ES"/>
              </w:rPr>
              <w:t>Evacuación completa</w:t>
            </w:r>
          </w:p>
        </w:tc>
        <w:tc>
          <w:tcPr>
            <w:tcW w:w="0" w:type="auto"/>
            <w:hideMark/>
          </w:tcPr>
          <w:p w14:paraId="0CC70937" w14:textId="77777777" w:rsidR="0028162F" w:rsidRPr="0028162F" w:rsidRDefault="0028162F" w:rsidP="000A215B">
            <w:pPr>
              <w:rPr>
                <w:rFonts w:eastAsia="Times New Roman" w:cs="Arial"/>
                <w:lang w:eastAsia="es-ES"/>
              </w:rPr>
            </w:pPr>
            <w:r w:rsidRPr="0028162F">
              <w:rPr>
                <w:rFonts w:eastAsia="Times New Roman" w:cs="Arial"/>
                <w:lang w:eastAsia="es-ES"/>
              </w:rPr>
              <w:t>76</w:t>
            </w:r>
          </w:p>
        </w:tc>
        <w:tc>
          <w:tcPr>
            <w:tcW w:w="0" w:type="auto"/>
            <w:hideMark/>
          </w:tcPr>
          <w:p w14:paraId="4AB9461E" w14:textId="77777777" w:rsidR="0028162F" w:rsidRPr="0028162F" w:rsidRDefault="0028162F" w:rsidP="000A215B">
            <w:pPr>
              <w:rPr>
                <w:rFonts w:eastAsia="Times New Roman" w:cs="Arial"/>
                <w:lang w:eastAsia="es-ES"/>
              </w:rPr>
            </w:pPr>
            <w:r w:rsidRPr="0028162F">
              <w:rPr>
                <w:rFonts w:eastAsia="Times New Roman" w:cs="Arial"/>
                <w:lang w:eastAsia="es-ES"/>
              </w:rPr>
              <w:t>75</w:t>
            </w:r>
          </w:p>
        </w:tc>
        <w:tc>
          <w:tcPr>
            <w:tcW w:w="0" w:type="auto"/>
            <w:hideMark/>
          </w:tcPr>
          <w:p w14:paraId="40C3BD26" w14:textId="77777777" w:rsidR="0028162F" w:rsidRPr="0028162F" w:rsidRDefault="0028162F" w:rsidP="000A215B">
            <w:pPr>
              <w:rPr>
                <w:rFonts w:eastAsia="Times New Roman" w:cs="Arial"/>
                <w:lang w:eastAsia="es-ES"/>
              </w:rPr>
            </w:pPr>
            <w:r w:rsidRPr="0028162F">
              <w:rPr>
                <w:rFonts w:eastAsia="Times New Roman" w:cs="Arial"/>
                <w:lang w:eastAsia="es-ES"/>
              </w:rPr>
              <w:t>1</w:t>
            </w:r>
          </w:p>
        </w:tc>
        <w:tc>
          <w:tcPr>
            <w:tcW w:w="0" w:type="auto"/>
            <w:hideMark/>
          </w:tcPr>
          <w:p w14:paraId="303C22E3" w14:textId="77777777" w:rsidR="0028162F" w:rsidRPr="0028162F" w:rsidRDefault="0028162F" w:rsidP="000A215B">
            <w:pPr>
              <w:rPr>
                <w:rFonts w:eastAsia="Times New Roman" w:cs="Arial"/>
                <w:lang w:eastAsia="es-ES"/>
              </w:rPr>
            </w:pPr>
            <w:r w:rsidRPr="0028162F">
              <w:rPr>
                <w:rFonts w:eastAsia="Times New Roman" w:cs="Arial"/>
                <w:lang w:eastAsia="es-ES"/>
              </w:rPr>
              <w:t>98,6%</w:t>
            </w:r>
          </w:p>
        </w:tc>
      </w:tr>
      <w:tr w:rsidR="0028162F" w:rsidRPr="0028162F" w14:paraId="5B419043" w14:textId="77777777" w:rsidTr="000A215B">
        <w:tc>
          <w:tcPr>
            <w:tcW w:w="0" w:type="auto"/>
            <w:hideMark/>
          </w:tcPr>
          <w:p w14:paraId="10E2AB57" w14:textId="77777777" w:rsidR="0028162F" w:rsidRPr="0028162F" w:rsidRDefault="0028162F" w:rsidP="000A215B">
            <w:pPr>
              <w:rPr>
                <w:rFonts w:eastAsia="Times New Roman" w:cs="Arial"/>
                <w:lang w:eastAsia="es-ES"/>
              </w:rPr>
            </w:pPr>
            <w:r w:rsidRPr="0028162F">
              <w:rPr>
                <w:rFonts w:eastAsia="Times New Roman" w:cs="Arial"/>
                <w:lang w:eastAsia="es-ES"/>
              </w:rPr>
              <w:t>4</w:t>
            </w:r>
          </w:p>
        </w:tc>
        <w:tc>
          <w:tcPr>
            <w:tcW w:w="0" w:type="auto"/>
            <w:hideMark/>
          </w:tcPr>
          <w:p w14:paraId="62D3EAC4" w14:textId="77777777" w:rsidR="0028162F" w:rsidRPr="0028162F" w:rsidRDefault="0028162F" w:rsidP="000A215B">
            <w:pPr>
              <w:rPr>
                <w:rFonts w:eastAsia="Times New Roman" w:cs="Arial"/>
                <w:lang w:eastAsia="es-ES"/>
              </w:rPr>
            </w:pPr>
            <w:r w:rsidRPr="0028162F">
              <w:rPr>
                <w:rFonts w:eastAsia="Times New Roman" w:cs="Arial"/>
                <w:lang w:eastAsia="es-ES"/>
              </w:rPr>
              <w:t>Martínez-Rodas et al., 2020 (Honduras)</w:t>
            </w:r>
          </w:p>
        </w:tc>
        <w:tc>
          <w:tcPr>
            <w:tcW w:w="0" w:type="auto"/>
            <w:hideMark/>
          </w:tcPr>
          <w:p w14:paraId="76E249F3" w14:textId="77777777" w:rsidR="0028162F" w:rsidRPr="0028162F" w:rsidRDefault="0028162F" w:rsidP="000A215B">
            <w:pPr>
              <w:rPr>
                <w:rFonts w:eastAsia="Times New Roman" w:cs="Arial"/>
                <w:lang w:eastAsia="es-ES"/>
              </w:rPr>
            </w:pPr>
            <w:r w:rsidRPr="0028162F">
              <w:rPr>
                <w:rFonts w:eastAsia="Times New Roman" w:cs="Arial"/>
                <w:lang w:eastAsia="es-ES"/>
              </w:rPr>
              <w:t>Artículo; estudio observacional prospectivo</w:t>
            </w:r>
          </w:p>
        </w:tc>
        <w:tc>
          <w:tcPr>
            <w:tcW w:w="0" w:type="auto"/>
            <w:hideMark/>
          </w:tcPr>
          <w:p w14:paraId="623BECEE" w14:textId="77777777" w:rsidR="0028162F" w:rsidRPr="0028162F" w:rsidRDefault="0028162F" w:rsidP="000A215B">
            <w:pPr>
              <w:rPr>
                <w:rFonts w:eastAsia="Times New Roman" w:cs="Arial"/>
                <w:lang w:eastAsia="es-ES"/>
              </w:rPr>
            </w:pPr>
            <w:r w:rsidRPr="0028162F">
              <w:rPr>
                <w:rFonts w:eastAsia="Times New Roman" w:cs="Arial"/>
                <w:lang w:eastAsia="es-ES"/>
              </w:rPr>
              <w:t>Abortos &lt;12 semanas</w:t>
            </w:r>
          </w:p>
        </w:tc>
        <w:tc>
          <w:tcPr>
            <w:tcW w:w="0" w:type="auto"/>
            <w:hideMark/>
          </w:tcPr>
          <w:p w14:paraId="2FFD57D4" w14:textId="77777777" w:rsidR="0028162F" w:rsidRPr="0028162F" w:rsidRDefault="0028162F" w:rsidP="000A215B">
            <w:pPr>
              <w:rPr>
                <w:rFonts w:eastAsia="Times New Roman" w:cs="Arial"/>
                <w:lang w:eastAsia="es-ES"/>
              </w:rPr>
            </w:pPr>
            <w:r w:rsidRPr="0028162F">
              <w:rPr>
                <w:rFonts w:eastAsia="Times New Roman" w:cs="Arial"/>
                <w:lang w:eastAsia="es-ES"/>
              </w:rPr>
              <w:t>1 a 3 dosis</w:t>
            </w:r>
          </w:p>
        </w:tc>
        <w:tc>
          <w:tcPr>
            <w:tcW w:w="0" w:type="auto"/>
            <w:hideMark/>
          </w:tcPr>
          <w:p w14:paraId="251F330A" w14:textId="77777777" w:rsidR="0028162F" w:rsidRPr="0028162F" w:rsidRDefault="0028162F" w:rsidP="000A215B">
            <w:pPr>
              <w:rPr>
                <w:rFonts w:eastAsia="Times New Roman" w:cs="Arial"/>
                <w:lang w:eastAsia="es-ES"/>
              </w:rPr>
            </w:pPr>
            <w:r w:rsidRPr="0028162F">
              <w:rPr>
                <w:rFonts w:eastAsia="Times New Roman" w:cs="Arial"/>
                <w:lang w:eastAsia="es-ES"/>
              </w:rPr>
              <w:t>Ausencia de fallo del método</w:t>
            </w:r>
          </w:p>
        </w:tc>
        <w:tc>
          <w:tcPr>
            <w:tcW w:w="0" w:type="auto"/>
            <w:hideMark/>
          </w:tcPr>
          <w:p w14:paraId="38F5C400" w14:textId="77777777" w:rsidR="0028162F" w:rsidRPr="0028162F" w:rsidRDefault="0028162F" w:rsidP="000A215B">
            <w:pPr>
              <w:rPr>
                <w:rFonts w:eastAsia="Times New Roman" w:cs="Arial"/>
                <w:lang w:eastAsia="es-ES"/>
              </w:rPr>
            </w:pPr>
            <w:r w:rsidRPr="0028162F">
              <w:rPr>
                <w:rFonts w:eastAsia="Times New Roman" w:cs="Arial"/>
                <w:lang w:eastAsia="es-ES"/>
              </w:rPr>
              <w:t>155</w:t>
            </w:r>
          </w:p>
        </w:tc>
        <w:tc>
          <w:tcPr>
            <w:tcW w:w="0" w:type="auto"/>
            <w:hideMark/>
          </w:tcPr>
          <w:p w14:paraId="476D04C6" w14:textId="77777777" w:rsidR="0028162F" w:rsidRPr="0028162F" w:rsidRDefault="0028162F" w:rsidP="000A215B">
            <w:pPr>
              <w:rPr>
                <w:rFonts w:eastAsia="Times New Roman" w:cs="Arial"/>
                <w:lang w:eastAsia="es-ES"/>
              </w:rPr>
            </w:pPr>
            <w:r w:rsidRPr="0028162F">
              <w:rPr>
                <w:rFonts w:eastAsia="Times New Roman" w:cs="Arial"/>
                <w:lang w:eastAsia="es-ES"/>
              </w:rPr>
              <w:t>143**</w:t>
            </w:r>
          </w:p>
        </w:tc>
        <w:tc>
          <w:tcPr>
            <w:tcW w:w="0" w:type="auto"/>
            <w:hideMark/>
          </w:tcPr>
          <w:p w14:paraId="3C5CF26D" w14:textId="77777777" w:rsidR="0028162F" w:rsidRPr="0028162F" w:rsidRDefault="0028162F" w:rsidP="000A215B">
            <w:pPr>
              <w:rPr>
                <w:rFonts w:eastAsia="Times New Roman" w:cs="Arial"/>
                <w:lang w:eastAsia="es-ES"/>
              </w:rPr>
            </w:pPr>
            <w:r w:rsidRPr="0028162F">
              <w:rPr>
                <w:rFonts w:eastAsia="Times New Roman" w:cs="Arial"/>
                <w:lang w:eastAsia="es-ES"/>
              </w:rPr>
              <w:t>12**</w:t>
            </w:r>
          </w:p>
        </w:tc>
        <w:tc>
          <w:tcPr>
            <w:tcW w:w="0" w:type="auto"/>
            <w:hideMark/>
          </w:tcPr>
          <w:p w14:paraId="54CD18E9" w14:textId="77777777" w:rsidR="0028162F" w:rsidRPr="0028162F" w:rsidRDefault="0028162F" w:rsidP="000A215B">
            <w:pPr>
              <w:rPr>
                <w:rFonts w:eastAsia="Times New Roman" w:cs="Arial"/>
                <w:lang w:eastAsia="es-ES"/>
              </w:rPr>
            </w:pPr>
            <w:r w:rsidRPr="0028162F">
              <w:rPr>
                <w:rFonts w:eastAsia="Times New Roman" w:cs="Arial"/>
                <w:lang w:eastAsia="es-ES"/>
              </w:rPr>
              <w:t>92,3%**</w:t>
            </w:r>
          </w:p>
        </w:tc>
      </w:tr>
      <w:tr w:rsidR="0028162F" w:rsidRPr="0028162F" w14:paraId="477A06D4" w14:textId="77777777" w:rsidTr="000A215B">
        <w:tc>
          <w:tcPr>
            <w:tcW w:w="0" w:type="auto"/>
            <w:hideMark/>
          </w:tcPr>
          <w:p w14:paraId="7D485093" w14:textId="77777777" w:rsidR="0028162F" w:rsidRPr="0028162F" w:rsidRDefault="0028162F" w:rsidP="000A215B">
            <w:pPr>
              <w:rPr>
                <w:rFonts w:eastAsia="Times New Roman" w:cs="Arial"/>
                <w:lang w:eastAsia="es-ES"/>
              </w:rPr>
            </w:pPr>
            <w:r w:rsidRPr="0028162F">
              <w:rPr>
                <w:rFonts w:eastAsia="Times New Roman" w:cs="Arial"/>
                <w:lang w:eastAsia="es-ES"/>
              </w:rPr>
              <w:lastRenderedPageBreak/>
              <w:t>5</w:t>
            </w:r>
          </w:p>
        </w:tc>
        <w:tc>
          <w:tcPr>
            <w:tcW w:w="0" w:type="auto"/>
            <w:hideMark/>
          </w:tcPr>
          <w:p w14:paraId="5A48095E" w14:textId="77777777" w:rsidR="0028162F" w:rsidRPr="0028162F" w:rsidRDefault="0028162F" w:rsidP="000A215B">
            <w:pPr>
              <w:rPr>
                <w:rFonts w:eastAsia="Times New Roman" w:cs="Arial"/>
                <w:lang w:eastAsia="es-ES"/>
              </w:rPr>
            </w:pPr>
            <w:r w:rsidRPr="0028162F">
              <w:rPr>
                <w:rFonts w:eastAsia="Times New Roman" w:cs="Arial"/>
                <w:lang w:eastAsia="es-ES"/>
              </w:rPr>
              <w:t>Chérrez Ramos y Arévalo Villanueva, 2021 (Ecuador)</w:t>
            </w:r>
          </w:p>
        </w:tc>
        <w:tc>
          <w:tcPr>
            <w:tcW w:w="0" w:type="auto"/>
            <w:hideMark/>
          </w:tcPr>
          <w:p w14:paraId="189C3FA1" w14:textId="77777777" w:rsidR="0028162F" w:rsidRPr="0028162F" w:rsidRDefault="0028162F" w:rsidP="000A215B">
            <w:pPr>
              <w:rPr>
                <w:rFonts w:eastAsia="Times New Roman" w:cs="Arial"/>
                <w:lang w:eastAsia="es-ES"/>
              </w:rPr>
            </w:pPr>
            <w:r w:rsidRPr="0028162F">
              <w:rPr>
                <w:rFonts w:eastAsia="Times New Roman" w:cs="Arial"/>
                <w:lang w:eastAsia="es-ES"/>
              </w:rPr>
              <w:t>Tesis; estudio observacional retrospectivo</w:t>
            </w:r>
          </w:p>
        </w:tc>
        <w:tc>
          <w:tcPr>
            <w:tcW w:w="0" w:type="auto"/>
            <w:hideMark/>
          </w:tcPr>
          <w:p w14:paraId="3D41CD38" w14:textId="77777777" w:rsidR="0028162F" w:rsidRPr="0028162F" w:rsidRDefault="0028162F" w:rsidP="000A215B">
            <w:pPr>
              <w:rPr>
                <w:rFonts w:eastAsia="Times New Roman" w:cs="Arial"/>
                <w:lang w:eastAsia="es-ES"/>
              </w:rPr>
            </w:pPr>
            <w:r w:rsidRPr="0028162F">
              <w:rPr>
                <w:rFonts w:eastAsia="Times New Roman" w:cs="Arial"/>
                <w:lang w:eastAsia="es-ES"/>
              </w:rPr>
              <w:t>Aborto incompleto</w:t>
            </w:r>
          </w:p>
        </w:tc>
        <w:tc>
          <w:tcPr>
            <w:tcW w:w="0" w:type="auto"/>
            <w:hideMark/>
          </w:tcPr>
          <w:p w14:paraId="206AACFF" w14:textId="77777777" w:rsidR="0028162F" w:rsidRPr="0028162F" w:rsidRDefault="0028162F" w:rsidP="000A215B">
            <w:pPr>
              <w:rPr>
                <w:rFonts w:eastAsia="Times New Roman" w:cs="Arial"/>
                <w:lang w:eastAsia="es-ES"/>
              </w:rPr>
            </w:pPr>
            <w:r w:rsidRPr="0028162F">
              <w:rPr>
                <w:rFonts w:eastAsia="Times New Roman" w:cs="Arial"/>
                <w:lang w:eastAsia="es-ES"/>
              </w:rPr>
              <w:t>Dosis variables</w:t>
            </w:r>
          </w:p>
        </w:tc>
        <w:tc>
          <w:tcPr>
            <w:tcW w:w="0" w:type="auto"/>
            <w:hideMark/>
          </w:tcPr>
          <w:p w14:paraId="377B6956" w14:textId="77777777" w:rsidR="0028162F" w:rsidRPr="0028162F" w:rsidRDefault="0028162F" w:rsidP="000A215B">
            <w:pPr>
              <w:rPr>
                <w:rFonts w:eastAsia="Times New Roman" w:cs="Arial"/>
                <w:lang w:eastAsia="es-ES"/>
              </w:rPr>
            </w:pPr>
            <w:r w:rsidRPr="0028162F">
              <w:rPr>
                <w:rFonts w:eastAsia="Times New Roman" w:cs="Arial"/>
                <w:lang w:eastAsia="es-ES"/>
              </w:rPr>
              <w:t>Manejo exitoso con misoprostol</w:t>
            </w:r>
          </w:p>
        </w:tc>
        <w:tc>
          <w:tcPr>
            <w:tcW w:w="0" w:type="auto"/>
            <w:hideMark/>
          </w:tcPr>
          <w:p w14:paraId="1484D2A6" w14:textId="77777777" w:rsidR="0028162F" w:rsidRPr="0028162F" w:rsidRDefault="0028162F" w:rsidP="000A215B">
            <w:pPr>
              <w:rPr>
                <w:rFonts w:eastAsia="Times New Roman" w:cs="Arial"/>
                <w:lang w:eastAsia="es-ES"/>
              </w:rPr>
            </w:pPr>
            <w:r w:rsidRPr="0028162F">
              <w:rPr>
                <w:rFonts w:eastAsia="Times New Roman" w:cs="Arial"/>
                <w:lang w:eastAsia="es-ES"/>
              </w:rPr>
              <w:t>14</w:t>
            </w:r>
          </w:p>
        </w:tc>
        <w:tc>
          <w:tcPr>
            <w:tcW w:w="0" w:type="auto"/>
            <w:hideMark/>
          </w:tcPr>
          <w:p w14:paraId="4691EBF1" w14:textId="77777777" w:rsidR="0028162F" w:rsidRPr="0028162F" w:rsidRDefault="0028162F" w:rsidP="000A215B">
            <w:pPr>
              <w:rPr>
                <w:rFonts w:eastAsia="Times New Roman" w:cs="Arial"/>
                <w:lang w:eastAsia="es-ES"/>
              </w:rPr>
            </w:pPr>
            <w:r w:rsidRPr="0028162F">
              <w:rPr>
                <w:rFonts w:eastAsia="Times New Roman" w:cs="Arial"/>
                <w:lang w:eastAsia="es-ES"/>
              </w:rPr>
              <w:t>4</w:t>
            </w:r>
          </w:p>
        </w:tc>
        <w:tc>
          <w:tcPr>
            <w:tcW w:w="0" w:type="auto"/>
            <w:hideMark/>
          </w:tcPr>
          <w:p w14:paraId="67155AE2" w14:textId="77777777" w:rsidR="0028162F" w:rsidRPr="0028162F" w:rsidRDefault="0028162F" w:rsidP="000A215B">
            <w:pPr>
              <w:rPr>
                <w:rFonts w:eastAsia="Times New Roman" w:cs="Arial"/>
                <w:lang w:eastAsia="es-ES"/>
              </w:rPr>
            </w:pPr>
            <w:r w:rsidRPr="0028162F">
              <w:rPr>
                <w:rFonts w:eastAsia="Times New Roman" w:cs="Arial"/>
                <w:lang w:eastAsia="es-ES"/>
              </w:rPr>
              <w:t>10</w:t>
            </w:r>
          </w:p>
        </w:tc>
        <w:tc>
          <w:tcPr>
            <w:tcW w:w="0" w:type="auto"/>
            <w:hideMark/>
          </w:tcPr>
          <w:p w14:paraId="394C843E" w14:textId="77777777" w:rsidR="0028162F" w:rsidRPr="0028162F" w:rsidRDefault="0028162F" w:rsidP="000A215B">
            <w:pPr>
              <w:rPr>
                <w:rFonts w:eastAsia="Times New Roman" w:cs="Arial"/>
                <w:lang w:eastAsia="es-ES"/>
              </w:rPr>
            </w:pPr>
            <w:r w:rsidRPr="0028162F">
              <w:rPr>
                <w:rFonts w:eastAsia="Times New Roman" w:cs="Arial"/>
                <w:lang w:eastAsia="es-ES"/>
              </w:rPr>
              <w:t>28,6%</w:t>
            </w:r>
          </w:p>
        </w:tc>
      </w:tr>
      <w:tr w:rsidR="0028162F" w:rsidRPr="0028162F" w14:paraId="5E8C9B8D" w14:textId="77777777" w:rsidTr="000A215B">
        <w:tc>
          <w:tcPr>
            <w:tcW w:w="0" w:type="auto"/>
            <w:hideMark/>
          </w:tcPr>
          <w:p w14:paraId="2F64D7B8" w14:textId="77777777" w:rsidR="0028162F" w:rsidRPr="0028162F" w:rsidRDefault="0028162F" w:rsidP="000A215B">
            <w:pPr>
              <w:rPr>
                <w:rFonts w:eastAsia="Times New Roman" w:cs="Arial"/>
                <w:lang w:eastAsia="es-ES"/>
              </w:rPr>
            </w:pPr>
            <w:r w:rsidRPr="0028162F">
              <w:rPr>
                <w:rFonts w:eastAsia="Times New Roman" w:cs="Arial"/>
                <w:lang w:eastAsia="es-ES"/>
              </w:rPr>
              <w:t>6</w:t>
            </w:r>
          </w:p>
        </w:tc>
        <w:tc>
          <w:tcPr>
            <w:tcW w:w="0" w:type="auto"/>
            <w:hideMark/>
          </w:tcPr>
          <w:p w14:paraId="4AB48C7A" w14:textId="77777777" w:rsidR="0028162F" w:rsidRPr="0028162F" w:rsidRDefault="0028162F" w:rsidP="000A215B">
            <w:pPr>
              <w:rPr>
                <w:rFonts w:eastAsia="Times New Roman" w:cs="Arial"/>
                <w:lang w:eastAsia="es-ES"/>
              </w:rPr>
            </w:pPr>
            <w:r w:rsidRPr="0028162F">
              <w:rPr>
                <w:rFonts w:eastAsia="Times New Roman" w:cs="Arial"/>
                <w:lang w:eastAsia="es-ES"/>
              </w:rPr>
              <w:t>Rueda Espinel, 2022 (Colombia)</w:t>
            </w:r>
          </w:p>
        </w:tc>
        <w:tc>
          <w:tcPr>
            <w:tcW w:w="0" w:type="auto"/>
            <w:hideMark/>
          </w:tcPr>
          <w:p w14:paraId="0B7E0DF9" w14:textId="77777777" w:rsidR="0028162F" w:rsidRPr="0028162F" w:rsidRDefault="0028162F" w:rsidP="000A215B">
            <w:pPr>
              <w:rPr>
                <w:rFonts w:eastAsia="Times New Roman" w:cs="Arial"/>
                <w:lang w:eastAsia="es-ES"/>
              </w:rPr>
            </w:pPr>
            <w:r w:rsidRPr="0028162F">
              <w:rPr>
                <w:rFonts w:eastAsia="Times New Roman" w:cs="Arial"/>
                <w:lang w:eastAsia="es-ES"/>
              </w:rPr>
              <w:t>Tesis; cohorte prospectiva</w:t>
            </w:r>
          </w:p>
        </w:tc>
        <w:tc>
          <w:tcPr>
            <w:tcW w:w="0" w:type="auto"/>
            <w:hideMark/>
          </w:tcPr>
          <w:p w14:paraId="7DEAC146" w14:textId="77777777" w:rsidR="0028162F" w:rsidRPr="0028162F" w:rsidRDefault="0028162F" w:rsidP="000A215B">
            <w:pPr>
              <w:rPr>
                <w:rFonts w:eastAsia="Times New Roman" w:cs="Arial"/>
                <w:lang w:eastAsia="es-ES"/>
              </w:rPr>
            </w:pPr>
            <w:r w:rsidRPr="0028162F">
              <w:rPr>
                <w:rFonts w:eastAsia="Times New Roman" w:cs="Arial"/>
                <w:lang w:eastAsia="es-ES"/>
              </w:rPr>
              <w:t>Aborto espontáneo</w:t>
            </w:r>
          </w:p>
        </w:tc>
        <w:tc>
          <w:tcPr>
            <w:tcW w:w="0" w:type="auto"/>
            <w:hideMark/>
          </w:tcPr>
          <w:p w14:paraId="3205A6FF" w14:textId="77777777" w:rsidR="0028162F" w:rsidRPr="0028162F" w:rsidRDefault="0028162F" w:rsidP="000A215B">
            <w:pPr>
              <w:rPr>
                <w:rFonts w:eastAsia="Times New Roman" w:cs="Arial"/>
                <w:lang w:eastAsia="es-ES"/>
              </w:rPr>
            </w:pPr>
            <w:r w:rsidRPr="0028162F">
              <w:rPr>
                <w:rFonts w:eastAsia="Times New Roman" w:cs="Arial"/>
                <w:lang w:eastAsia="es-ES"/>
              </w:rPr>
              <w:t>Esquema institucional</w:t>
            </w:r>
          </w:p>
        </w:tc>
        <w:tc>
          <w:tcPr>
            <w:tcW w:w="0" w:type="auto"/>
            <w:hideMark/>
          </w:tcPr>
          <w:p w14:paraId="1DE45530" w14:textId="77777777" w:rsidR="0028162F" w:rsidRPr="0028162F" w:rsidRDefault="0028162F" w:rsidP="000A215B">
            <w:pPr>
              <w:rPr>
                <w:rFonts w:eastAsia="Times New Roman" w:cs="Arial"/>
                <w:lang w:eastAsia="es-ES"/>
              </w:rPr>
            </w:pPr>
            <w:r w:rsidRPr="0028162F">
              <w:rPr>
                <w:rFonts w:eastAsia="Times New Roman" w:cs="Arial"/>
                <w:lang w:eastAsia="es-ES"/>
              </w:rPr>
              <w:t>Resolución sin evacuación quirúrgica</w:t>
            </w:r>
          </w:p>
        </w:tc>
        <w:tc>
          <w:tcPr>
            <w:tcW w:w="0" w:type="auto"/>
            <w:hideMark/>
          </w:tcPr>
          <w:p w14:paraId="5BA4D007" w14:textId="77777777" w:rsidR="0028162F" w:rsidRPr="0028162F" w:rsidRDefault="0028162F" w:rsidP="000A215B">
            <w:pPr>
              <w:rPr>
                <w:rFonts w:eastAsia="Times New Roman" w:cs="Arial"/>
                <w:lang w:eastAsia="es-ES"/>
              </w:rPr>
            </w:pPr>
            <w:r w:rsidRPr="0028162F">
              <w:rPr>
                <w:rFonts w:eastAsia="Times New Roman" w:cs="Arial"/>
                <w:lang w:eastAsia="es-ES"/>
              </w:rPr>
              <w:t>157</w:t>
            </w:r>
          </w:p>
        </w:tc>
        <w:tc>
          <w:tcPr>
            <w:tcW w:w="0" w:type="auto"/>
            <w:hideMark/>
          </w:tcPr>
          <w:p w14:paraId="5CCD8238" w14:textId="77777777" w:rsidR="0028162F" w:rsidRPr="0028162F" w:rsidRDefault="0028162F" w:rsidP="000A215B">
            <w:pPr>
              <w:rPr>
                <w:rFonts w:eastAsia="Times New Roman" w:cs="Arial"/>
                <w:lang w:eastAsia="es-ES"/>
              </w:rPr>
            </w:pPr>
            <w:r w:rsidRPr="0028162F">
              <w:rPr>
                <w:rFonts w:eastAsia="Times New Roman" w:cs="Arial"/>
                <w:lang w:eastAsia="es-ES"/>
              </w:rPr>
              <w:t>116</w:t>
            </w:r>
          </w:p>
        </w:tc>
        <w:tc>
          <w:tcPr>
            <w:tcW w:w="0" w:type="auto"/>
            <w:hideMark/>
          </w:tcPr>
          <w:p w14:paraId="53098AD7" w14:textId="77777777" w:rsidR="0028162F" w:rsidRPr="0028162F" w:rsidRDefault="0028162F" w:rsidP="000A215B">
            <w:pPr>
              <w:rPr>
                <w:rFonts w:eastAsia="Times New Roman" w:cs="Arial"/>
                <w:lang w:eastAsia="es-ES"/>
              </w:rPr>
            </w:pPr>
            <w:r w:rsidRPr="0028162F">
              <w:rPr>
                <w:rFonts w:eastAsia="Times New Roman" w:cs="Arial"/>
                <w:lang w:eastAsia="es-ES"/>
              </w:rPr>
              <w:t>41</w:t>
            </w:r>
          </w:p>
        </w:tc>
        <w:tc>
          <w:tcPr>
            <w:tcW w:w="0" w:type="auto"/>
            <w:hideMark/>
          </w:tcPr>
          <w:p w14:paraId="3020348C" w14:textId="77777777" w:rsidR="0028162F" w:rsidRPr="0028162F" w:rsidRDefault="0028162F" w:rsidP="000A215B">
            <w:pPr>
              <w:rPr>
                <w:rFonts w:eastAsia="Times New Roman" w:cs="Arial"/>
                <w:lang w:eastAsia="es-ES"/>
              </w:rPr>
            </w:pPr>
            <w:r w:rsidRPr="0028162F">
              <w:rPr>
                <w:rFonts w:eastAsia="Times New Roman" w:cs="Arial"/>
                <w:lang w:eastAsia="es-ES"/>
              </w:rPr>
              <w:t>74,0%</w:t>
            </w:r>
          </w:p>
        </w:tc>
      </w:tr>
      <w:tr w:rsidR="0028162F" w:rsidRPr="0028162F" w14:paraId="4E538175" w14:textId="77777777" w:rsidTr="000A215B">
        <w:tc>
          <w:tcPr>
            <w:tcW w:w="0" w:type="auto"/>
            <w:hideMark/>
          </w:tcPr>
          <w:p w14:paraId="53384F02" w14:textId="77777777" w:rsidR="0028162F" w:rsidRPr="0028162F" w:rsidRDefault="0028162F" w:rsidP="000A215B">
            <w:pPr>
              <w:rPr>
                <w:rFonts w:eastAsia="Times New Roman" w:cs="Arial"/>
                <w:lang w:eastAsia="es-ES"/>
              </w:rPr>
            </w:pPr>
            <w:r w:rsidRPr="0028162F">
              <w:rPr>
                <w:rFonts w:eastAsia="Times New Roman" w:cs="Arial"/>
                <w:lang w:eastAsia="es-ES"/>
              </w:rPr>
              <w:t>7</w:t>
            </w:r>
          </w:p>
        </w:tc>
        <w:tc>
          <w:tcPr>
            <w:tcW w:w="0" w:type="auto"/>
            <w:hideMark/>
          </w:tcPr>
          <w:p w14:paraId="323BD0F3" w14:textId="77777777" w:rsidR="0028162F" w:rsidRPr="0028162F" w:rsidRDefault="0028162F" w:rsidP="000A215B">
            <w:pPr>
              <w:rPr>
                <w:rFonts w:eastAsia="Times New Roman" w:cs="Arial"/>
                <w:lang w:eastAsia="es-ES"/>
              </w:rPr>
            </w:pPr>
            <w:r w:rsidRPr="0028162F">
              <w:rPr>
                <w:rFonts w:eastAsia="Times New Roman" w:cs="Arial"/>
                <w:lang w:eastAsia="es-ES"/>
              </w:rPr>
              <w:t>Valles Jáquez, 2024 (México)</w:t>
            </w:r>
          </w:p>
        </w:tc>
        <w:tc>
          <w:tcPr>
            <w:tcW w:w="0" w:type="auto"/>
            <w:hideMark/>
          </w:tcPr>
          <w:p w14:paraId="3BCBD038" w14:textId="77777777" w:rsidR="0028162F" w:rsidRPr="0028162F" w:rsidRDefault="0028162F" w:rsidP="000A215B">
            <w:pPr>
              <w:rPr>
                <w:rFonts w:eastAsia="Times New Roman" w:cs="Arial"/>
                <w:lang w:eastAsia="es-ES"/>
              </w:rPr>
            </w:pPr>
            <w:r w:rsidRPr="0028162F">
              <w:rPr>
                <w:rFonts w:eastAsia="Times New Roman" w:cs="Arial"/>
                <w:lang w:eastAsia="es-ES"/>
              </w:rPr>
              <w:t>Tesis; estudio observacional retrospectivo</w:t>
            </w:r>
          </w:p>
        </w:tc>
        <w:tc>
          <w:tcPr>
            <w:tcW w:w="0" w:type="auto"/>
            <w:hideMark/>
          </w:tcPr>
          <w:p w14:paraId="14FFDB4C" w14:textId="77777777" w:rsidR="0028162F" w:rsidRPr="0028162F" w:rsidRDefault="0028162F" w:rsidP="000A215B">
            <w:pPr>
              <w:rPr>
                <w:rFonts w:eastAsia="Times New Roman" w:cs="Arial"/>
                <w:lang w:eastAsia="es-ES"/>
              </w:rPr>
            </w:pPr>
            <w:r w:rsidRPr="0028162F">
              <w:rPr>
                <w:rFonts w:eastAsia="Times New Roman" w:cs="Arial"/>
                <w:lang w:eastAsia="es-ES"/>
              </w:rPr>
              <w:t>Aborto del primer trimestre</w:t>
            </w:r>
          </w:p>
        </w:tc>
        <w:tc>
          <w:tcPr>
            <w:tcW w:w="0" w:type="auto"/>
            <w:hideMark/>
          </w:tcPr>
          <w:p w14:paraId="368CBC1D" w14:textId="77777777" w:rsidR="0028162F" w:rsidRPr="0028162F" w:rsidRDefault="0028162F" w:rsidP="000A215B">
            <w:pPr>
              <w:rPr>
                <w:rFonts w:eastAsia="Times New Roman" w:cs="Arial"/>
                <w:lang w:eastAsia="es-ES"/>
              </w:rPr>
            </w:pPr>
            <w:r w:rsidRPr="0028162F">
              <w:rPr>
                <w:rFonts w:eastAsia="Times New Roman" w:cs="Arial"/>
                <w:lang w:eastAsia="es-ES"/>
              </w:rPr>
              <w:t>400–800 µg, vía sublingual o vaginal</w:t>
            </w:r>
          </w:p>
        </w:tc>
        <w:tc>
          <w:tcPr>
            <w:tcW w:w="0" w:type="auto"/>
            <w:hideMark/>
          </w:tcPr>
          <w:p w14:paraId="501985A4" w14:textId="77777777" w:rsidR="0028162F" w:rsidRPr="0028162F" w:rsidRDefault="0028162F" w:rsidP="000A215B">
            <w:pPr>
              <w:rPr>
                <w:rFonts w:eastAsia="Times New Roman" w:cs="Arial"/>
                <w:lang w:eastAsia="es-ES"/>
              </w:rPr>
            </w:pPr>
            <w:r w:rsidRPr="0028162F">
              <w:rPr>
                <w:rFonts w:eastAsia="Times New Roman" w:cs="Arial"/>
                <w:lang w:eastAsia="es-ES"/>
              </w:rPr>
              <w:t>Expulsión completa sin cirugía</w:t>
            </w:r>
          </w:p>
        </w:tc>
        <w:tc>
          <w:tcPr>
            <w:tcW w:w="0" w:type="auto"/>
            <w:hideMark/>
          </w:tcPr>
          <w:p w14:paraId="7E28CE00" w14:textId="77777777" w:rsidR="0028162F" w:rsidRPr="0028162F" w:rsidRDefault="0028162F" w:rsidP="000A215B">
            <w:pPr>
              <w:rPr>
                <w:rFonts w:eastAsia="Times New Roman" w:cs="Arial"/>
                <w:lang w:eastAsia="es-ES"/>
              </w:rPr>
            </w:pPr>
            <w:r w:rsidRPr="0028162F">
              <w:rPr>
                <w:rFonts w:eastAsia="Times New Roman" w:cs="Arial"/>
                <w:lang w:eastAsia="es-ES"/>
              </w:rPr>
              <w:t>90</w:t>
            </w:r>
          </w:p>
        </w:tc>
        <w:tc>
          <w:tcPr>
            <w:tcW w:w="0" w:type="auto"/>
            <w:hideMark/>
          </w:tcPr>
          <w:p w14:paraId="7E73C5A4" w14:textId="77777777" w:rsidR="0028162F" w:rsidRPr="0028162F" w:rsidRDefault="0028162F" w:rsidP="000A215B">
            <w:pPr>
              <w:rPr>
                <w:rFonts w:eastAsia="Times New Roman" w:cs="Arial"/>
                <w:lang w:eastAsia="es-ES"/>
              </w:rPr>
            </w:pPr>
            <w:r w:rsidRPr="0028162F">
              <w:rPr>
                <w:rFonts w:eastAsia="Times New Roman" w:cs="Arial"/>
                <w:lang w:eastAsia="es-ES"/>
              </w:rPr>
              <w:t>44</w:t>
            </w:r>
          </w:p>
        </w:tc>
        <w:tc>
          <w:tcPr>
            <w:tcW w:w="0" w:type="auto"/>
            <w:hideMark/>
          </w:tcPr>
          <w:p w14:paraId="3A72174B" w14:textId="77777777" w:rsidR="0028162F" w:rsidRPr="0028162F" w:rsidRDefault="0028162F" w:rsidP="000A215B">
            <w:pPr>
              <w:rPr>
                <w:rFonts w:eastAsia="Times New Roman" w:cs="Arial"/>
                <w:lang w:eastAsia="es-ES"/>
              </w:rPr>
            </w:pPr>
            <w:r w:rsidRPr="0028162F">
              <w:rPr>
                <w:rFonts w:eastAsia="Times New Roman" w:cs="Arial"/>
                <w:lang w:eastAsia="es-ES"/>
              </w:rPr>
              <w:t>46</w:t>
            </w:r>
          </w:p>
        </w:tc>
        <w:tc>
          <w:tcPr>
            <w:tcW w:w="0" w:type="auto"/>
            <w:hideMark/>
          </w:tcPr>
          <w:p w14:paraId="45F475AE" w14:textId="77777777" w:rsidR="0028162F" w:rsidRPr="0028162F" w:rsidRDefault="0028162F" w:rsidP="000A215B">
            <w:pPr>
              <w:rPr>
                <w:rFonts w:eastAsia="Times New Roman" w:cs="Arial"/>
                <w:lang w:eastAsia="es-ES"/>
              </w:rPr>
            </w:pPr>
            <w:r w:rsidRPr="0028162F">
              <w:rPr>
                <w:rFonts w:eastAsia="Times New Roman" w:cs="Arial"/>
                <w:lang w:eastAsia="es-ES"/>
              </w:rPr>
              <w:t>48,9%</w:t>
            </w:r>
          </w:p>
        </w:tc>
      </w:tr>
    </w:tbl>
    <w:p w14:paraId="749A38E5" w14:textId="77777777" w:rsidR="0028162F" w:rsidRPr="0028162F" w:rsidRDefault="0028162F" w:rsidP="0028162F">
      <w:pPr>
        <w:spacing w:before="100" w:beforeAutospacing="1" w:after="100" w:afterAutospacing="1" w:line="240" w:lineRule="auto"/>
        <w:rPr>
          <w:rFonts w:eastAsia="Times New Roman" w:cs="Arial"/>
          <w:lang w:eastAsia="es-ES"/>
        </w:rPr>
      </w:pPr>
      <w:r w:rsidRPr="0028162F">
        <w:rPr>
          <w:rFonts w:eastAsia="Times New Roman" w:cs="Arial"/>
          <w:lang w:eastAsia="es-ES"/>
        </w:rPr>
        <w:t>* En Montesinos et al., 2011, el análisis se realizó sobre las participantes con seguimiento disponible.</w:t>
      </w:r>
    </w:p>
    <w:p w14:paraId="5B85AFC3" w14:textId="0772857D" w:rsidR="0028162F" w:rsidRDefault="0028162F" w:rsidP="0028162F">
      <w:pPr>
        <w:spacing w:before="100" w:beforeAutospacing="1" w:after="100" w:afterAutospacing="1" w:line="240" w:lineRule="auto"/>
        <w:rPr>
          <w:rFonts w:eastAsia="Times New Roman" w:cs="Arial"/>
          <w:lang w:eastAsia="es-ES"/>
        </w:rPr>
      </w:pPr>
      <w:r w:rsidRPr="0028162F">
        <w:rPr>
          <w:rFonts w:eastAsia="Times New Roman" w:cs="Arial"/>
          <w:lang w:eastAsia="es-ES"/>
        </w:rPr>
        <w:t>** En Martínez-Rodas et al., 2020, los valores fueron calculados a partir de la tasa de fallo del método reportada por los autores.</w:t>
      </w:r>
    </w:p>
    <w:p w14:paraId="121A2A8F" w14:textId="490912B0" w:rsidR="0028162F" w:rsidRPr="0028162F" w:rsidRDefault="00926577" w:rsidP="00926577">
      <w:pPr>
        <w:spacing w:before="100" w:beforeAutospacing="1" w:after="100" w:afterAutospacing="1" w:line="240" w:lineRule="auto"/>
        <w:rPr>
          <w:rFonts w:cs="Arial"/>
        </w:rPr>
      </w:pPr>
      <w:r>
        <w:rPr>
          <w:rFonts w:eastAsia="Times New Roman" w:cs="Arial"/>
          <w:lang w:eastAsia="es-ES"/>
        </w:rPr>
        <w:t>Fuente: Elaboración propia</w:t>
      </w:r>
    </w:p>
    <w:p w14:paraId="793D5CA5" w14:textId="14386D9A" w:rsidR="0028162F" w:rsidRDefault="0028162F" w:rsidP="00EC41BF">
      <w:pPr>
        <w:rPr>
          <w:rFonts w:cs="Arial"/>
          <w:lang w:val="es-NI"/>
        </w:rPr>
      </w:pPr>
    </w:p>
    <w:p w14:paraId="3FC645F2" w14:textId="77777777" w:rsidR="00926577" w:rsidRDefault="00926577" w:rsidP="00EC41BF">
      <w:pPr>
        <w:rPr>
          <w:rFonts w:cs="Arial"/>
          <w:lang w:val="es-NI"/>
        </w:rPr>
        <w:sectPr w:rsidR="00926577" w:rsidSect="000A215B">
          <w:pgSz w:w="15840" w:h="12240" w:orient="landscape"/>
          <w:pgMar w:top="1701" w:right="1418" w:bottom="1701" w:left="1418" w:header="709" w:footer="709" w:gutter="0"/>
          <w:cols w:space="708"/>
          <w:docGrid w:linePitch="360"/>
        </w:sectPr>
      </w:pPr>
    </w:p>
    <w:p w14:paraId="69B9843F" w14:textId="094FA67F" w:rsidR="00926577" w:rsidRPr="00926577" w:rsidRDefault="00D34F29" w:rsidP="00926577">
      <w:pPr>
        <w:pStyle w:val="Ttulo3"/>
        <w:rPr>
          <w:lang w:val="es-NI"/>
        </w:rPr>
      </w:pPr>
      <w:bookmarkStart w:id="52" w:name="_Toc232987013"/>
      <w:r>
        <w:rPr>
          <w:lang w:val="es-NI"/>
        </w:rPr>
        <w:lastRenderedPageBreak/>
        <w:t>Resultados del m</w:t>
      </w:r>
      <w:r w:rsidR="00926577" w:rsidRPr="00926577">
        <w:rPr>
          <w:lang w:val="es-NI"/>
        </w:rPr>
        <w:t xml:space="preserve">etaanálisis de proporción de éxito </w:t>
      </w:r>
      <w:r w:rsidR="00D60788">
        <w:rPr>
          <w:lang w:val="es-NI"/>
        </w:rPr>
        <w:t xml:space="preserve">del manejo del aborto espontaneo con misoprostol </w:t>
      </w:r>
      <w:r w:rsidR="00926577" w:rsidRPr="00926577">
        <w:rPr>
          <w:lang w:val="es-NI"/>
        </w:rPr>
        <w:t>según tipo de publicación</w:t>
      </w:r>
      <w:bookmarkEnd w:id="52"/>
    </w:p>
    <w:p w14:paraId="39C40FEE" w14:textId="77777777" w:rsidR="00926577" w:rsidRPr="00926577" w:rsidRDefault="00926577" w:rsidP="00926577">
      <w:pPr>
        <w:rPr>
          <w:rFonts w:cs="Arial"/>
          <w:lang w:val="es-NI"/>
        </w:rPr>
      </w:pPr>
      <w:r w:rsidRPr="00926577">
        <w:rPr>
          <w:rFonts w:cs="Arial"/>
          <w:lang w:val="es-NI"/>
        </w:rPr>
        <w:t>La Tabla 5 resume los datos utilizados para la síntesis cuantitativa. En conjunto, los siete estudios aportaron información de 698 mujeres tratadas con misoprostol, de las cuales 563 presentaron éxito del manejo según la definición utilizada en cada investigación. Los cuatro artículos publicados incluyeron 437 mujeres tratadas con misoprostol, mientras que las tres tesis aportaron 261 participantes.</w:t>
      </w:r>
    </w:p>
    <w:p w14:paraId="767C02DF" w14:textId="3FB892BE" w:rsidR="00926577" w:rsidRPr="00926577" w:rsidRDefault="00926577" w:rsidP="00926577">
      <w:pPr>
        <w:rPr>
          <w:rFonts w:cs="Arial"/>
          <w:lang w:val="es-NI"/>
        </w:rPr>
      </w:pPr>
      <w:r w:rsidRPr="00926577">
        <w:rPr>
          <w:rFonts w:cs="Arial"/>
          <w:lang w:val="es-NI"/>
        </w:rPr>
        <w:t>En el metaanálisis de artículos publicados, las proporciones individuales de éxito variaron entre 81,0% y 98,7%. El modelo de efectos fijos estimó una proporción combinada de éxito de 89,2% (IC 95%: 85,5–92,1). Sin embargo, se observó heterogeneidad estadísticamente significativa entre los estudios, con Q = 15,81, gl = 3, p = 0,001, I² = 81,0% y τ² = 0,603. Por ello, se consideró como estimación principal el modelo de efectos aleatorios, que mostró una proporción combinada de éxito de 92,3% (IC 95%: 83,1–96,7) (Tabla 6</w:t>
      </w:r>
      <w:r w:rsidR="00FE22BB">
        <w:rPr>
          <w:rFonts w:cs="Arial"/>
          <w:lang w:val="es-NI"/>
        </w:rPr>
        <w:t xml:space="preserve"> y figura 3a</w:t>
      </w:r>
      <w:r w:rsidRPr="00926577">
        <w:rPr>
          <w:rFonts w:cs="Arial"/>
          <w:lang w:val="es-NI"/>
        </w:rPr>
        <w:t>).</w:t>
      </w:r>
    </w:p>
    <w:p w14:paraId="701912D5" w14:textId="4F226799" w:rsidR="00926577" w:rsidRPr="00926577" w:rsidRDefault="00926577" w:rsidP="00926577">
      <w:pPr>
        <w:rPr>
          <w:rFonts w:cs="Arial"/>
          <w:lang w:val="es-NI"/>
        </w:rPr>
      </w:pPr>
      <w:r w:rsidRPr="00926577">
        <w:rPr>
          <w:rFonts w:cs="Arial"/>
          <w:lang w:val="es-NI"/>
        </w:rPr>
        <w:t>En el metaanálisis de tesis, las proporciones de éxito fueron 28,6% en Chérrez Ramos y Arévalo Villanueva (2021), 73,9% en Rueda Espinel (2022) y 48,9% en Valles Jáquez (2024). El modelo de efectos fijos estimó una proporción combinada de 62,3% (IC 95%: 55,9–68,2). La heterogeneidad fue elevada y estadísticamente significativa, con Q = 21,23, gl = 2, p &lt; 0,001, I² = 90,6% y τ² = 0,643. En el modelo de efectos aleatorios, la proporción combinada fue de 53,5% (IC 95%: 30,0–75,5) (Tabla 7</w:t>
      </w:r>
      <w:r w:rsidR="00FE22BB">
        <w:rPr>
          <w:rFonts w:cs="Arial"/>
          <w:lang w:val="es-NI"/>
        </w:rPr>
        <w:t xml:space="preserve"> y figura 3b</w:t>
      </w:r>
      <w:r w:rsidRPr="00926577">
        <w:rPr>
          <w:rFonts w:cs="Arial"/>
          <w:lang w:val="es-NI"/>
        </w:rPr>
        <w:t>).</w:t>
      </w:r>
    </w:p>
    <w:p w14:paraId="53D169B6" w14:textId="4E0D1A79" w:rsidR="008C442E" w:rsidRDefault="00926577" w:rsidP="00926577">
      <w:pPr>
        <w:rPr>
          <w:rFonts w:cs="Arial"/>
          <w:lang w:val="es-NI"/>
        </w:rPr>
      </w:pPr>
      <w:r w:rsidRPr="00926577">
        <w:rPr>
          <w:rFonts w:cs="Arial"/>
          <w:lang w:val="es-NI"/>
        </w:rPr>
        <w:t>En el análisis combinado de los siete estudios, el modelo de efectos fijos estimó una proporción de éxito de 75,1% (IC 95%: 71,0–78,8). Debido a la heterogeneidad muy elevada entre las estimaciones individuales, con Q = 90,92, gl = 6, p &lt; 0,001, I² = 93,4% y τ² = 1,245, la estimación principal correspondió al modelo de efectos aleatorios. Este modelo mostró una proporción combinada de éxito del manejo con misoprostol de 81,1% (IC 95%: 63,8–91,3) (Tabla 8</w:t>
      </w:r>
      <w:r w:rsidR="00FE22BB">
        <w:rPr>
          <w:rFonts w:cs="Arial"/>
          <w:lang w:val="es-NI"/>
        </w:rPr>
        <w:t xml:space="preserve"> y figura 3c</w:t>
      </w:r>
      <w:r w:rsidRPr="00926577">
        <w:rPr>
          <w:rFonts w:cs="Arial"/>
          <w:lang w:val="es-NI"/>
        </w:rPr>
        <w:t>).</w:t>
      </w:r>
    </w:p>
    <w:p w14:paraId="6D0977E4" w14:textId="77777777" w:rsidR="00926577" w:rsidRPr="0028162F" w:rsidRDefault="00926577" w:rsidP="00EC41BF">
      <w:pPr>
        <w:rPr>
          <w:rFonts w:cs="Arial"/>
          <w:lang w:val="es-NI"/>
        </w:rPr>
      </w:pPr>
    </w:p>
    <w:p w14:paraId="349ED747" w14:textId="77777777" w:rsidR="00926577" w:rsidRDefault="00926577" w:rsidP="0028162F">
      <w:pPr>
        <w:pStyle w:val="Descripcin"/>
        <w:rPr>
          <w:b/>
          <w:bCs/>
        </w:rPr>
        <w:sectPr w:rsidR="00926577" w:rsidSect="00926577">
          <w:pgSz w:w="12240" w:h="15840"/>
          <w:pgMar w:top="1418" w:right="1701" w:bottom="1418" w:left="1701" w:header="709" w:footer="709" w:gutter="0"/>
          <w:cols w:space="708"/>
          <w:docGrid w:linePitch="360"/>
        </w:sectPr>
      </w:pPr>
    </w:p>
    <w:p w14:paraId="0C53C59B" w14:textId="11C26DBC" w:rsidR="0028162F" w:rsidRPr="003E73E3" w:rsidRDefault="0028162F" w:rsidP="0028162F">
      <w:pPr>
        <w:pStyle w:val="Descripcin"/>
        <w:rPr>
          <w:lang w:eastAsia="es-ES"/>
        </w:rPr>
      </w:pPr>
      <w:bookmarkStart w:id="53" w:name="_Toc232987036"/>
      <w:r w:rsidRPr="0028162F">
        <w:rPr>
          <w:b/>
          <w:bCs/>
        </w:rPr>
        <w:lastRenderedPageBreak/>
        <w:t xml:space="preserve">Tabla </w:t>
      </w:r>
      <w:r w:rsidRPr="0028162F">
        <w:rPr>
          <w:b/>
          <w:bCs/>
        </w:rPr>
        <w:fldChar w:fldCharType="begin"/>
      </w:r>
      <w:r w:rsidRPr="0028162F">
        <w:rPr>
          <w:b/>
          <w:bCs/>
        </w:rPr>
        <w:instrText xml:space="preserve"> SEQ Tabla \* ARABIC </w:instrText>
      </w:r>
      <w:r w:rsidRPr="0028162F">
        <w:rPr>
          <w:b/>
          <w:bCs/>
        </w:rPr>
        <w:fldChar w:fldCharType="separate"/>
      </w:r>
      <w:r w:rsidR="0045369C">
        <w:rPr>
          <w:b/>
          <w:bCs/>
          <w:noProof/>
        </w:rPr>
        <w:t>5</w:t>
      </w:r>
      <w:r w:rsidRPr="0028162F">
        <w:rPr>
          <w:b/>
          <w:bCs/>
        </w:rPr>
        <w:fldChar w:fldCharType="end"/>
      </w:r>
      <w:r w:rsidRPr="0028162F">
        <w:rPr>
          <w:b/>
          <w:bCs/>
        </w:rPr>
        <w:t>.</w:t>
      </w:r>
      <w:r>
        <w:t xml:space="preserve"> </w:t>
      </w:r>
      <w:r w:rsidRPr="003E73E3">
        <w:rPr>
          <w:lang w:eastAsia="es-ES"/>
        </w:rPr>
        <w:t>Resumen de estudios incluidos en el metaanálisis de proporción de éxito del manejo con misoprostol</w:t>
      </w:r>
      <w:bookmarkEnd w:id="53"/>
    </w:p>
    <w:tbl>
      <w:tblPr>
        <w:tblStyle w:val="Tablaconcuadrcula"/>
        <w:tblW w:w="0" w:type="auto"/>
        <w:tblLook w:val="04A0" w:firstRow="1" w:lastRow="0" w:firstColumn="1" w:lastColumn="0" w:noHBand="0" w:noVBand="1"/>
      </w:tblPr>
      <w:tblGrid>
        <w:gridCol w:w="2647"/>
        <w:gridCol w:w="1550"/>
        <w:gridCol w:w="2458"/>
        <w:gridCol w:w="2980"/>
        <w:gridCol w:w="1590"/>
        <w:gridCol w:w="1769"/>
      </w:tblGrid>
      <w:tr w:rsidR="0028162F" w:rsidRPr="00926577" w14:paraId="29683D46" w14:textId="77777777" w:rsidTr="00926577">
        <w:tc>
          <w:tcPr>
            <w:tcW w:w="2817" w:type="dxa"/>
            <w:shd w:val="clear" w:color="auto" w:fill="F2F2F2" w:themeFill="background1" w:themeFillShade="F2"/>
            <w:hideMark/>
          </w:tcPr>
          <w:p w14:paraId="04D08070" w14:textId="77777777" w:rsidR="0028162F" w:rsidRPr="00926577" w:rsidRDefault="0028162F" w:rsidP="00926577">
            <w:pPr>
              <w:spacing w:line="276" w:lineRule="auto"/>
              <w:jc w:val="center"/>
              <w:rPr>
                <w:rFonts w:eastAsia="Times New Roman" w:cs="Arial"/>
                <w:b/>
                <w:bCs/>
                <w:szCs w:val="24"/>
                <w:lang w:eastAsia="es-ES"/>
              </w:rPr>
            </w:pPr>
            <w:r w:rsidRPr="00926577">
              <w:rPr>
                <w:rFonts w:eastAsia="Times New Roman" w:cs="Arial"/>
                <w:b/>
                <w:bCs/>
                <w:szCs w:val="24"/>
                <w:lang w:eastAsia="es-ES"/>
              </w:rPr>
              <w:t>Autor (año)</w:t>
            </w:r>
          </w:p>
        </w:tc>
        <w:tc>
          <w:tcPr>
            <w:tcW w:w="1305" w:type="dxa"/>
            <w:shd w:val="clear" w:color="auto" w:fill="F2F2F2" w:themeFill="background1" w:themeFillShade="F2"/>
            <w:hideMark/>
          </w:tcPr>
          <w:p w14:paraId="4DDBF3D8" w14:textId="77777777" w:rsidR="0028162F" w:rsidRPr="00926577" w:rsidRDefault="0028162F" w:rsidP="00926577">
            <w:pPr>
              <w:spacing w:line="276" w:lineRule="auto"/>
              <w:jc w:val="center"/>
              <w:rPr>
                <w:rFonts w:eastAsia="Times New Roman" w:cs="Arial"/>
                <w:b/>
                <w:bCs/>
                <w:szCs w:val="24"/>
                <w:lang w:eastAsia="es-ES"/>
              </w:rPr>
            </w:pPr>
            <w:r w:rsidRPr="00926577">
              <w:rPr>
                <w:rFonts w:eastAsia="Times New Roman" w:cs="Arial"/>
                <w:b/>
                <w:bCs/>
                <w:szCs w:val="24"/>
                <w:lang w:eastAsia="es-ES"/>
              </w:rPr>
              <w:t>Tipo de publicación</w:t>
            </w:r>
          </w:p>
        </w:tc>
        <w:tc>
          <w:tcPr>
            <w:tcW w:w="2566" w:type="dxa"/>
            <w:shd w:val="clear" w:color="auto" w:fill="F2F2F2" w:themeFill="background1" w:themeFillShade="F2"/>
            <w:hideMark/>
          </w:tcPr>
          <w:p w14:paraId="0A26974A" w14:textId="77777777" w:rsidR="0028162F" w:rsidRPr="00926577" w:rsidRDefault="0028162F" w:rsidP="00926577">
            <w:pPr>
              <w:spacing w:line="276" w:lineRule="auto"/>
              <w:jc w:val="center"/>
              <w:rPr>
                <w:rFonts w:eastAsia="Times New Roman" w:cs="Arial"/>
                <w:b/>
                <w:bCs/>
                <w:szCs w:val="24"/>
                <w:lang w:eastAsia="es-ES"/>
              </w:rPr>
            </w:pPr>
            <w:r w:rsidRPr="00926577">
              <w:rPr>
                <w:rFonts w:eastAsia="Times New Roman" w:cs="Arial"/>
                <w:b/>
                <w:bCs/>
                <w:szCs w:val="24"/>
                <w:lang w:eastAsia="es-ES"/>
              </w:rPr>
              <w:t>Tipo de estudio</w:t>
            </w:r>
          </w:p>
        </w:tc>
        <w:tc>
          <w:tcPr>
            <w:tcW w:w="3195" w:type="dxa"/>
            <w:shd w:val="clear" w:color="auto" w:fill="F2F2F2" w:themeFill="background1" w:themeFillShade="F2"/>
            <w:hideMark/>
          </w:tcPr>
          <w:p w14:paraId="0586A1FE" w14:textId="77777777" w:rsidR="0028162F" w:rsidRPr="00926577" w:rsidRDefault="0028162F" w:rsidP="00926577">
            <w:pPr>
              <w:spacing w:line="276" w:lineRule="auto"/>
              <w:jc w:val="center"/>
              <w:rPr>
                <w:rFonts w:eastAsia="Times New Roman" w:cs="Arial"/>
                <w:b/>
                <w:bCs/>
                <w:szCs w:val="24"/>
                <w:lang w:eastAsia="es-ES"/>
              </w:rPr>
            </w:pPr>
            <w:r w:rsidRPr="00926577">
              <w:rPr>
                <w:rFonts w:eastAsia="Times New Roman" w:cs="Arial"/>
                <w:b/>
                <w:bCs/>
                <w:szCs w:val="24"/>
                <w:lang w:eastAsia="es-ES"/>
              </w:rPr>
              <w:t>Población</w:t>
            </w:r>
          </w:p>
        </w:tc>
        <w:tc>
          <w:tcPr>
            <w:tcW w:w="1316" w:type="dxa"/>
            <w:shd w:val="clear" w:color="auto" w:fill="F2F2F2" w:themeFill="background1" w:themeFillShade="F2"/>
            <w:hideMark/>
          </w:tcPr>
          <w:p w14:paraId="190131EB" w14:textId="77777777" w:rsidR="0028162F" w:rsidRPr="00926577" w:rsidRDefault="0028162F" w:rsidP="00926577">
            <w:pPr>
              <w:spacing w:line="276" w:lineRule="auto"/>
              <w:jc w:val="right"/>
              <w:rPr>
                <w:rFonts w:eastAsia="Times New Roman" w:cs="Arial"/>
                <w:b/>
                <w:bCs/>
                <w:szCs w:val="24"/>
                <w:lang w:eastAsia="es-ES"/>
              </w:rPr>
            </w:pPr>
            <w:r w:rsidRPr="00926577">
              <w:rPr>
                <w:rFonts w:eastAsia="Times New Roman" w:cs="Arial"/>
                <w:b/>
                <w:bCs/>
                <w:szCs w:val="24"/>
                <w:lang w:eastAsia="es-ES"/>
              </w:rPr>
              <w:t>Éxitos con misoprostol</w:t>
            </w:r>
          </w:p>
        </w:tc>
        <w:tc>
          <w:tcPr>
            <w:tcW w:w="1795" w:type="dxa"/>
            <w:shd w:val="clear" w:color="auto" w:fill="F2F2F2" w:themeFill="background1" w:themeFillShade="F2"/>
            <w:hideMark/>
          </w:tcPr>
          <w:p w14:paraId="5DE4B107" w14:textId="77777777" w:rsidR="0028162F" w:rsidRPr="00926577" w:rsidRDefault="0028162F" w:rsidP="00926577">
            <w:pPr>
              <w:spacing w:line="276" w:lineRule="auto"/>
              <w:jc w:val="right"/>
              <w:rPr>
                <w:rFonts w:eastAsia="Times New Roman" w:cs="Arial"/>
                <w:b/>
                <w:bCs/>
                <w:szCs w:val="24"/>
                <w:lang w:eastAsia="es-ES"/>
              </w:rPr>
            </w:pPr>
            <w:r w:rsidRPr="00926577">
              <w:rPr>
                <w:rFonts w:eastAsia="Times New Roman" w:cs="Arial"/>
                <w:b/>
                <w:bCs/>
                <w:szCs w:val="24"/>
                <w:lang w:eastAsia="es-ES"/>
              </w:rPr>
              <w:t>Total tratado con misoprostol</w:t>
            </w:r>
          </w:p>
        </w:tc>
      </w:tr>
      <w:tr w:rsidR="0028162F" w:rsidRPr="00926577" w14:paraId="7E6CCC4B" w14:textId="77777777" w:rsidTr="00926577">
        <w:tc>
          <w:tcPr>
            <w:tcW w:w="2817" w:type="dxa"/>
            <w:hideMark/>
          </w:tcPr>
          <w:p w14:paraId="1F037734"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Montesinos et al. (2011)</w:t>
            </w:r>
          </w:p>
        </w:tc>
        <w:tc>
          <w:tcPr>
            <w:tcW w:w="1305" w:type="dxa"/>
            <w:hideMark/>
          </w:tcPr>
          <w:p w14:paraId="6300D863"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Artículo</w:t>
            </w:r>
          </w:p>
        </w:tc>
        <w:tc>
          <w:tcPr>
            <w:tcW w:w="2566" w:type="dxa"/>
            <w:hideMark/>
          </w:tcPr>
          <w:p w14:paraId="327A274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Ensayo clínico aleatorizado</w:t>
            </w:r>
          </w:p>
        </w:tc>
        <w:tc>
          <w:tcPr>
            <w:tcW w:w="3195" w:type="dxa"/>
            <w:hideMark/>
          </w:tcPr>
          <w:p w14:paraId="1341BC6B"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incompleto ≤12 semanas</w:t>
            </w:r>
          </w:p>
        </w:tc>
        <w:tc>
          <w:tcPr>
            <w:tcW w:w="1316" w:type="dxa"/>
            <w:hideMark/>
          </w:tcPr>
          <w:p w14:paraId="5BE5FE61"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100</w:t>
            </w:r>
          </w:p>
        </w:tc>
        <w:tc>
          <w:tcPr>
            <w:tcW w:w="1795" w:type="dxa"/>
            <w:hideMark/>
          </w:tcPr>
          <w:p w14:paraId="215CC135"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106</w:t>
            </w:r>
          </w:p>
        </w:tc>
      </w:tr>
      <w:tr w:rsidR="0028162F" w:rsidRPr="00926577" w14:paraId="392D47CF" w14:textId="77777777" w:rsidTr="00926577">
        <w:tc>
          <w:tcPr>
            <w:tcW w:w="2817" w:type="dxa"/>
            <w:hideMark/>
          </w:tcPr>
          <w:p w14:paraId="2EE6425F"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Estrada y Espinal (2015)</w:t>
            </w:r>
          </w:p>
        </w:tc>
        <w:tc>
          <w:tcPr>
            <w:tcW w:w="1305" w:type="dxa"/>
            <w:hideMark/>
          </w:tcPr>
          <w:p w14:paraId="528D0A5B"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Artículo</w:t>
            </w:r>
          </w:p>
        </w:tc>
        <w:tc>
          <w:tcPr>
            <w:tcW w:w="2566" w:type="dxa"/>
            <w:hideMark/>
          </w:tcPr>
          <w:p w14:paraId="07D328B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Estudio prospectivo sin grupo control</w:t>
            </w:r>
          </w:p>
        </w:tc>
        <w:tc>
          <w:tcPr>
            <w:tcW w:w="3195" w:type="dxa"/>
            <w:hideMark/>
          </w:tcPr>
          <w:p w14:paraId="4ACDBE49"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incompleto</w:t>
            </w:r>
          </w:p>
        </w:tc>
        <w:tc>
          <w:tcPr>
            <w:tcW w:w="1316" w:type="dxa"/>
            <w:hideMark/>
          </w:tcPr>
          <w:p w14:paraId="5209CD23"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81</w:t>
            </w:r>
          </w:p>
        </w:tc>
        <w:tc>
          <w:tcPr>
            <w:tcW w:w="1795" w:type="dxa"/>
            <w:hideMark/>
          </w:tcPr>
          <w:p w14:paraId="5D0F90A7"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100</w:t>
            </w:r>
          </w:p>
        </w:tc>
      </w:tr>
      <w:tr w:rsidR="0028162F" w:rsidRPr="00926577" w14:paraId="3FA85928" w14:textId="77777777" w:rsidTr="00926577">
        <w:tc>
          <w:tcPr>
            <w:tcW w:w="2817" w:type="dxa"/>
            <w:hideMark/>
          </w:tcPr>
          <w:p w14:paraId="1928B4AE"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Sepúlveda Rivera et al. (2019)</w:t>
            </w:r>
          </w:p>
        </w:tc>
        <w:tc>
          <w:tcPr>
            <w:tcW w:w="1305" w:type="dxa"/>
            <w:hideMark/>
          </w:tcPr>
          <w:p w14:paraId="49A840F1"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Artículo</w:t>
            </w:r>
          </w:p>
        </w:tc>
        <w:tc>
          <w:tcPr>
            <w:tcW w:w="2566" w:type="dxa"/>
            <w:hideMark/>
          </w:tcPr>
          <w:p w14:paraId="56D02D33"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Estudio observacional transversal</w:t>
            </w:r>
          </w:p>
        </w:tc>
        <w:tc>
          <w:tcPr>
            <w:tcW w:w="3195" w:type="dxa"/>
            <w:hideMark/>
          </w:tcPr>
          <w:p w14:paraId="0B62DA9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espontáneo del primer trimestre</w:t>
            </w:r>
          </w:p>
        </w:tc>
        <w:tc>
          <w:tcPr>
            <w:tcW w:w="1316" w:type="dxa"/>
            <w:hideMark/>
          </w:tcPr>
          <w:p w14:paraId="6A689D42"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75</w:t>
            </w:r>
          </w:p>
        </w:tc>
        <w:tc>
          <w:tcPr>
            <w:tcW w:w="1795" w:type="dxa"/>
            <w:hideMark/>
          </w:tcPr>
          <w:p w14:paraId="4A65D4FA"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76</w:t>
            </w:r>
          </w:p>
        </w:tc>
      </w:tr>
      <w:tr w:rsidR="0028162F" w:rsidRPr="00926577" w14:paraId="020BCDA9" w14:textId="77777777" w:rsidTr="00926577">
        <w:tc>
          <w:tcPr>
            <w:tcW w:w="2817" w:type="dxa"/>
            <w:hideMark/>
          </w:tcPr>
          <w:p w14:paraId="3871214F"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Martínez-Rodas et al. (2020)</w:t>
            </w:r>
          </w:p>
        </w:tc>
        <w:tc>
          <w:tcPr>
            <w:tcW w:w="1305" w:type="dxa"/>
            <w:hideMark/>
          </w:tcPr>
          <w:p w14:paraId="67179C01"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Artículo</w:t>
            </w:r>
          </w:p>
        </w:tc>
        <w:tc>
          <w:tcPr>
            <w:tcW w:w="2566" w:type="dxa"/>
            <w:hideMark/>
          </w:tcPr>
          <w:p w14:paraId="0FC8B712"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Estudio observacional prospectivo</w:t>
            </w:r>
          </w:p>
        </w:tc>
        <w:tc>
          <w:tcPr>
            <w:tcW w:w="3195" w:type="dxa"/>
            <w:hideMark/>
          </w:tcPr>
          <w:p w14:paraId="2223E5D0"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&lt;12 semanas</w:t>
            </w:r>
          </w:p>
        </w:tc>
        <w:tc>
          <w:tcPr>
            <w:tcW w:w="1316" w:type="dxa"/>
            <w:hideMark/>
          </w:tcPr>
          <w:p w14:paraId="56341FD9"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143</w:t>
            </w:r>
          </w:p>
        </w:tc>
        <w:tc>
          <w:tcPr>
            <w:tcW w:w="1795" w:type="dxa"/>
            <w:hideMark/>
          </w:tcPr>
          <w:p w14:paraId="28B6A605"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155</w:t>
            </w:r>
          </w:p>
        </w:tc>
      </w:tr>
      <w:tr w:rsidR="0028162F" w:rsidRPr="00926577" w14:paraId="2209E827" w14:textId="77777777" w:rsidTr="00926577">
        <w:tc>
          <w:tcPr>
            <w:tcW w:w="2817" w:type="dxa"/>
            <w:hideMark/>
          </w:tcPr>
          <w:p w14:paraId="19DD7695"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Chérrez Ramos y Arévalo Villanueva (2021)</w:t>
            </w:r>
          </w:p>
        </w:tc>
        <w:tc>
          <w:tcPr>
            <w:tcW w:w="1305" w:type="dxa"/>
            <w:hideMark/>
          </w:tcPr>
          <w:p w14:paraId="601AEFB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Tesis</w:t>
            </w:r>
          </w:p>
        </w:tc>
        <w:tc>
          <w:tcPr>
            <w:tcW w:w="2566" w:type="dxa"/>
            <w:hideMark/>
          </w:tcPr>
          <w:p w14:paraId="046B6287"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Estudio observacional retrospectivo</w:t>
            </w:r>
          </w:p>
        </w:tc>
        <w:tc>
          <w:tcPr>
            <w:tcW w:w="3195" w:type="dxa"/>
            <w:hideMark/>
          </w:tcPr>
          <w:p w14:paraId="26AF921D"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incompleto</w:t>
            </w:r>
          </w:p>
        </w:tc>
        <w:tc>
          <w:tcPr>
            <w:tcW w:w="1316" w:type="dxa"/>
            <w:hideMark/>
          </w:tcPr>
          <w:p w14:paraId="3885176F"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4</w:t>
            </w:r>
          </w:p>
        </w:tc>
        <w:tc>
          <w:tcPr>
            <w:tcW w:w="1795" w:type="dxa"/>
            <w:hideMark/>
          </w:tcPr>
          <w:p w14:paraId="64E0E04D"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14</w:t>
            </w:r>
          </w:p>
        </w:tc>
      </w:tr>
      <w:tr w:rsidR="0028162F" w:rsidRPr="00926577" w14:paraId="221EB7EA" w14:textId="77777777" w:rsidTr="00926577">
        <w:tc>
          <w:tcPr>
            <w:tcW w:w="2817" w:type="dxa"/>
            <w:hideMark/>
          </w:tcPr>
          <w:p w14:paraId="711BF582"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Rueda Espinel (2022)</w:t>
            </w:r>
          </w:p>
        </w:tc>
        <w:tc>
          <w:tcPr>
            <w:tcW w:w="1305" w:type="dxa"/>
            <w:hideMark/>
          </w:tcPr>
          <w:p w14:paraId="58A6782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Tesis</w:t>
            </w:r>
          </w:p>
        </w:tc>
        <w:tc>
          <w:tcPr>
            <w:tcW w:w="2566" w:type="dxa"/>
            <w:hideMark/>
          </w:tcPr>
          <w:p w14:paraId="055C8128"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Cohorte prospectiva</w:t>
            </w:r>
          </w:p>
        </w:tc>
        <w:tc>
          <w:tcPr>
            <w:tcW w:w="3195" w:type="dxa"/>
            <w:hideMark/>
          </w:tcPr>
          <w:p w14:paraId="48D3A137"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espontáneo</w:t>
            </w:r>
          </w:p>
        </w:tc>
        <w:tc>
          <w:tcPr>
            <w:tcW w:w="1316" w:type="dxa"/>
            <w:hideMark/>
          </w:tcPr>
          <w:p w14:paraId="79DC91F8"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116</w:t>
            </w:r>
          </w:p>
        </w:tc>
        <w:tc>
          <w:tcPr>
            <w:tcW w:w="1795" w:type="dxa"/>
            <w:hideMark/>
          </w:tcPr>
          <w:p w14:paraId="1DD8D2E1"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157</w:t>
            </w:r>
          </w:p>
        </w:tc>
      </w:tr>
      <w:tr w:rsidR="0028162F" w:rsidRPr="00926577" w14:paraId="19155527" w14:textId="77777777" w:rsidTr="00926577">
        <w:tc>
          <w:tcPr>
            <w:tcW w:w="2817" w:type="dxa"/>
            <w:hideMark/>
          </w:tcPr>
          <w:p w14:paraId="0F824C00"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Valles Jáquez (2024)</w:t>
            </w:r>
          </w:p>
        </w:tc>
        <w:tc>
          <w:tcPr>
            <w:tcW w:w="1305" w:type="dxa"/>
            <w:hideMark/>
          </w:tcPr>
          <w:p w14:paraId="14AA5420"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Tesis</w:t>
            </w:r>
          </w:p>
        </w:tc>
        <w:tc>
          <w:tcPr>
            <w:tcW w:w="2566" w:type="dxa"/>
            <w:hideMark/>
          </w:tcPr>
          <w:p w14:paraId="656A04F9"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Estudio observacional retrospectivo</w:t>
            </w:r>
          </w:p>
        </w:tc>
        <w:tc>
          <w:tcPr>
            <w:tcW w:w="3195" w:type="dxa"/>
            <w:hideMark/>
          </w:tcPr>
          <w:p w14:paraId="2F4DAAE3" w14:textId="77777777" w:rsidR="0028162F" w:rsidRPr="00926577" w:rsidRDefault="0028162F" w:rsidP="00926577">
            <w:pPr>
              <w:spacing w:line="276" w:lineRule="auto"/>
              <w:rPr>
                <w:rFonts w:eastAsia="Times New Roman" w:cs="Arial"/>
                <w:szCs w:val="24"/>
                <w:lang w:eastAsia="es-ES"/>
              </w:rPr>
            </w:pPr>
            <w:r w:rsidRPr="00926577">
              <w:rPr>
                <w:rFonts w:eastAsia="Times New Roman" w:cs="Arial"/>
                <w:szCs w:val="24"/>
                <w:lang w:eastAsia="es-ES"/>
              </w:rPr>
              <w:t>Aborto del primer trimestre</w:t>
            </w:r>
          </w:p>
        </w:tc>
        <w:tc>
          <w:tcPr>
            <w:tcW w:w="1316" w:type="dxa"/>
            <w:hideMark/>
          </w:tcPr>
          <w:p w14:paraId="51A1858E"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44</w:t>
            </w:r>
          </w:p>
        </w:tc>
        <w:tc>
          <w:tcPr>
            <w:tcW w:w="1795" w:type="dxa"/>
            <w:hideMark/>
          </w:tcPr>
          <w:p w14:paraId="3C8D702D" w14:textId="77777777" w:rsidR="0028162F" w:rsidRPr="00926577" w:rsidRDefault="0028162F" w:rsidP="00926577">
            <w:pPr>
              <w:spacing w:line="276" w:lineRule="auto"/>
              <w:jc w:val="right"/>
              <w:rPr>
                <w:rFonts w:eastAsia="Times New Roman" w:cs="Arial"/>
                <w:szCs w:val="24"/>
                <w:lang w:eastAsia="es-ES"/>
              </w:rPr>
            </w:pPr>
            <w:r w:rsidRPr="00926577">
              <w:rPr>
                <w:rFonts w:eastAsia="Times New Roman" w:cs="Arial"/>
                <w:szCs w:val="24"/>
                <w:lang w:eastAsia="es-ES"/>
              </w:rPr>
              <w:t>90</w:t>
            </w:r>
          </w:p>
        </w:tc>
      </w:tr>
    </w:tbl>
    <w:p w14:paraId="7C1ECDF7" w14:textId="736B17C6" w:rsidR="00926577" w:rsidRDefault="00926577" w:rsidP="00926577">
      <w:pPr>
        <w:spacing w:after="0" w:line="240" w:lineRule="auto"/>
        <w:rPr>
          <w:rFonts w:eastAsia="Times New Roman" w:cs="Arial"/>
          <w:lang w:eastAsia="es-ES"/>
        </w:rPr>
      </w:pPr>
      <w:r>
        <w:rPr>
          <w:rFonts w:eastAsia="Times New Roman" w:cs="Arial"/>
          <w:lang w:eastAsia="es-ES"/>
        </w:rPr>
        <w:t>Fuente: Elaboración propia</w:t>
      </w:r>
    </w:p>
    <w:p w14:paraId="6E7BF90B" w14:textId="250E0D6A" w:rsidR="00926577" w:rsidRDefault="00926577" w:rsidP="00926577">
      <w:pPr>
        <w:spacing w:after="0" w:line="240" w:lineRule="auto"/>
        <w:rPr>
          <w:rFonts w:eastAsia="Times New Roman" w:cs="Arial"/>
          <w:lang w:eastAsia="es-ES"/>
        </w:rPr>
      </w:pPr>
    </w:p>
    <w:p w14:paraId="27255D12" w14:textId="155B8CA5" w:rsidR="00926577" w:rsidRDefault="00926577" w:rsidP="00926577">
      <w:pPr>
        <w:spacing w:after="0" w:line="240" w:lineRule="auto"/>
        <w:rPr>
          <w:rFonts w:eastAsia="Times New Roman" w:cs="Arial"/>
          <w:lang w:eastAsia="es-ES"/>
        </w:rPr>
      </w:pPr>
    </w:p>
    <w:p w14:paraId="742F57CD" w14:textId="0CE8295E" w:rsidR="00926577" w:rsidRDefault="00926577" w:rsidP="00926577">
      <w:pPr>
        <w:spacing w:after="0" w:line="240" w:lineRule="auto"/>
        <w:rPr>
          <w:rFonts w:eastAsia="Times New Roman" w:cs="Arial"/>
          <w:lang w:eastAsia="es-ES"/>
        </w:rPr>
      </w:pPr>
    </w:p>
    <w:p w14:paraId="4187A6AF" w14:textId="2E876F3C" w:rsidR="00926577" w:rsidRDefault="00926577" w:rsidP="00926577">
      <w:pPr>
        <w:spacing w:after="0" w:line="240" w:lineRule="auto"/>
        <w:rPr>
          <w:rFonts w:eastAsia="Times New Roman" w:cs="Arial"/>
          <w:lang w:eastAsia="es-ES"/>
        </w:rPr>
      </w:pPr>
    </w:p>
    <w:p w14:paraId="1CC31236" w14:textId="747746AE" w:rsidR="00926577" w:rsidRDefault="00926577" w:rsidP="00926577">
      <w:pPr>
        <w:spacing w:after="0" w:line="240" w:lineRule="auto"/>
        <w:rPr>
          <w:rFonts w:eastAsia="Times New Roman" w:cs="Arial"/>
          <w:lang w:eastAsia="es-ES"/>
        </w:rPr>
      </w:pPr>
    </w:p>
    <w:p w14:paraId="04169C97" w14:textId="21A5826B" w:rsidR="0028162F" w:rsidRPr="003E73E3" w:rsidRDefault="0028162F" w:rsidP="00926577">
      <w:pPr>
        <w:pStyle w:val="Descripcin"/>
        <w:spacing w:after="0"/>
        <w:rPr>
          <w:lang w:eastAsia="es-ES"/>
        </w:rPr>
      </w:pPr>
      <w:bookmarkStart w:id="54" w:name="_Toc232987037"/>
      <w:r w:rsidRPr="0028162F">
        <w:rPr>
          <w:b/>
          <w:bCs/>
        </w:rPr>
        <w:lastRenderedPageBreak/>
        <w:t xml:space="preserve">Tabla </w:t>
      </w:r>
      <w:r w:rsidRPr="0028162F">
        <w:rPr>
          <w:b/>
          <w:bCs/>
        </w:rPr>
        <w:fldChar w:fldCharType="begin"/>
      </w:r>
      <w:r w:rsidRPr="0028162F">
        <w:rPr>
          <w:b/>
          <w:bCs/>
        </w:rPr>
        <w:instrText xml:space="preserve"> SEQ Tabla \* ARABIC </w:instrText>
      </w:r>
      <w:r w:rsidRPr="0028162F">
        <w:rPr>
          <w:b/>
          <w:bCs/>
        </w:rPr>
        <w:fldChar w:fldCharType="separate"/>
      </w:r>
      <w:r w:rsidR="0045369C">
        <w:rPr>
          <w:b/>
          <w:bCs/>
          <w:noProof/>
        </w:rPr>
        <w:t>6</w:t>
      </w:r>
      <w:r w:rsidRPr="0028162F">
        <w:rPr>
          <w:b/>
          <w:bCs/>
        </w:rPr>
        <w:fldChar w:fldCharType="end"/>
      </w:r>
      <w:r w:rsidRPr="0028162F">
        <w:rPr>
          <w:b/>
          <w:bCs/>
        </w:rPr>
        <w:t>.</w:t>
      </w:r>
      <w:r>
        <w:t xml:space="preserve"> </w:t>
      </w:r>
      <w:r w:rsidRPr="003E73E3">
        <w:rPr>
          <w:lang w:eastAsia="es-ES"/>
        </w:rPr>
        <w:t>Metaanálisis de proporción de éxito del manejo con misoprostol en artículos publicados</w:t>
      </w:r>
      <w:bookmarkEnd w:id="54"/>
    </w:p>
    <w:tbl>
      <w:tblPr>
        <w:tblStyle w:val="Tablaconcuadrcula"/>
        <w:tblW w:w="0" w:type="auto"/>
        <w:tblLook w:val="04A0" w:firstRow="1" w:lastRow="0" w:firstColumn="1" w:lastColumn="0" w:noHBand="0" w:noVBand="1"/>
      </w:tblPr>
      <w:tblGrid>
        <w:gridCol w:w="3397"/>
        <w:gridCol w:w="1560"/>
        <w:gridCol w:w="1559"/>
        <w:gridCol w:w="1417"/>
        <w:gridCol w:w="993"/>
        <w:gridCol w:w="969"/>
        <w:gridCol w:w="1549"/>
        <w:gridCol w:w="1550"/>
      </w:tblGrid>
      <w:tr w:rsidR="00926577" w:rsidRPr="00926577" w14:paraId="6D106D91" w14:textId="77777777" w:rsidTr="00926577">
        <w:tc>
          <w:tcPr>
            <w:tcW w:w="3397" w:type="dxa"/>
            <w:shd w:val="clear" w:color="auto" w:fill="F2F2F2" w:themeFill="background1" w:themeFillShade="F2"/>
            <w:hideMark/>
          </w:tcPr>
          <w:p w14:paraId="7282062C"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Estudio</w:t>
            </w:r>
          </w:p>
        </w:tc>
        <w:tc>
          <w:tcPr>
            <w:tcW w:w="1560" w:type="dxa"/>
            <w:shd w:val="clear" w:color="auto" w:fill="F2F2F2" w:themeFill="background1" w:themeFillShade="F2"/>
            <w:hideMark/>
          </w:tcPr>
          <w:p w14:paraId="0133C478"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Éxitos / total</w:t>
            </w:r>
          </w:p>
        </w:tc>
        <w:tc>
          <w:tcPr>
            <w:tcW w:w="1559" w:type="dxa"/>
            <w:shd w:val="clear" w:color="auto" w:fill="F2F2F2" w:themeFill="background1" w:themeFillShade="F2"/>
            <w:hideMark/>
          </w:tcPr>
          <w:p w14:paraId="3A04D416"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Proporción de éxito</w:t>
            </w:r>
          </w:p>
        </w:tc>
        <w:tc>
          <w:tcPr>
            <w:tcW w:w="1417" w:type="dxa"/>
            <w:shd w:val="clear" w:color="auto" w:fill="F2F2F2" w:themeFill="background1" w:themeFillShade="F2"/>
            <w:hideMark/>
          </w:tcPr>
          <w:p w14:paraId="66491513"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IC95%</w:t>
            </w:r>
          </w:p>
        </w:tc>
        <w:tc>
          <w:tcPr>
            <w:tcW w:w="993" w:type="dxa"/>
            <w:shd w:val="clear" w:color="auto" w:fill="F2F2F2" w:themeFill="background1" w:themeFillShade="F2"/>
            <w:hideMark/>
          </w:tcPr>
          <w:p w14:paraId="1CBA7157"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z</w:t>
            </w:r>
          </w:p>
        </w:tc>
        <w:tc>
          <w:tcPr>
            <w:tcW w:w="969" w:type="dxa"/>
            <w:shd w:val="clear" w:color="auto" w:fill="F2F2F2" w:themeFill="background1" w:themeFillShade="F2"/>
            <w:hideMark/>
          </w:tcPr>
          <w:p w14:paraId="379ADE9D"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w:t>
            </w:r>
          </w:p>
        </w:tc>
        <w:tc>
          <w:tcPr>
            <w:tcW w:w="1549" w:type="dxa"/>
            <w:shd w:val="clear" w:color="auto" w:fill="F2F2F2" w:themeFill="background1" w:themeFillShade="F2"/>
            <w:hideMark/>
          </w:tcPr>
          <w:p w14:paraId="4B5AF5DD"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Ponderación fija (%)</w:t>
            </w:r>
          </w:p>
        </w:tc>
        <w:tc>
          <w:tcPr>
            <w:tcW w:w="1550" w:type="dxa"/>
            <w:shd w:val="clear" w:color="auto" w:fill="F2F2F2" w:themeFill="background1" w:themeFillShade="F2"/>
            <w:hideMark/>
          </w:tcPr>
          <w:p w14:paraId="7B970E67" w14:textId="00436A0C" w:rsidR="0028162F" w:rsidRPr="00926577" w:rsidRDefault="00926577" w:rsidP="00926577">
            <w:pPr>
              <w:jc w:val="center"/>
              <w:rPr>
                <w:rFonts w:eastAsia="Times New Roman" w:cs="Arial"/>
                <w:b/>
                <w:bCs/>
                <w:sz w:val="22"/>
                <w:lang w:eastAsia="es-ES"/>
              </w:rPr>
            </w:pPr>
            <w:r w:rsidRPr="00926577">
              <w:rPr>
                <w:rFonts w:eastAsia="Times New Roman" w:cs="Arial"/>
                <w:b/>
                <w:bCs/>
                <w:sz w:val="22"/>
                <w:lang w:eastAsia="es-ES"/>
              </w:rPr>
              <w:t>Ponderación aleatoria</w:t>
            </w:r>
            <w:r w:rsidR="0028162F" w:rsidRPr="00926577">
              <w:rPr>
                <w:rFonts w:eastAsia="Times New Roman" w:cs="Arial"/>
                <w:b/>
                <w:bCs/>
                <w:sz w:val="22"/>
                <w:lang w:eastAsia="es-ES"/>
              </w:rPr>
              <w:t xml:space="preserve"> (%)</w:t>
            </w:r>
          </w:p>
        </w:tc>
      </w:tr>
      <w:tr w:rsidR="00926577" w:rsidRPr="00926577" w14:paraId="0E0F791E" w14:textId="77777777" w:rsidTr="00926577">
        <w:tc>
          <w:tcPr>
            <w:tcW w:w="3397" w:type="dxa"/>
            <w:hideMark/>
          </w:tcPr>
          <w:p w14:paraId="2A484019"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Montesinos et al. (2011)</w:t>
            </w:r>
          </w:p>
        </w:tc>
        <w:tc>
          <w:tcPr>
            <w:tcW w:w="1560" w:type="dxa"/>
            <w:hideMark/>
          </w:tcPr>
          <w:p w14:paraId="30CFD2A1"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100/106</w:t>
            </w:r>
          </w:p>
        </w:tc>
        <w:tc>
          <w:tcPr>
            <w:tcW w:w="1559" w:type="dxa"/>
            <w:hideMark/>
          </w:tcPr>
          <w:p w14:paraId="2FD03245"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94,3%</w:t>
            </w:r>
          </w:p>
        </w:tc>
        <w:tc>
          <w:tcPr>
            <w:tcW w:w="1417" w:type="dxa"/>
            <w:hideMark/>
          </w:tcPr>
          <w:p w14:paraId="61255B5A"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88,2–97,4</w:t>
            </w:r>
          </w:p>
        </w:tc>
        <w:tc>
          <w:tcPr>
            <w:tcW w:w="993" w:type="dxa"/>
            <w:hideMark/>
          </w:tcPr>
          <w:p w14:paraId="712E872D" w14:textId="77777777" w:rsidR="0028162F" w:rsidRPr="00926577" w:rsidRDefault="0028162F" w:rsidP="00926577">
            <w:pPr>
              <w:jc w:val="center"/>
              <w:rPr>
                <w:rFonts w:eastAsia="Times New Roman" w:cs="Arial"/>
                <w:sz w:val="22"/>
                <w:lang w:eastAsia="es-ES"/>
              </w:rPr>
            </w:pPr>
          </w:p>
        </w:tc>
        <w:tc>
          <w:tcPr>
            <w:tcW w:w="969" w:type="dxa"/>
            <w:hideMark/>
          </w:tcPr>
          <w:p w14:paraId="2104B060" w14:textId="77777777" w:rsidR="0028162F" w:rsidRPr="00926577" w:rsidRDefault="0028162F" w:rsidP="00926577">
            <w:pPr>
              <w:jc w:val="center"/>
              <w:rPr>
                <w:rFonts w:eastAsia="Times New Roman" w:cs="Arial"/>
                <w:sz w:val="22"/>
                <w:lang w:eastAsia="es-ES"/>
              </w:rPr>
            </w:pPr>
          </w:p>
        </w:tc>
        <w:tc>
          <w:tcPr>
            <w:tcW w:w="1549" w:type="dxa"/>
            <w:hideMark/>
          </w:tcPr>
          <w:p w14:paraId="4BEF236C"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17,10</w:t>
            </w:r>
          </w:p>
        </w:tc>
        <w:tc>
          <w:tcPr>
            <w:tcW w:w="1550" w:type="dxa"/>
            <w:hideMark/>
          </w:tcPr>
          <w:p w14:paraId="302ECA31"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26,50</w:t>
            </w:r>
          </w:p>
        </w:tc>
      </w:tr>
      <w:tr w:rsidR="00926577" w:rsidRPr="00926577" w14:paraId="1F2047BD" w14:textId="77777777" w:rsidTr="00926577">
        <w:tc>
          <w:tcPr>
            <w:tcW w:w="3397" w:type="dxa"/>
            <w:hideMark/>
          </w:tcPr>
          <w:p w14:paraId="02A63A09"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Estrada y Espinal (2015)</w:t>
            </w:r>
          </w:p>
        </w:tc>
        <w:tc>
          <w:tcPr>
            <w:tcW w:w="1560" w:type="dxa"/>
            <w:hideMark/>
          </w:tcPr>
          <w:p w14:paraId="3E0D1F58"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81/100</w:t>
            </w:r>
          </w:p>
        </w:tc>
        <w:tc>
          <w:tcPr>
            <w:tcW w:w="1559" w:type="dxa"/>
            <w:hideMark/>
          </w:tcPr>
          <w:p w14:paraId="1878560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81,0%</w:t>
            </w:r>
          </w:p>
        </w:tc>
        <w:tc>
          <w:tcPr>
            <w:tcW w:w="1417" w:type="dxa"/>
            <w:hideMark/>
          </w:tcPr>
          <w:p w14:paraId="5B8919F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72,2–87,5</w:t>
            </w:r>
          </w:p>
        </w:tc>
        <w:tc>
          <w:tcPr>
            <w:tcW w:w="993" w:type="dxa"/>
            <w:hideMark/>
          </w:tcPr>
          <w:p w14:paraId="35B60740" w14:textId="77777777" w:rsidR="0028162F" w:rsidRPr="00926577" w:rsidRDefault="0028162F" w:rsidP="00926577">
            <w:pPr>
              <w:jc w:val="center"/>
              <w:rPr>
                <w:rFonts w:eastAsia="Times New Roman" w:cs="Arial"/>
                <w:sz w:val="22"/>
                <w:lang w:eastAsia="es-ES"/>
              </w:rPr>
            </w:pPr>
          </w:p>
        </w:tc>
        <w:tc>
          <w:tcPr>
            <w:tcW w:w="969" w:type="dxa"/>
            <w:hideMark/>
          </w:tcPr>
          <w:p w14:paraId="2340F905" w14:textId="77777777" w:rsidR="0028162F" w:rsidRPr="00926577" w:rsidRDefault="0028162F" w:rsidP="00926577">
            <w:pPr>
              <w:jc w:val="center"/>
              <w:rPr>
                <w:rFonts w:eastAsia="Times New Roman" w:cs="Arial"/>
                <w:sz w:val="22"/>
                <w:lang w:eastAsia="es-ES"/>
              </w:rPr>
            </w:pPr>
          </w:p>
        </w:tc>
        <w:tc>
          <w:tcPr>
            <w:tcW w:w="1549" w:type="dxa"/>
            <w:hideMark/>
          </w:tcPr>
          <w:p w14:paraId="0E9DF555"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46,48</w:t>
            </w:r>
          </w:p>
        </w:tc>
        <w:tc>
          <w:tcPr>
            <w:tcW w:w="1550" w:type="dxa"/>
            <w:hideMark/>
          </w:tcPr>
          <w:p w14:paraId="5CD9806A"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30,93</w:t>
            </w:r>
          </w:p>
        </w:tc>
      </w:tr>
      <w:tr w:rsidR="00926577" w:rsidRPr="00926577" w14:paraId="57C196ED" w14:textId="77777777" w:rsidTr="00926577">
        <w:tc>
          <w:tcPr>
            <w:tcW w:w="3397" w:type="dxa"/>
            <w:hideMark/>
          </w:tcPr>
          <w:p w14:paraId="346CE059"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Sepúlveda Rivera et al. (2019)</w:t>
            </w:r>
          </w:p>
        </w:tc>
        <w:tc>
          <w:tcPr>
            <w:tcW w:w="1560" w:type="dxa"/>
            <w:hideMark/>
          </w:tcPr>
          <w:p w14:paraId="4FE78322"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75/76</w:t>
            </w:r>
          </w:p>
        </w:tc>
        <w:tc>
          <w:tcPr>
            <w:tcW w:w="1559" w:type="dxa"/>
            <w:hideMark/>
          </w:tcPr>
          <w:p w14:paraId="7F9E9028"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98,7%</w:t>
            </w:r>
          </w:p>
        </w:tc>
        <w:tc>
          <w:tcPr>
            <w:tcW w:w="1417" w:type="dxa"/>
            <w:hideMark/>
          </w:tcPr>
          <w:p w14:paraId="010D4273"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92,9–99,8</w:t>
            </w:r>
          </w:p>
        </w:tc>
        <w:tc>
          <w:tcPr>
            <w:tcW w:w="993" w:type="dxa"/>
            <w:hideMark/>
          </w:tcPr>
          <w:p w14:paraId="74BAE940" w14:textId="77777777" w:rsidR="0028162F" w:rsidRPr="00926577" w:rsidRDefault="0028162F" w:rsidP="00926577">
            <w:pPr>
              <w:jc w:val="center"/>
              <w:rPr>
                <w:rFonts w:eastAsia="Times New Roman" w:cs="Arial"/>
                <w:sz w:val="22"/>
                <w:lang w:eastAsia="es-ES"/>
              </w:rPr>
            </w:pPr>
          </w:p>
        </w:tc>
        <w:tc>
          <w:tcPr>
            <w:tcW w:w="969" w:type="dxa"/>
            <w:hideMark/>
          </w:tcPr>
          <w:p w14:paraId="41933449" w14:textId="77777777" w:rsidR="0028162F" w:rsidRPr="00926577" w:rsidRDefault="0028162F" w:rsidP="00926577">
            <w:pPr>
              <w:jc w:val="center"/>
              <w:rPr>
                <w:rFonts w:eastAsia="Times New Roman" w:cs="Arial"/>
                <w:sz w:val="22"/>
                <w:lang w:eastAsia="es-ES"/>
              </w:rPr>
            </w:pPr>
          </w:p>
        </w:tc>
        <w:tc>
          <w:tcPr>
            <w:tcW w:w="1549" w:type="dxa"/>
            <w:hideMark/>
          </w:tcPr>
          <w:p w14:paraId="4749B973"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2,98</w:t>
            </w:r>
          </w:p>
        </w:tc>
        <w:tc>
          <w:tcPr>
            <w:tcW w:w="1550" w:type="dxa"/>
            <w:hideMark/>
          </w:tcPr>
          <w:p w14:paraId="725C3DF3"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12,78</w:t>
            </w:r>
          </w:p>
        </w:tc>
      </w:tr>
      <w:tr w:rsidR="00926577" w:rsidRPr="00926577" w14:paraId="56990366" w14:textId="77777777" w:rsidTr="00926577">
        <w:tc>
          <w:tcPr>
            <w:tcW w:w="3397" w:type="dxa"/>
            <w:hideMark/>
          </w:tcPr>
          <w:p w14:paraId="38C7E17B"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Martínez-Rodas et al. (2020)</w:t>
            </w:r>
          </w:p>
        </w:tc>
        <w:tc>
          <w:tcPr>
            <w:tcW w:w="1560" w:type="dxa"/>
            <w:hideMark/>
          </w:tcPr>
          <w:p w14:paraId="67220E4A"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143/155</w:t>
            </w:r>
          </w:p>
        </w:tc>
        <w:tc>
          <w:tcPr>
            <w:tcW w:w="1559" w:type="dxa"/>
            <w:hideMark/>
          </w:tcPr>
          <w:p w14:paraId="208B0839"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92,3%</w:t>
            </w:r>
          </w:p>
        </w:tc>
        <w:tc>
          <w:tcPr>
            <w:tcW w:w="1417" w:type="dxa"/>
            <w:hideMark/>
          </w:tcPr>
          <w:p w14:paraId="10C7364C"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87,0–95,5</w:t>
            </w:r>
          </w:p>
        </w:tc>
        <w:tc>
          <w:tcPr>
            <w:tcW w:w="993" w:type="dxa"/>
            <w:hideMark/>
          </w:tcPr>
          <w:p w14:paraId="457AAEF1" w14:textId="77777777" w:rsidR="0028162F" w:rsidRPr="00926577" w:rsidRDefault="0028162F" w:rsidP="00926577">
            <w:pPr>
              <w:jc w:val="center"/>
              <w:rPr>
                <w:rFonts w:eastAsia="Times New Roman" w:cs="Arial"/>
                <w:sz w:val="22"/>
                <w:lang w:eastAsia="es-ES"/>
              </w:rPr>
            </w:pPr>
          </w:p>
        </w:tc>
        <w:tc>
          <w:tcPr>
            <w:tcW w:w="969" w:type="dxa"/>
            <w:hideMark/>
          </w:tcPr>
          <w:p w14:paraId="0E962946" w14:textId="77777777" w:rsidR="0028162F" w:rsidRPr="00926577" w:rsidRDefault="0028162F" w:rsidP="00926577">
            <w:pPr>
              <w:jc w:val="center"/>
              <w:rPr>
                <w:rFonts w:eastAsia="Times New Roman" w:cs="Arial"/>
                <w:sz w:val="22"/>
                <w:lang w:eastAsia="es-ES"/>
              </w:rPr>
            </w:pPr>
          </w:p>
        </w:tc>
        <w:tc>
          <w:tcPr>
            <w:tcW w:w="1549" w:type="dxa"/>
            <w:hideMark/>
          </w:tcPr>
          <w:p w14:paraId="31BA0E1D"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33,44</w:t>
            </w:r>
          </w:p>
        </w:tc>
        <w:tc>
          <w:tcPr>
            <w:tcW w:w="1550" w:type="dxa"/>
            <w:hideMark/>
          </w:tcPr>
          <w:p w14:paraId="49BC446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29,80</w:t>
            </w:r>
          </w:p>
        </w:tc>
      </w:tr>
      <w:tr w:rsidR="00926577" w:rsidRPr="00926577" w14:paraId="47223E59" w14:textId="77777777" w:rsidTr="00926577">
        <w:tc>
          <w:tcPr>
            <w:tcW w:w="3397" w:type="dxa"/>
            <w:hideMark/>
          </w:tcPr>
          <w:p w14:paraId="4724540B" w14:textId="77777777" w:rsidR="0028162F" w:rsidRPr="00926577" w:rsidRDefault="0028162F" w:rsidP="00926577">
            <w:pPr>
              <w:rPr>
                <w:rFonts w:eastAsia="Times New Roman" w:cs="Arial"/>
                <w:sz w:val="22"/>
                <w:lang w:eastAsia="es-ES"/>
              </w:rPr>
            </w:pPr>
            <w:r w:rsidRPr="00926577">
              <w:rPr>
                <w:rFonts w:eastAsia="Times New Roman" w:cs="Arial"/>
                <w:b/>
                <w:bCs/>
                <w:sz w:val="22"/>
                <w:lang w:eastAsia="es-ES"/>
              </w:rPr>
              <w:t>Total, efecto fijo</w:t>
            </w:r>
          </w:p>
        </w:tc>
        <w:tc>
          <w:tcPr>
            <w:tcW w:w="1560" w:type="dxa"/>
            <w:hideMark/>
          </w:tcPr>
          <w:p w14:paraId="57B90ABA"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399/437</w:t>
            </w:r>
          </w:p>
        </w:tc>
        <w:tc>
          <w:tcPr>
            <w:tcW w:w="1559" w:type="dxa"/>
            <w:hideMark/>
          </w:tcPr>
          <w:p w14:paraId="70DD6E83"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89,2%</w:t>
            </w:r>
          </w:p>
        </w:tc>
        <w:tc>
          <w:tcPr>
            <w:tcW w:w="1417" w:type="dxa"/>
            <w:hideMark/>
          </w:tcPr>
          <w:p w14:paraId="79E59BD6"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85,5–92,1</w:t>
            </w:r>
          </w:p>
        </w:tc>
        <w:tc>
          <w:tcPr>
            <w:tcW w:w="993" w:type="dxa"/>
            <w:hideMark/>
          </w:tcPr>
          <w:p w14:paraId="78985182"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12,15</w:t>
            </w:r>
          </w:p>
        </w:tc>
        <w:tc>
          <w:tcPr>
            <w:tcW w:w="969" w:type="dxa"/>
            <w:hideMark/>
          </w:tcPr>
          <w:p w14:paraId="067BD04E"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&lt;0,001</w:t>
            </w:r>
          </w:p>
        </w:tc>
        <w:tc>
          <w:tcPr>
            <w:tcW w:w="1549" w:type="dxa"/>
            <w:hideMark/>
          </w:tcPr>
          <w:p w14:paraId="56F2FF59"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c>
          <w:tcPr>
            <w:tcW w:w="1550" w:type="dxa"/>
            <w:hideMark/>
          </w:tcPr>
          <w:p w14:paraId="433AF051"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r>
      <w:tr w:rsidR="00926577" w:rsidRPr="00926577" w14:paraId="2D5CEB46" w14:textId="77777777" w:rsidTr="00926577">
        <w:tc>
          <w:tcPr>
            <w:tcW w:w="3397" w:type="dxa"/>
            <w:hideMark/>
          </w:tcPr>
          <w:p w14:paraId="07BEBDE4" w14:textId="77777777" w:rsidR="0028162F" w:rsidRPr="00926577" w:rsidRDefault="0028162F" w:rsidP="00926577">
            <w:pPr>
              <w:rPr>
                <w:rFonts w:eastAsia="Times New Roman" w:cs="Arial"/>
                <w:sz w:val="22"/>
                <w:lang w:eastAsia="es-ES"/>
              </w:rPr>
            </w:pPr>
            <w:r w:rsidRPr="00926577">
              <w:rPr>
                <w:rFonts w:eastAsia="Times New Roman" w:cs="Arial"/>
                <w:b/>
                <w:bCs/>
                <w:sz w:val="22"/>
                <w:lang w:eastAsia="es-ES"/>
              </w:rPr>
              <w:t>Total, efecto aleatorio</w:t>
            </w:r>
          </w:p>
        </w:tc>
        <w:tc>
          <w:tcPr>
            <w:tcW w:w="1560" w:type="dxa"/>
            <w:hideMark/>
          </w:tcPr>
          <w:p w14:paraId="3B879A56"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399/437</w:t>
            </w:r>
          </w:p>
        </w:tc>
        <w:tc>
          <w:tcPr>
            <w:tcW w:w="1559" w:type="dxa"/>
            <w:hideMark/>
          </w:tcPr>
          <w:p w14:paraId="5C38AC28"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92,3%</w:t>
            </w:r>
          </w:p>
        </w:tc>
        <w:tc>
          <w:tcPr>
            <w:tcW w:w="1417" w:type="dxa"/>
            <w:hideMark/>
          </w:tcPr>
          <w:p w14:paraId="05316F59"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83,1–96,7</w:t>
            </w:r>
          </w:p>
        </w:tc>
        <w:tc>
          <w:tcPr>
            <w:tcW w:w="993" w:type="dxa"/>
            <w:hideMark/>
          </w:tcPr>
          <w:p w14:paraId="548963A0"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5,47</w:t>
            </w:r>
          </w:p>
        </w:tc>
        <w:tc>
          <w:tcPr>
            <w:tcW w:w="969" w:type="dxa"/>
            <w:hideMark/>
          </w:tcPr>
          <w:p w14:paraId="35BFD71A"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&lt;0,001</w:t>
            </w:r>
          </w:p>
        </w:tc>
        <w:tc>
          <w:tcPr>
            <w:tcW w:w="1549" w:type="dxa"/>
            <w:hideMark/>
          </w:tcPr>
          <w:p w14:paraId="1BABE274"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c>
          <w:tcPr>
            <w:tcW w:w="1550" w:type="dxa"/>
            <w:hideMark/>
          </w:tcPr>
          <w:p w14:paraId="2C1B4619"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r>
    </w:tbl>
    <w:p w14:paraId="60BAAD20" w14:textId="346AB595" w:rsidR="0028162F" w:rsidRPr="00926577" w:rsidRDefault="0028162F" w:rsidP="00926577">
      <w:pPr>
        <w:spacing w:after="0" w:line="240" w:lineRule="auto"/>
        <w:rPr>
          <w:rFonts w:eastAsia="Times New Roman" w:cs="Arial"/>
          <w:sz w:val="20"/>
          <w:szCs w:val="18"/>
          <w:lang w:eastAsia="es-ES"/>
        </w:rPr>
      </w:pPr>
      <w:r w:rsidRPr="00926577">
        <w:rPr>
          <w:rFonts w:eastAsia="Times New Roman" w:cs="Arial"/>
          <w:b/>
          <w:bCs/>
          <w:sz w:val="20"/>
          <w:szCs w:val="18"/>
          <w:lang w:eastAsia="es-ES"/>
        </w:rPr>
        <w:t>Nota.</w:t>
      </w:r>
      <w:r w:rsidRPr="00926577">
        <w:rPr>
          <w:rFonts w:eastAsia="Times New Roman" w:cs="Arial"/>
          <w:sz w:val="20"/>
          <w:szCs w:val="18"/>
          <w:lang w:eastAsia="es-ES"/>
        </w:rPr>
        <w:t xml:space="preserve"> Se observó heterogeneidad estadísticamente significativa entre los artículos publicados: Q = 15,81; gl = 3; p = 0,001; I² = 81,0%; τ² = 0,603. Debido a la heterogeneidad elevada, la estimación de efectos aleatorios es la medida principal para la interpretación.</w:t>
      </w:r>
    </w:p>
    <w:p w14:paraId="2613FFAE" w14:textId="77777777" w:rsidR="00926577" w:rsidRPr="00926577" w:rsidRDefault="00926577" w:rsidP="00926577">
      <w:pPr>
        <w:spacing w:after="0" w:line="240" w:lineRule="auto"/>
        <w:rPr>
          <w:rFonts w:eastAsia="Times New Roman" w:cs="Arial"/>
          <w:sz w:val="20"/>
          <w:szCs w:val="18"/>
          <w:lang w:eastAsia="es-ES"/>
        </w:rPr>
      </w:pPr>
      <w:r w:rsidRPr="00926577">
        <w:rPr>
          <w:rFonts w:eastAsia="Times New Roman" w:cs="Arial"/>
          <w:sz w:val="20"/>
          <w:szCs w:val="18"/>
          <w:lang w:eastAsia="es-ES"/>
        </w:rPr>
        <w:t>Fuente: Elaboración propia</w:t>
      </w:r>
    </w:p>
    <w:p w14:paraId="7CC4D45D" w14:textId="77777777" w:rsidR="00926577" w:rsidRPr="003E73E3" w:rsidRDefault="00926577" w:rsidP="00926577">
      <w:pPr>
        <w:spacing w:after="0" w:line="240" w:lineRule="auto"/>
        <w:rPr>
          <w:rFonts w:ascii="Times New Roman" w:eastAsia="Times New Roman" w:hAnsi="Times New Roman" w:cs="Times New Roman"/>
          <w:lang w:eastAsia="es-ES"/>
        </w:rPr>
      </w:pPr>
    </w:p>
    <w:p w14:paraId="79E962A0" w14:textId="1544F303" w:rsidR="0028162F" w:rsidRPr="003E73E3" w:rsidRDefault="0028162F" w:rsidP="00926577">
      <w:pPr>
        <w:pStyle w:val="Descripcin"/>
        <w:spacing w:after="0"/>
        <w:rPr>
          <w:lang w:eastAsia="es-ES"/>
        </w:rPr>
      </w:pPr>
      <w:bookmarkStart w:id="55" w:name="_Toc232987038"/>
      <w:r w:rsidRPr="001E57DF">
        <w:rPr>
          <w:b/>
          <w:bCs/>
        </w:rPr>
        <w:t xml:space="preserve">Tabla </w:t>
      </w:r>
      <w:r w:rsidRPr="001E57DF">
        <w:rPr>
          <w:b/>
          <w:bCs/>
        </w:rPr>
        <w:fldChar w:fldCharType="begin"/>
      </w:r>
      <w:r w:rsidRPr="001E57DF">
        <w:rPr>
          <w:b/>
          <w:bCs/>
        </w:rPr>
        <w:instrText xml:space="preserve"> SEQ Tabla \* ARABIC </w:instrText>
      </w:r>
      <w:r w:rsidRPr="001E57DF">
        <w:rPr>
          <w:b/>
          <w:bCs/>
        </w:rPr>
        <w:fldChar w:fldCharType="separate"/>
      </w:r>
      <w:r w:rsidR="0045369C">
        <w:rPr>
          <w:b/>
          <w:bCs/>
          <w:noProof/>
        </w:rPr>
        <w:t>7</w:t>
      </w:r>
      <w:r w:rsidRPr="001E57DF">
        <w:rPr>
          <w:b/>
          <w:bCs/>
        </w:rPr>
        <w:fldChar w:fldCharType="end"/>
      </w:r>
      <w:r w:rsidRPr="001E57DF">
        <w:rPr>
          <w:b/>
          <w:bCs/>
        </w:rPr>
        <w:t>.</w:t>
      </w:r>
      <w:r>
        <w:t xml:space="preserve"> </w:t>
      </w:r>
      <w:r w:rsidRPr="003E73E3">
        <w:rPr>
          <w:lang w:eastAsia="es-ES"/>
        </w:rPr>
        <w:t>Metaanálisis de proporción de éxito del manejo con misoprostol en tesis</w:t>
      </w:r>
      <w:r w:rsidR="001E57DF">
        <w:rPr>
          <w:lang w:eastAsia="es-ES"/>
        </w:rPr>
        <w:t xml:space="preserve"> incluidas en la revisión</w:t>
      </w:r>
      <w:bookmarkEnd w:id="55"/>
      <w:r w:rsidR="001E57DF">
        <w:rPr>
          <w:lang w:eastAsia="es-ES"/>
        </w:rPr>
        <w:t xml:space="preserve"> </w:t>
      </w:r>
    </w:p>
    <w:tbl>
      <w:tblPr>
        <w:tblStyle w:val="Tablaconcuadrcula"/>
        <w:tblW w:w="0" w:type="auto"/>
        <w:tblLook w:val="04A0" w:firstRow="1" w:lastRow="0" w:firstColumn="1" w:lastColumn="0" w:noHBand="0" w:noVBand="1"/>
      </w:tblPr>
      <w:tblGrid>
        <w:gridCol w:w="4531"/>
        <w:gridCol w:w="1035"/>
        <w:gridCol w:w="1390"/>
        <w:gridCol w:w="1265"/>
        <w:gridCol w:w="681"/>
        <w:gridCol w:w="896"/>
        <w:gridCol w:w="1549"/>
        <w:gridCol w:w="1647"/>
      </w:tblGrid>
      <w:tr w:rsidR="00926577" w:rsidRPr="00926577" w14:paraId="60EAC67F" w14:textId="77777777" w:rsidTr="00926577">
        <w:tc>
          <w:tcPr>
            <w:tcW w:w="4531" w:type="dxa"/>
            <w:shd w:val="clear" w:color="auto" w:fill="F2F2F2" w:themeFill="background1" w:themeFillShade="F2"/>
            <w:hideMark/>
          </w:tcPr>
          <w:p w14:paraId="09799CDF"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Estudio</w:t>
            </w:r>
          </w:p>
        </w:tc>
        <w:tc>
          <w:tcPr>
            <w:tcW w:w="1035" w:type="dxa"/>
            <w:shd w:val="clear" w:color="auto" w:fill="F2F2F2" w:themeFill="background1" w:themeFillShade="F2"/>
            <w:hideMark/>
          </w:tcPr>
          <w:p w14:paraId="1983DD86"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Éxitos / total</w:t>
            </w:r>
          </w:p>
        </w:tc>
        <w:tc>
          <w:tcPr>
            <w:tcW w:w="1390" w:type="dxa"/>
            <w:shd w:val="clear" w:color="auto" w:fill="F2F2F2" w:themeFill="background1" w:themeFillShade="F2"/>
            <w:hideMark/>
          </w:tcPr>
          <w:p w14:paraId="72D60E3B"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Proporción de éxito</w:t>
            </w:r>
          </w:p>
        </w:tc>
        <w:tc>
          <w:tcPr>
            <w:tcW w:w="1265" w:type="dxa"/>
            <w:shd w:val="clear" w:color="auto" w:fill="F2F2F2" w:themeFill="background1" w:themeFillShade="F2"/>
            <w:hideMark/>
          </w:tcPr>
          <w:p w14:paraId="18ECE240"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IC95%</w:t>
            </w:r>
          </w:p>
        </w:tc>
        <w:tc>
          <w:tcPr>
            <w:tcW w:w="681" w:type="dxa"/>
            <w:shd w:val="clear" w:color="auto" w:fill="F2F2F2" w:themeFill="background1" w:themeFillShade="F2"/>
            <w:hideMark/>
          </w:tcPr>
          <w:p w14:paraId="52B06B9E"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z</w:t>
            </w:r>
          </w:p>
        </w:tc>
        <w:tc>
          <w:tcPr>
            <w:tcW w:w="896" w:type="dxa"/>
            <w:shd w:val="clear" w:color="auto" w:fill="F2F2F2" w:themeFill="background1" w:themeFillShade="F2"/>
            <w:hideMark/>
          </w:tcPr>
          <w:p w14:paraId="551D7958"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w:t>
            </w:r>
          </w:p>
        </w:tc>
        <w:tc>
          <w:tcPr>
            <w:tcW w:w="1549" w:type="dxa"/>
            <w:shd w:val="clear" w:color="auto" w:fill="F2F2F2" w:themeFill="background1" w:themeFillShade="F2"/>
            <w:hideMark/>
          </w:tcPr>
          <w:p w14:paraId="66C502DA"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Ponderación fija (%)</w:t>
            </w:r>
          </w:p>
        </w:tc>
        <w:tc>
          <w:tcPr>
            <w:tcW w:w="1647" w:type="dxa"/>
            <w:shd w:val="clear" w:color="auto" w:fill="F2F2F2" w:themeFill="background1" w:themeFillShade="F2"/>
            <w:hideMark/>
          </w:tcPr>
          <w:p w14:paraId="2F0B55E4" w14:textId="77777777" w:rsidR="0028162F" w:rsidRPr="00926577" w:rsidRDefault="0028162F" w:rsidP="00926577">
            <w:pPr>
              <w:jc w:val="center"/>
              <w:rPr>
                <w:rFonts w:eastAsia="Times New Roman" w:cs="Arial"/>
                <w:b/>
                <w:bCs/>
                <w:sz w:val="22"/>
                <w:lang w:eastAsia="es-ES"/>
              </w:rPr>
            </w:pPr>
            <w:r w:rsidRPr="00926577">
              <w:rPr>
                <w:rFonts w:eastAsia="Times New Roman" w:cs="Arial"/>
                <w:b/>
                <w:bCs/>
                <w:sz w:val="22"/>
                <w:lang w:eastAsia="es-ES"/>
              </w:rPr>
              <w:t>Ponderación aleatoria (%)</w:t>
            </w:r>
          </w:p>
        </w:tc>
      </w:tr>
      <w:tr w:rsidR="00926577" w:rsidRPr="00926577" w14:paraId="53E1254A" w14:textId="77777777" w:rsidTr="00926577">
        <w:tc>
          <w:tcPr>
            <w:tcW w:w="4531" w:type="dxa"/>
            <w:hideMark/>
          </w:tcPr>
          <w:p w14:paraId="29CDD898"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Chérrez Ramos y Arévalo Villanueva (2021)</w:t>
            </w:r>
          </w:p>
        </w:tc>
        <w:tc>
          <w:tcPr>
            <w:tcW w:w="1035" w:type="dxa"/>
            <w:hideMark/>
          </w:tcPr>
          <w:p w14:paraId="58FB0C9E"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4/14</w:t>
            </w:r>
          </w:p>
        </w:tc>
        <w:tc>
          <w:tcPr>
            <w:tcW w:w="1390" w:type="dxa"/>
            <w:hideMark/>
          </w:tcPr>
          <w:p w14:paraId="321FFB9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28,6%</w:t>
            </w:r>
          </w:p>
        </w:tc>
        <w:tc>
          <w:tcPr>
            <w:tcW w:w="1265" w:type="dxa"/>
            <w:hideMark/>
          </w:tcPr>
          <w:p w14:paraId="1003A2CE"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11,7–54,6</w:t>
            </w:r>
          </w:p>
        </w:tc>
        <w:tc>
          <w:tcPr>
            <w:tcW w:w="681" w:type="dxa"/>
            <w:hideMark/>
          </w:tcPr>
          <w:p w14:paraId="76896F3B" w14:textId="77777777" w:rsidR="0028162F" w:rsidRPr="00926577" w:rsidRDefault="0028162F" w:rsidP="00926577">
            <w:pPr>
              <w:jc w:val="center"/>
              <w:rPr>
                <w:rFonts w:eastAsia="Times New Roman" w:cs="Arial"/>
                <w:sz w:val="22"/>
                <w:lang w:eastAsia="es-ES"/>
              </w:rPr>
            </w:pPr>
          </w:p>
        </w:tc>
        <w:tc>
          <w:tcPr>
            <w:tcW w:w="896" w:type="dxa"/>
            <w:hideMark/>
          </w:tcPr>
          <w:p w14:paraId="117D25B2" w14:textId="77777777" w:rsidR="0028162F" w:rsidRPr="00926577" w:rsidRDefault="0028162F" w:rsidP="00926577">
            <w:pPr>
              <w:jc w:val="center"/>
              <w:rPr>
                <w:rFonts w:eastAsia="Times New Roman" w:cs="Arial"/>
                <w:sz w:val="22"/>
                <w:lang w:eastAsia="es-ES"/>
              </w:rPr>
            </w:pPr>
          </w:p>
        </w:tc>
        <w:tc>
          <w:tcPr>
            <w:tcW w:w="1549" w:type="dxa"/>
            <w:hideMark/>
          </w:tcPr>
          <w:p w14:paraId="091BC980"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5,14</w:t>
            </w:r>
          </w:p>
        </w:tc>
        <w:tc>
          <w:tcPr>
            <w:tcW w:w="1647" w:type="dxa"/>
            <w:hideMark/>
          </w:tcPr>
          <w:p w14:paraId="0A0DF0F2"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25,55</w:t>
            </w:r>
          </w:p>
        </w:tc>
      </w:tr>
      <w:tr w:rsidR="00926577" w:rsidRPr="00926577" w14:paraId="6514AF03" w14:textId="77777777" w:rsidTr="00926577">
        <w:tc>
          <w:tcPr>
            <w:tcW w:w="4531" w:type="dxa"/>
            <w:hideMark/>
          </w:tcPr>
          <w:p w14:paraId="7F607C9E"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Rueda Espinel (2022)</w:t>
            </w:r>
          </w:p>
        </w:tc>
        <w:tc>
          <w:tcPr>
            <w:tcW w:w="1035" w:type="dxa"/>
            <w:hideMark/>
          </w:tcPr>
          <w:p w14:paraId="3399B974"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116/157</w:t>
            </w:r>
          </w:p>
        </w:tc>
        <w:tc>
          <w:tcPr>
            <w:tcW w:w="1390" w:type="dxa"/>
            <w:hideMark/>
          </w:tcPr>
          <w:p w14:paraId="2B6C5AF4"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73,9%</w:t>
            </w:r>
          </w:p>
        </w:tc>
        <w:tc>
          <w:tcPr>
            <w:tcW w:w="1265" w:type="dxa"/>
            <w:hideMark/>
          </w:tcPr>
          <w:p w14:paraId="76EA04E0"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66,5–80,1</w:t>
            </w:r>
          </w:p>
        </w:tc>
        <w:tc>
          <w:tcPr>
            <w:tcW w:w="681" w:type="dxa"/>
            <w:hideMark/>
          </w:tcPr>
          <w:p w14:paraId="0AC9F519" w14:textId="77777777" w:rsidR="0028162F" w:rsidRPr="00926577" w:rsidRDefault="0028162F" w:rsidP="00926577">
            <w:pPr>
              <w:jc w:val="center"/>
              <w:rPr>
                <w:rFonts w:eastAsia="Times New Roman" w:cs="Arial"/>
                <w:sz w:val="22"/>
                <w:lang w:eastAsia="es-ES"/>
              </w:rPr>
            </w:pPr>
          </w:p>
        </w:tc>
        <w:tc>
          <w:tcPr>
            <w:tcW w:w="896" w:type="dxa"/>
            <w:hideMark/>
          </w:tcPr>
          <w:p w14:paraId="00CC6CF8" w14:textId="77777777" w:rsidR="0028162F" w:rsidRPr="00926577" w:rsidRDefault="0028162F" w:rsidP="00926577">
            <w:pPr>
              <w:jc w:val="center"/>
              <w:rPr>
                <w:rFonts w:eastAsia="Times New Roman" w:cs="Arial"/>
                <w:sz w:val="22"/>
                <w:lang w:eastAsia="es-ES"/>
              </w:rPr>
            </w:pPr>
          </w:p>
        </w:tc>
        <w:tc>
          <w:tcPr>
            <w:tcW w:w="1549" w:type="dxa"/>
            <w:hideMark/>
          </w:tcPr>
          <w:p w14:paraId="3D7D1201"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54,45</w:t>
            </w:r>
          </w:p>
        </w:tc>
        <w:tc>
          <w:tcPr>
            <w:tcW w:w="1647" w:type="dxa"/>
            <w:hideMark/>
          </w:tcPr>
          <w:p w14:paraId="022874C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37,54</w:t>
            </w:r>
          </w:p>
        </w:tc>
      </w:tr>
      <w:tr w:rsidR="00926577" w:rsidRPr="00926577" w14:paraId="1C1F7A8B" w14:textId="77777777" w:rsidTr="00926577">
        <w:tc>
          <w:tcPr>
            <w:tcW w:w="4531" w:type="dxa"/>
            <w:hideMark/>
          </w:tcPr>
          <w:p w14:paraId="658AF330" w14:textId="77777777" w:rsidR="0028162F" w:rsidRPr="00926577" w:rsidRDefault="0028162F" w:rsidP="00926577">
            <w:pPr>
              <w:rPr>
                <w:rFonts w:eastAsia="Times New Roman" w:cs="Arial"/>
                <w:sz w:val="22"/>
                <w:lang w:eastAsia="es-ES"/>
              </w:rPr>
            </w:pPr>
            <w:r w:rsidRPr="00926577">
              <w:rPr>
                <w:rFonts w:eastAsia="Times New Roman" w:cs="Arial"/>
                <w:sz w:val="22"/>
                <w:lang w:eastAsia="es-ES"/>
              </w:rPr>
              <w:t>Valles Jáquez (2024)</w:t>
            </w:r>
          </w:p>
        </w:tc>
        <w:tc>
          <w:tcPr>
            <w:tcW w:w="1035" w:type="dxa"/>
            <w:hideMark/>
          </w:tcPr>
          <w:p w14:paraId="1EA054E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44/90</w:t>
            </w:r>
          </w:p>
        </w:tc>
        <w:tc>
          <w:tcPr>
            <w:tcW w:w="1390" w:type="dxa"/>
            <w:hideMark/>
          </w:tcPr>
          <w:p w14:paraId="07E5DAF1"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48,9%</w:t>
            </w:r>
          </w:p>
        </w:tc>
        <w:tc>
          <w:tcPr>
            <w:tcW w:w="1265" w:type="dxa"/>
            <w:hideMark/>
          </w:tcPr>
          <w:p w14:paraId="180D0BCC"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38,8–59,0</w:t>
            </w:r>
          </w:p>
        </w:tc>
        <w:tc>
          <w:tcPr>
            <w:tcW w:w="681" w:type="dxa"/>
            <w:hideMark/>
          </w:tcPr>
          <w:p w14:paraId="478A4615" w14:textId="77777777" w:rsidR="0028162F" w:rsidRPr="00926577" w:rsidRDefault="0028162F" w:rsidP="00926577">
            <w:pPr>
              <w:jc w:val="center"/>
              <w:rPr>
                <w:rFonts w:eastAsia="Times New Roman" w:cs="Arial"/>
                <w:sz w:val="22"/>
                <w:lang w:eastAsia="es-ES"/>
              </w:rPr>
            </w:pPr>
          </w:p>
        </w:tc>
        <w:tc>
          <w:tcPr>
            <w:tcW w:w="896" w:type="dxa"/>
            <w:hideMark/>
          </w:tcPr>
          <w:p w14:paraId="1EAF7D94" w14:textId="77777777" w:rsidR="0028162F" w:rsidRPr="00926577" w:rsidRDefault="0028162F" w:rsidP="00926577">
            <w:pPr>
              <w:jc w:val="center"/>
              <w:rPr>
                <w:rFonts w:eastAsia="Times New Roman" w:cs="Arial"/>
                <w:sz w:val="22"/>
                <w:lang w:eastAsia="es-ES"/>
              </w:rPr>
            </w:pPr>
          </w:p>
        </w:tc>
        <w:tc>
          <w:tcPr>
            <w:tcW w:w="1549" w:type="dxa"/>
            <w:hideMark/>
          </w:tcPr>
          <w:p w14:paraId="4D716A76"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40,42</w:t>
            </w:r>
          </w:p>
        </w:tc>
        <w:tc>
          <w:tcPr>
            <w:tcW w:w="1647" w:type="dxa"/>
            <w:hideMark/>
          </w:tcPr>
          <w:p w14:paraId="130E0697" w14:textId="77777777" w:rsidR="0028162F" w:rsidRPr="00926577" w:rsidRDefault="0028162F" w:rsidP="00926577">
            <w:pPr>
              <w:jc w:val="center"/>
              <w:rPr>
                <w:rFonts w:eastAsia="Times New Roman" w:cs="Arial"/>
                <w:sz w:val="22"/>
                <w:lang w:eastAsia="es-ES"/>
              </w:rPr>
            </w:pPr>
            <w:r w:rsidRPr="00926577">
              <w:rPr>
                <w:rFonts w:eastAsia="Times New Roman" w:cs="Arial"/>
                <w:sz w:val="22"/>
                <w:lang w:eastAsia="es-ES"/>
              </w:rPr>
              <w:t>36,91</w:t>
            </w:r>
          </w:p>
        </w:tc>
      </w:tr>
      <w:tr w:rsidR="00926577" w:rsidRPr="00926577" w14:paraId="52662ED6" w14:textId="77777777" w:rsidTr="00926577">
        <w:tc>
          <w:tcPr>
            <w:tcW w:w="4531" w:type="dxa"/>
            <w:hideMark/>
          </w:tcPr>
          <w:p w14:paraId="7EACD5FF" w14:textId="77777777" w:rsidR="0028162F" w:rsidRPr="00926577" w:rsidRDefault="0028162F" w:rsidP="00926577">
            <w:pPr>
              <w:rPr>
                <w:rFonts w:eastAsia="Times New Roman" w:cs="Arial"/>
                <w:sz w:val="22"/>
                <w:lang w:eastAsia="es-ES"/>
              </w:rPr>
            </w:pPr>
            <w:r w:rsidRPr="00926577">
              <w:rPr>
                <w:rFonts w:eastAsia="Times New Roman" w:cs="Arial"/>
                <w:b/>
                <w:bCs/>
                <w:sz w:val="22"/>
                <w:lang w:eastAsia="es-ES"/>
              </w:rPr>
              <w:t>Total, efecto fijo</w:t>
            </w:r>
          </w:p>
        </w:tc>
        <w:tc>
          <w:tcPr>
            <w:tcW w:w="1035" w:type="dxa"/>
            <w:hideMark/>
          </w:tcPr>
          <w:p w14:paraId="479A9DFC"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164/261</w:t>
            </w:r>
          </w:p>
        </w:tc>
        <w:tc>
          <w:tcPr>
            <w:tcW w:w="1390" w:type="dxa"/>
            <w:hideMark/>
          </w:tcPr>
          <w:p w14:paraId="11AB9A40"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62,3%</w:t>
            </w:r>
          </w:p>
        </w:tc>
        <w:tc>
          <w:tcPr>
            <w:tcW w:w="1265" w:type="dxa"/>
            <w:hideMark/>
          </w:tcPr>
          <w:p w14:paraId="7F494A95"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55,9–68,2</w:t>
            </w:r>
          </w:p>
        </w:tc>
        <w:tc>
          <w:tcPr>
            <w:tcW w:w="681" w:type="dxa"/>
            <w:hideMark/>
          </w:tcPr>
          <w:p w14:paraId="39BF4551"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3,74</w:t>
            </w:r>
          </w:p>
        </w:tc>
        <w:tc>
          <w:tcPr>
            <w:tcW w:w="896" w:type="dxa"/>
            <w:hideMark/>
          </w:tcPr>
          <w:p w14:paraId="79D312C2"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&lt;0,001</w:t>
            </w:r>
          </w:p>
        </w:tc>
        <w:tc>
          <w:tcPr>
            <w:tcW w:w="1549" w:type="dxa"/>
            <w:hideMark/>
          </w:tcPr>
          <w:p w14:paraId="3183909E"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c>
          <w:tcPr>
            <w:tcW w:w="1647" w:type="dxa"/>
            <w:hideMark/>
          </w:tcPr>
          <w:p w14:paraId="1F4FC5DB"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r>
      <w:tr w:rsidR="00926577" w:rsidRPr="00926577" w14:paraId="5E63B04D" w14:textId="77777777" w:rsidTr="00926577">
        <w:tc>
          <w:tcPr>
            <w:tcW w:w="4531" w:type="dxa"/>
            <w:hideMark/>
          </w:tcPr>
          <w:p w14:paraId="351F9E23" w14:textId="77777777" w:rsidR="0028162F" w:rsidRPr="00926577" w:rsidRDefault="0028162F" w:rsidP="00926577">
            <w:pPr>
              <w:rPr>
                <w:rFonts w:eastAsia="Times New Roman" w:cs="Arial"/>
                <w:sz w:val="22"/>
                <w:lang w:eastAsia="es-ES"/>
              </w:rPr>
            </w:pPr>
            <w:r w:rsidRPr="00926577">
              <w:rPr>
                <w:rFonts w:eastAsia="Times New Roman" w:cs="Arial"/>
                <w:b/>
                <w:bCs/>
                <w:sz w:val="22"/>
                <w:lang w:eastAsia="es-ES"/>
              </w:rPr>
              <w:t>Total, efecto aleatorio</w:t>
            </w:r>
          </w:p>
        </w:tc>
        <w:tc>
          <w:tcPr>
            <w:tcW w:w="1035" w:type="dxa"/>
            <w:hideMark/>
          </w:tcPr>
          <w:p w14:paraId="190268C1"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164/261</w:t>
            </w:r>
          </w:p>
        </w:tc>
        <w:tc>
          <w:tcPr>
            <w:tcW w:w="1390" w:type="dxa"/>
            <w:hideMark/>
          </w:tcPr>
          <w:p w14:paraId="0C7964E5"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53,5%</w:t>
            </w:r>
          </w:p>
        </w:tc>
        <w:tc>
          <w:tcPr>
            <w:tcW w:w="1265" w:type="dxa"/>
            <w:hideMark/>
          </w:tcPr>
          <w:p w14:paraId="2820622F"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30,0–75,5</w:t>
            </w:r>
          </w:p>
        </w:tc>
        <w:tc>
          <w:tcPr>
            <w:tcW w:w="681" w:type="dxa"/>
            <w:hideMark/>
          </w:tcPr>
          <w:p w14:paraId="7D63795D"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0,28</w:t>
            </w:r>
          </w:p>
        </w:tc>
        <w:tc>
          <w:tcPr>
            <w:tcW w:w="896" w:type="dxa"/>
            <w:hideMark/>
          </w:tcPr>
          <w:p w14:paraId="6C33F23F"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0,781</w:t>
            </w:r>
          </w:p>
        </w:tc>
        <w:tc>
          <w:tcPr>
            <w:tcW w:w="1549" w:type="dxa"/>
            <w:hideMark/>
          </w:tcPr>
          <w:p w14:paraId="1FE158B2"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c>
          <w:tcPr>
            <w:tcW w:w="1647" w:type="dxa"/>
            <w:hideMark/>
          </w:tcPr>
          <w:p w14:paraId="2314573E" w14:textId="77777777" w:rsidR="0028162F" w:rsidRPr="00926577" w:rsidRDefault="0028162F" w:rsidP="00926577">
            <w:pPr>
              <w:jc w:val="center"/>
              <w:rPr>
                <w:rFonts w:eastAsia="Times New Roman" w:cs="Arial"/>
                <w:sz w:val="22"/>
                <w:lang w:eastAsia="es-ES"/>
              </w:rPr>
            </w:pPr>
            <w:r w:rsidRPr="00926577">
              <w:rPr>
                <w:rFonts w:eastAsia="Times New Roman" w:cs="Arial"/>
                <w:b/>
                <w:bCs/>
                <w:sz w:val="22"/>
                <w:lang w:eastAsia="es-ES"/>
              </w:rPr>
              <w:t>100,0</w:t>
            </w:r>
          </w:p>
        </w:tc>
      </w:tr>
    </w:tbl>
    <w:p w14:paraId="316F5E74" w14:textId="68446E7B" w:rsidR="0028162F" w:rsidRPr="00926577" w:rsidRDefault="0028162F" w:rsidP="00926577">
      <w:pPr>
        <w:spacing w:after="0" w:line="240" w:lineRule="auto"/>
        <w:rPr>
          <w:rFonts w:eastAsia="Times New Roman" w:cs="Arial"/>
          <w:sz w:val="20"/>
          <w:szCs w:val="18"/>
          <w:lang w:eastAsia="es-ES"/>
        </w:rPr>
      </w:pPr>
      <w:r w:rsidRPr="00926577">
        <w:rPr>
          <w:rFonts w:eastAsia="Times New Roman" w:cs="Arial"/>
          <w:b/>
          <w:bCs/>
          <w:sz w:val="20"/>
          <w:szCs w:val="18"/>
          <w:lang w:eastAsia="es-ES"/>
        </w:rPr>
        <w:t>Nota.</w:t>
      </w:r>
      <w:r w:rsidRPr="00926577">
        <w:rPr>
          <w:rFonts w:eastAsia="Times New Roman" w:cs="Arial"/>
          <w:sz w:val="20"/>
          <w:szCs w:val="18"/>
          <w:lang w:eastAsia="es-ES"/>
        </w:rPr>
        <w:t xml:space="preserve"> Se observó heterogeneidad estadísticamente significativa entre las tesis: Q = 21,23; gl = 2; p &lt; 0,001; I² = 90,6%; τ² = 0,643. La amplitud del intervalo de confianza del modelo de efectos aleatorios refleja la variabilidad importante entre los estudios.</w:t>
      </w:r>
    </w:p>
    <w:p w14:paraId="117CF111" w14:textId="77777777" w:rsidR="00926577" w:rsidRPr="00926577" w:rsidRDefault="00926577" w:rsidP="00926577">
      <w:pPr>
        <w:spacing w:after="0" w:line="240" w:lineRule="auto"/>
        <w:rPr>
          <w:rFonts w:eastAsia="Times New Roman" w:cs="Arial"/>
          <w:sz w:val="20"/>
          <w:szCs w:val="18"/>
          <w:lang w:eastAsia="es-ES"/>
        </w:rPr>
      </w:pPr>
      <w:r w:rsidRPr="00926577">
        <w:rPr>
          <w:rFonts w:eastAsia="Times New Roman" w:cs="Arial"/>
          <w:sz w:val="20"/>
          <w:szCs w:val="18"/>
          <w:lang w:eastAsia="es-ES"/>
        </w:rPr>
        <w:t>Fuente: Elaboración propia</w:t>
      </w:r>
    </w:p>
    <w:p w14:paraId="244F4E56" w14:textId="77777777" w:rsidR="00926577" w:rsidRPr="003E73E3" w:rsidRDefault="00926577" w:rsidP="00926577">
      <w:pPr>
        <w:spacing w:after="0" w:line="240" w:lineRule="auto"/>
        <w:rPr>
          <w:rFonts w:ascii="Times New Roman" w:eastAsia="Times New Roman" w:hAnsi="Times New Roman" w:cs="Times New Roman"/>
          <w:lang w:eastAsia="es-ES"/>
        </w:rPr>
      </w:pPr>
    </w:p>
    <w:p w14:paraId="188751DF" w14:textId="77777777" w:rsidR="0028162F" w:rsidRDefault="0028162F" w:rsidP="0028162F"/>
    <w:p w14:paraId="10B28F57" w14:textId="778493F7" w:rsidR="0028162F" w:rsidRPr="003E73E3" w:rsidRDefault="0028162F" w:rsidP="0028162F">
      <w:pPr>
        <w:pStyle w:val="Descripcin"/>
        <w:rPr>
          <w:lang w:eastAsia="es-ES"/>
        </w:rPr>
      </w:pPr>
      <w:bookmarkStart w:id="56" w:name="_Toc232987039"/>
      <w:r w:rsidRPr="001E57DF">
        <w:rPr>
          <w:b/>
          <w:bCs/>
        </w:rPr>
        <w:lastRenderedPageBreak/>
        <w:t xml:space="preserve">Tabla </w:t>
      </w:r>
      <w:r w:rsidRPr="001E57DF">
        <w:rPr>
          <w:b/>
          <w:bCs/>
        </w:rPr>
        <w:fldChar w:fldCharType="begin"/>
      </w:r>
      <w:r w:rsidRPr="001E57DF">
        <w:rPr>
          <w:b/>
          <w:bCs/>
        </w:rPr>
        <w:instrText xml:space="preserve"> SEQ Tabla \* ARABIC </w:instrText>
      </w:r>
      <w:r w:rsidRPr="001E57DF">
        <w:rPr>
          <w:b/>
          <w:bCs/>
        </w:rPr>
        <w:fldChar w:fldCharType="separate"/>
      </w:r>
      <w:r w:rsidR="0045369C">
        <w:rPr>
          <w:b/>
          <w:bCs/>
          <w:noProof/>
        </w:rPr>
        <w:t>8</w:t>
      </w:r>
      <w:r w:rsidRPr="001E57DF">
        <w:rPr>
          <w:b/>
          <w:bCs/>
        </w:rPr>
        <w:fldChar w:fldCharType="end"/>
      </w:r>
      <w:r w:rsidRPr="001E57DF">
        <w:rPr>
          <w:b/>
          <w:bCs/>
        </w:rPr>
        <w:t>.</w:t>
      </w:r>
      <w:r>
        <w:t xml:space="preserve"> </w:t>
      </w:r>
      <w:bookmarkStart w:id="57" w:name="_Hlk231842318"/>
      <w:r w:rsidRPr="003E73E3">
        <w:rPr>
          <w:lang w:eastAsia="es-ES"/>
        </w:rPr>
        <w:t>Metaanálisis combinado de proporción de éxito del manejo con misoprostol en artículos publicados y tesis</w:t>
      </w:r>
      <w:bookmarkEnd w:id="56"/>
      <w:bookmarkEnd w:id="57"/>
    </w:p>
    <w:tbl>
      <w:tblPr>
        <w:tblStyle w:val="Tablaconcuadrcula"/>
        <w:tblW w:w="0" w:type="auto"/>
        <w:tblLook w:val="04A0" w:firstRow="1" w:lastRow="0" w:firstColumn="1" w:lastColumn="0" w:noHBand="0" w:noVBand="1"/>
      </w:tblPr>
      <w:tblGrid>
        <w:gridCol w:w="4555"/>
        <w:gridCol w:w="1003"/>
        <w:gridCol w:w="1414"/>
        <w:gridCol w:w="1224"/>
        <w:gridCol w:w="759"/>
        <w:gridCol w:w="893"/>
        <w:gridCol w:w="1510"/>
        <w:gridCol w:w="1636"/>
      </w:tblGrid>
      <w:tr w:rsidR="0028162F" w:rsidRPr="003E73E3" w14:paraId="0F75DBBA" w14:textId="77777777" w:rsidTr="000A215B">
        <w:tc>
          <w:tcPr>
            <w:tcW w:w="4815" w:type="dxa"/>
            <w:shd w:val="clear" w:color="auto" w:fill="F2F2F2" w:themeFill="background1" w:themeFillShade="F2"/>
            <w:hideMark/>
          </w:tcPr>
          <w:p w14:paraId="2D31C882"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Estudio</w:t>
            </w:r>
          </w:p>
        </w:tc>
        <w:tc>
          <w:tcPr>
            <w:tcW w:w="709" w:type="dxa"/>
            <w:shd w:val="clear" w:color="auto" w:fill="F2F2F2" w:themeFill="background1" w:themeFillShade="F2"/>
            <w:hideMark/>
          </w:tcPr>
          <w:p w14:paraId="69E5FD23"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Éxitos / total</w:t>
            </w:r>
          </w:p>
        </w:tc>
        <w:tc>
          <w:tcPr>
            <w:tcW w:w="1417" w:type="dxa"/>
            <w:shd w:val="clear" w:color="auto" w:fill="F2F2F2" w:themeFill="background1" w:themeFillShade="F2"/>
            <w:hideMark/>
          </w:tcPr>
          <w:p w14:paraId="372D26B8"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Proporción de éxito</w:t>
            </w:r>
          </w:p>
        </w:tc>
        <w:tc>
          <w:tcPr>
            <w:tcW w:w="1245" w:type="dxa"/>
            <w:shd w:val="clear" w:color="auto" w:fill="F2F2F2" w:themeFill="background1" w:themeFillShade="F2"/>
            <w:hideMark/>
          </w:tcPr>
          <w:p w14:paraId="5A33361C"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IC95%</w:t>
            </w:r>
          </w:p>
        </w:tc>
        <w:tc>
          <w:tcPr>
            <w:tcW w:w="759" w:type="dxa"/>
            <w:shd w:val="clear" w:color="auto" w:fill="F2F2F2" w:themeFill="background1" w:themeFillShade="F2"/>
            <w:hideMark/>
          </w:tcPr>
          <w:p w14:paraId="79AFC522"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z</w:t>
            </w:r>
          </w:p>
        </w:tc>
        <w:tc>
          <w:tcPr>
            <w:tcW w:w="893" w:type="dxa"/>
            <w:shd w:val="clear" w:color="auto" w:fill="F2F2F2" w:themeFill="background1" w:themeFillShade="F2"/>
            <w:hideMark/>
          </w:tcPr>
          <w:p w14:paraId="672A97F2"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p</w:t>
            </w:r>
          </w:p>
        </w:tc>
        <w:tc>
          <w:tcPr>
            <w:tcW w:w="1510" w:type="dxa"/>
            <w:shd w:val="clear" w:color="auto" w:fill="F2F2F2" w:themeFill="background1" w:themeFillShade="F2"/>
            <w:hideMark/>
          </w:tcPr>
          <w:p w14:paraId="6813FCA6"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Ponderación fija (%)</w:t>
            </w:r>
          </w:p>
        </w:tc>
        <w:tc>
          <w:tcPr>
            <w:tcW w:w="1646" w:type="dxa"/>
            <w:shd w:val="clear" w:color="auto" w:fill="F2F2F2" w:themeFill="background1" w:themeFillShade="F2"/>
            <w:hideMark/>
          </w:tcPr>
          <w:p w14:paraId="61D04F0F" w14:textId="77777777" w:rsidR="0028162F" w:rsidRPr="003E73E3" w:rsidRDefault="0028162F" w:rsidP="000A215B">
            <w:pPr>
              <w:jc w:val="center"/>
              <w:rPr>
                <w:rFonts w:ascii="Times New Roman" w:eastAsia="Times New Roman" w:hAnsi="Times New Roman" w:cs="Times New Roman"/>
                <w:b/>
                <w:bCs/>
                <w:lang w:eastAsia="es-ES"/>
              </w:rPr>
            </w:pPr>
            <w:r w:rsidRPr="003E73E3">
              <w:rPr>
                <w:rFonts w:ascii="Times New Roman" w:eastAsia="Times New Roman" w:hAnsi="Times New Roman" w:cs="Times New Roman"/>
                <w:b/>
                <w:bCs/>
                <w:lang w:eastAsia="es-ES"/>
              </w:rPr>
              <w:t>Ponderación aleatoria (%)</w:t>
            </w:r>
          </w:p>
        </w:tc>
      </w:tr>
      <w:tr w:rsidR="0028162F" w:rsidRPr="003E73E3" w14:paraId="7F7B8EBD" w14:textId="77777777" w:rsidTr="000A215B">
        <w:tc>
          <w:tcPr>
            <w:tcW w:w="4815" w:type="dxa"/>
            <w:hideMark/>
          </w:tcPr>
          <w:p w14:paraId="377B29EA"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Montesinos et al. (2011)</w:t>
            </w:r>
          </w:p>
        </w:tc>
        <w:tc>
          <w:tcPr>
            <w:tcW w:w="709" w:type="dxa"/>
            <w:hideMark/>
          </w:tcPr>
          <w:p w14:paraId="0B03CA75"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100/106</w:t>
            </w:r>
          </w:p>
        </w:tc>
        <w:tc>
          <w:tcPr>
            <w:tcW w:w="1417" w:type="dxa"/>
            <w:hideMark/>
          </w:tcPr>
          <w:p w14:paraId="2B7A92D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94</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3%</w:t>
            </w:r>
          </w:p>
        </w:tc>
        <w:tc>
          <w:tcPr>
            <w:tcW w:w="1245" w:type="dxa"/>
            <w:hideMark/>
          </w:tcPr>
          <w:p w14:paraId="185F2B2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88</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2–97</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4</w:t>
            </w:r>
          </w:p>
        </w:tc>
        <w:tc>
          <w:tcPr>
            <w:tcW w:w="759" w:type="dxa"/>
            <w:hideMark/>
          </w:tcPr>
          <w:p w14:paraId="1606443E"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0974BB4B"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5E41EBA2"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6</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38</w:t>
            </w:r>
          </w:p>
        </w:tc>
        <w:tc>
          <w:tcPr>
            <w:tcW w:w="1646" w:type="dxa"/>
            <w:hideMark/>
          </w:tcPr>
          <w:p w14:paraId="21F9995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14</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52</w:t>
            </w:r>
          </w:p>
        </w:tc>
      </w:tr>
      <w:tr w:rsidR="0028162F" w:rsidRPr="003E73E3" w14:paraId="1DD681C3" w14:textId="77777777" w:rsidTr="000A215B">
        <w:tc>
          <w:tcPr>
            <w:tcW w:w="4815" w:type="dxa"/>
            <w:hideMark/>
          </w:tcPr>
          <w:p w14:paraId="421FF274"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Estrada y Espinal (2015)</w:t>
            </w:r>
          </w:p>
        </w:tc>
        <w:tc>
          <w:tcPr>
            <w:tcW w:w="709" w:type="dxa"/>
            <w:hideMark/>
          </w:tcPr>
          <w:p w14:paraId="5EA5277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81/100</w:t>
            </w:r>
          </w:p>
        </w:tc>
        <w:tc>
          <w:tcPr>
            <w:tcW w:w="1417" w:type="dxa"/>
            <w:hideMark/>
          </w:tcPr>
          <w:p w14:paraId="00E85D46"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81</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0%</w:t>
            </w:r>
          </w:p>
        </w:tc>
        <w:tc>
          <w:tcPr>
            <w:tcW w:w="1245" w:type="dxa"/>
            <w:hideMark/>
          </w:tcPr>
          <w:p w14:paraId="6D4EF3C2"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72</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2–87</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5</w:t>
            </w:r>
          </w:p>
        </w:tc>
        <w:tc>
          <w:tcPr>
            <w:tcW w:w="759" w:type="dxa"/>
            <w:hideMark/>
          </w:tcPr>
          <w:p w14:paraId="08EA5590"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20E12C89"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79765896"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17</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34</w:t>
            </w:r>
          </w:p>
        </w:tc>
        <w:tc>
          <w:tcPr>
            <w:tcW w:w="1646" w:type="dxa"/>
            <w:hideMark/>
          </w:tcPr>
          <w:p w14:paraId="4C316402"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15</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76</w:t>
            </w:r>
          </w:p>
        </w:tc>
      </w:tr>
      <w:tr w:rsidR="0028162F" w:rsidRPr="003E73E3" w14:paraId="0B9E9386" w14:textId="77777777" w:rsidTr="000A215B">
        <w:tc>
          <w:tcPr>
            <w:tcW w:w="4815" w:type="dxa"/>
            <w:hideMark/>
          </w:tcPr>
          <w:p w14:paraId="493CD1EF"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Sepúlveda Rivera et al. (2019)</w:t>
            </w:r>
          </w:p>
        </w:tc>
        <w:tc>
          <w:tcPr>
            <w:tcW w:w="709" w:type="dxa"/>
            <w:hideMark/>
          </w:tcPr>
          <w:p w14:paraId="3D4E8B3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75/76</w:t>
            </w:r>
          </w:p>
        </w:tc>
        <w:tc>
          <w:tcPr>
            <w:tcW w:w="1417" w:type="dxa"/>
            <w:hideMark/>
          </w:tcPr>
          <w:p w14:paraId="093FFBE7"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98</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7%</w:t>
            </w:r>
          </w:p>
        </w:tc>
        <w:tc>
          <w:tcPr>
            <w:tcW w:w="1245" w:type="dxa"/>
            <w:hideMark/>
          </w:tcPr>
          <w:p w14:paraId="76AF797F"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92</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9–99</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8</w:t>
            </w:r>
          </w:p>
        </w:tc>
        <w:tc>
          <w:tcPr>
            <w:tcW w:w="759" w:type="dxa"/>
            <w:hideMark/>
          </w:tcPr>
          <w:p w14:paraId="44D50043"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3A77DF62"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23C192A9"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11</w:t>
            </w:r>
          </w:p>
        </w:tc>
        <w:tc>
          <w:tcPr>
            <w:tcW w:w="1646" w:type="dxa"/>
            <w:hideMark/>
          </w:tcPr>
          <w:p w14:paraId="542431FD"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9</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14</w:t>
            </w:r>
          </w:p>
        </w:tc>
      </w:tr>
      <w:tr w:rsidR="0028162F" w:rsidRPr="003E73E3" w14:paraId="37819004" w14:textId="77777777" w:rsidTr="000A215B">
        <w:tc>
          <w:tcPr>
            <w:tcW w:w="4815" w:type="dxa"/>
            <w:hideMark/>
          </w:tcPr>
          <w:p w14:paraId="5D8E42A3"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Martínez-Rodas et al. (2020)</w:t>
            </w:r>
          </w:p>
        </w:tc>
        <w:tc>
          <w:tcPr>
            <w:tcW w:w="709" w:type="dxa"/>
            <w:hideMark/>
          </w:tcPr>
          <w:p w14:paraId="359F4194"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143/155</w:t>
            </w:r>
          </w:p>
        </w:tc>
        <w:tc>
          <w:tcPr>
            <w:tcW w:w="1417" w:type="dxa"/>
            <w:hideMark/>
          </w:tcPr>
          <w:p w14:paraId="39A3A6D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92</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3%</w:t>
            </w:r>
          </w:p>
        </w:tc>
        <w:tc>
          <w:tcPr>
            <w:tcW w:w="1245" w:type="dxa"/>
            <w:hideMark/>
          </w:tcPr>
          <w:p w14:paraId="5644DC1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87</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0–95</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5</w:t>
            </w:r>
          </w:p>
        </w:tc>
        <w:tc>
          <w:tcPr>
            <w:tcW w:w="759" w:type="dxa"/>
            <w:hideMark/>
          </w:tcPr>
          <w:p w14:paraId="2ABCA24B"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21AAF0B6"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35E14B50"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12</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47</w:t>
            </w:r>
          </w:p>
        </w:tc>
        <w:tc>
          <w:tcPr>
            <w:tcW w:w="1646" w:type="dxa"/>
            <w:hideMark/>
          </w:tcPr>
          <w:p w14:paraId="1F1303B2"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15</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46</w:t>
            </w:r>
          </w:p>
        </w:tc>
      </w:tr>
      <w:tr w:rsidR="0028162F" w:rsidRPr="003E73E3" w14:paraId="18E63966" w14:textId="77777777" w:rsidTr="000A215B">
        <w:tc>
          <w:tcPr>
            <w:tcW w:w="4815" w:type="dxa"/>
            <w:hideMark/>
          </w:tcPr>
          <w:p w14:paraId="007EC6D1"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Chérrez Ramos y Arévalo Villanueva (2021)</w:t>
            </w:r>
          </w:p>
        </w:tc>
        <w:tc>
          <w:tcPr>
            <w:tcW w:w="709" w:type="dxa"/>
            <w:hideMark/>
          </w:tcPr>
          <w:p w14:paraId="1A9DFFD8"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4/14</w:t>
            </w:r>
          </w:p>
        </w:tc>
        <w:tc>
          <w:tcPr>
            <w:tcW w:w="1417" w:type="dxa"/>
            <w:hideMark/>
          </w:tcPr>
          <w:p w14:paraId="3A6CB2A0"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28</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6%</w:t>
            </w:r>
          </w:p>
        </w:tc>
        <w:tc>
          <w:tcPr>
            <w:tcW w:w="1245" w:type="dxa"/>
            <w:hideMark/>
          </w:tcPr>
          <w:p w14:paraId="770D6918"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11</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7–54</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6</w:t>
            </w:r>
          </w:p>
        </w:tc>
        <w:tc>
          <w:tcPr>
            <w:tcW w:w="759" w:type="dxa"/>
            <w:hideMark/>
          </w:tcPr>
          <w:p w14:paraId="5885B275"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1C1C0C58"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7B125DA3"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3</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22</w:t>
            </w:r>
          </w:p>
        </w:tc>
        <w:tc>
          <w:tcPr>
            <w:tcW w:w="1646" w:type="dxa"/>
            <w:hideMark/>
          </w:tcPr>
          <w:p w14:paraId="0A9F35F9"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12</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94</w:t>
            </w:r>
          </w:p>
        </w:tc>
      </w:tr>
      <w:tr w:rsidR="0028162F" w:rsidRPr="003E73E3" w14:paraId="5F82903E" w14:textId="77777777" w:rsidTr="000A215B">
        <w:tc>
          <w:tcPr>
            <w:tcW w:w="4815" w:type="dxa"/>
            <w:hideMark/>
          </w:tcPr>
          <w:p w14:paraId="5334AA69"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Rueda Espinel (2022)</w:t>
            </w:r>
          </w:p>
        </w:tc>
        <w:tc>
          <w:tcPr>
            <w:tcW w:w="709" w:type="dxa"/>
            <w:hideMark/>
          </w:tcPr>
          <w:p w14:paraId="267A6C5E"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116/157</w:t>
            </w:r>
          </w:p>
        </w:tc>
        <w:tc>
          <w:tcPr>
            <w:tcW w:w="1417" w:type="dxa"/>
            <w:hideMark/>
          </w:tcPr>
          <w:p w14:paraId="419C0D0B"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73</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9%</w:t>
            </w:r>
          </w:p>
        </w:tc>
        <w:tc>
          <w:tcPr>
            <w:tcW w:w="1245" w:type="dxa"/>
            <w:hideMark/>
          </w:tcPr>
          <w:p w14:paraId="1AAD2FFF"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66</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5–80</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1</w:t>
            </w:r>
          </w:p>
        </w:tc>
        <w:tc>
          <w:tcPr>
            <w:tcW w:w="759" w:type="dxa"/>
            <w:hideMark/>
          </w:tcPr>
          <w:p w14:paraId="01170AAE"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6C015BCC"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0B2B8FDC"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34</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13</w:t>
            </w:r>
          </w:p>
        </w:tc>
        <w:tc>
          <w:tcPr>
            <w:tcW w:w="1646" w:type="dxa"/>
            <w:hideMark/>
          </w:tcPr>
          <w:p w14:paraId="213A9569"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16</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16</w:t>
            </w:r>
          </w:p>
        </w:tc>
      </w:tr>
      <w:tr w:rsidR="0028162F" w:rsidRPr="003E73E3" w14:paraId="38875BF0" w14:textId="77777777" w:rsidTr="000A215B">
        <w:tc>
          <w:tcPr>
            <w:tcW w:w="4815" w:type="dxa"/>
            <w:hideMark/>
          </w:tcPr>
          <w:p w14:paraId="2EE49615"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Valles Jáquez (2024)</w:t>
            </w:r>
          </w:p>
        </w:tc>
        <w:tc>
          <w:tcPr>
            <w:tcW w:w="709" w:type="dxa"/>
            <w:hideMark/>
          </w:tcPr>
          <w:p w14:paraId="125E6B43"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44/90</w:t>
            </w:r>
          </w:p>
        </w:tc>
        <w:tc>
          <w:tcPr>
            <w:tcW w:w="1417" w:type="dxa"/>
            <w:hideMark/>
          </w:tcPr>
          <w:p w14:paraId="4B45B5B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48</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9%</w:t>
            </w:r>
          </w:p>
        </w:tc>
        <w:tc>
          <w:tcPr>
            <w:tcW w:w="1245" w:type="dxa"/>
            <w:hideMark/>
          </w:tcPr>
          <w:p w14:paraId="4C5824A9"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38</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8–59</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0</w:t>
            </w:r>
          </w:p>
        </w:tc>
        <w:tc>
          <w:tcPr>
            <w:tcW w:w="759" w:type="dxa"/>
            <w:hideMark/>
          </w:tcPr>
          <w:p w14:paraId="6C834DAB" w14:textId="77777777" w:rsidR="0028162F" w:rsidRPr="003E73E3" w:rsidRDefault="0028162F" w:rsidP="000A215B">
            <w:pPr>
              <w:jc w:val="center"/>
              <w:rPr>
                <w:rFonts w:ascii="Times New Roman" w:eastAsia="Times New Roman" w:hAnsi="Times New Roman" w:cs="Times New Roman"/>
                <w:lang w:eastAsia="es-ES"/>
              </w:rPr>
            </w:pPr>
          </w:p>
        </w:tc>
        <w:tc>
          <w:tcPr>
            <w:tcW w:w="893" w:type="dxa"/>
            <w:hideMark/>
          </w:tcPr>
          <w:p w14:paraId="04479701" w14:textId="77777777" w:rsidR="0028162F" w:rsidRPr="003E73E3" w:rsidRDefault="0028162F" w:rsidP="000A215B">
            <w:pPr>
              <w:jc w:val="center"/>
              <w:rPr>
                <w:rFonts w:ascii="Times New Roman" w:eastAsia="Times New Roman" w:hAnsi="Times New Roman" w:cs="Times New Roman"/>
                <w:sz w:val="20"/>
                <w:szCs w:val="20"/>
                <w:lang w:eastAsia="es-ES"/>
              </w:rPr>
            </w:pPr>
          </w:p>
        </w:tc>
        <w:tc>
          <w:tcPr>
            <w:tcW w:w="1510" w:type="dxa"/>
            <w:hideMark/>
          </w:tcPr>
          <w:p w14:paraId="4978BAD5"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25</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34</w:t>
            </w:r>
          </w:p>
        </w:tc>
        <w:tc>
          <w:tcPr>
            <w:tcW w:w="1646" w:type="dxa"/>
            <w:hideMark/>
          </w:tcPr>
          <w:p w14:paraId="37A4636F"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lang w:eastAsia="es-ES"/>
              </w:rPr>
              <w:t>16</w:t>
            </w:r>
            <w:r>
              <w:rPr>
                <w:rFonts w:ascii="Times New Roman" w:eastAsia="Times New Roman" w:hAnsi="Times New Roman" w:cs="Times New Roman"/>
                <w:lang w:eastAsia="es-ES"/>
              </w:rPr>
              <w:t>.</w:t>
            </w:r>
            <w:r w:rsidRPr="003E73E3">
              <w:rPr>
                <w:rFonts w:ascii="Times New Roman" w:eastAsia="Times New Roman" w:hAnsi="Times New Roman" w:cs="Times New Roman"/>
                <w:lang w:eastAsia="es-ES"/>
              </w:rPr>
              <w:t>01</w:t>
            </w:r>
          </w:p>
        </w:tc>
      </w:tr>
      <w:tr w:rsidR="0028162F" w:rsidRPr="003E73E3" w14:paraId="73D9D482" w14:textId="77777777" w:rsidTr="000A215B">
        <w:tc>
          <w:tcPr>
            <w:tcW w:w="4815" w:type="dxa"/>
            <w:hideMark/>
          </w:tcPr>
          <w:p w14:paraId="3BDECC05"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Total, efecto fijo</w:t>
            </w:r>
          </w:p>
        </w:tc>
        <w:tc>
          <w:tcPr>
            <w:tcW w:w="709" w:type="dxa"/>
            <w:hideMark/>
          </w:tcPr>
          <w:p w14:paraId="6D45C0BE"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563/698</w:t>
            </w:r>
          </w:p>
        </w:tc>
        <w:tc>
          <w:tcPr>
            <w:tcW w:w="1417" w:type="dxa"/>
            <w:hideMark/>
          </w:tcPr>
          <w:p w14:paraId="28002C9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75</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1%</w:t>
            </w:r>
          </w:p>
        </w:tc>
        <w:tc>
          <w:tcPr>
            <w:tcW w:w="1245" w:type="dxa"/>
            <w:hideMark/>
          </w:tcPr>
          <w:p w14:paraId="29BA6DC0"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71</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0–78</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8</w:t>
            </w:r>
          </w:p>
        </w:tc>
        <w:tc>
          <w:tcPr>
            <w:tcW w:w="759" w:type="dxa"/>
            <w:hideMark/>
          </w:tcPr>
          <w:p w14:paraId="701125A1"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10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38</w:t>
            </w:r>
          </w:p>
        </w:tc>
        <w:tc>
          <w:tcPr>
            <w:tcW w:w="893" w:type="dxa"/>
            <w:hideMark/>
          </w:tcPr>
          <w:p w14:paraId="5CDD8B3F"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&lt;0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001</w:t>
            </w:r>
          </w:p>
        </w:tc>
        <w:tc>
          <w:tcPr>
            <w:tcW w:w="1510" w:type="dxa"/>
            <w:hideMark/>
          </w:tcPr>
          <w:p w14:paraId="3A33D02C"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100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w:t>
            </w:r>
          </w:p>
        </w:tc>
        <w:tc>
          <w:tcPr>
            <w:tcW w:w="1646" w:type="dxa"/>
            <w:hideMark/>
          </w:tcPr>
          <w:p w14:paraId="70C5EB1E"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100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w:t>
            </w:r>
          </w:p>
        </w:tc>
      </w:tr>
      <w:tr w:rsidR="0028162F" w:rsidRPr="003E73E3" w14:paraId="79838D3C" w14:textId="77777777" w:rsidTr="000A215B">
        <w:tc>
          <w:tcPr>
            <w:tcW w:w="4815" w:type="dxa"/>
            <w:hideMark/>
          </w:tcPr>
          <w:p w14:paraId="06BA6DC0" w14:textId="77777777" w:rsidR="0028162F" w:rsidRPr="003E73E3" w:rsidRDefault="0028162F" w:rsidP="000A215B">
            <w:pP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Total, efecto aleatorio</w:t>
            </w:r>
          </w:p>
        </w:tc>
        <w:tc>
          <w:tcPr>
            <w:tcW w:w="709" w:type="dxa"/>
            <w:hideMark/>
          </w:tcPr>
          <w:p w14:paraId="39110F3B"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563/698</w:t>
            </w:r>
          </w:p>
        </w:tc>
        <w:tc>
          <w:tcPr>
            <w:tcW w:w="1417" w:type="dxa"/>
            <w:hideMark/>
          </w:tcPr>
          <w:p w14:paraId="5E8211E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81</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1%</w:t>
            </w:r>
          </w:p>
        </w:tc>
        <w:tc>
          <w:tcPr>
            <w:tcW w:w="1245" w:type="dxa"/>
            <w:hideMark/>
          </w:tcPr>
          <w:p w14:paraId="3EF622C9"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63</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8–91</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3</w:t>
            </w:r>
          </w:p>
        </w:tc>
        <w:tc>
          <w:tcPr>
            <w:tcW w:w="759" w:type="dxa"/>
            <w:hideMark/>
          </w:tcPr>
          <w:p w14:paraId="03A15EA0"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3</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21</w:t>
            </w:r>
          </w:p>
        </w:tc>
        <w:tc>
          <w:tcPr>
            <w:tcW w:w="893" w:type="dxa"/>
            <w:hideMark/>
          </w:tcPr>
          <w:p w14:paraId="60B7DF4A"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001</w:t>
            </w:r>
          </w:p>
        </w:tc>
        <w:tc>
          <w:tcPr>
            <w:tcW w:w="1510" w:type="dxa"/>
            <w:hideMark/>
          </w:tcPr>
          <w:p w14:paraId="08FDF872"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100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w:t>
            </w:r>
          </w:p>
        </w:tc>
        <w:tc>
          <w:tcPr>
            <w:tcW w:w="1646" w:type="dxa"/>
            <w:hideMark/>
          </w:tcPr>
          <w:p w14:paraId="1230E9BC" w14:textId="77777777" w:rsidR="0028162F" w:rsidRPr="003E73E3" w:rsidRDefault="0028162F" w:rsidP="000A215B">
            <w:pPr>
              <w:jc w:val="center"/>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100</w:t>
            </w:r>
            <w:r>
              <w:rPr>
                <w:rFonts w:ascii="Times New Roman" w:eastAsia="Times New Roman" w:hAnsi="Times New Roman" w:cs="Times New Roman"/>
                <w:b/>
                <w:bCs/>
                <w:lang w:eastAsia="es-ES"/>
              </w:rPr>
              <w:t>.</w:t>
            </w:r>
            <w:r w:rsidRPr="003E73E3">
              <w:rPr>
                <w:rFonts w:ascii="Times New Roman" w:eastAsia="Times New Roman" w:hAnsi="Times New Roman" w:cs="Times New Roman"/>
                <w:b/>
                <w:bCs/>
                <w:lang w:eastAsia="es-ES"/>
              </w:rPr>
              <w:t>0</w:t>
            </w:r>
          </w:p>
        </w:tc>
      </w:tr>
    </w:tbl>
    <w:p w14:paraId="46CE42FD" w14:textId="0B0D56F5" w:rsidR="0028162F" w:rsidRPr="003E73E3" w:rsidRDefault="0028162F" w:rsidP="0028162F">
      <w:pPr>
        <w:spacing w:before="100" w:beforeAutospacing="1" w:after="100" w:afterAutospacing="1" w:line="240" w:lineRule="auto"/>
        <w:rPr>
          <w:rFonts w:ascii="Times New Roman" w:eastAsia="Times New Roman" w:hAnsi="Times New Roman" w:cs="Times New Roman"/>
          <w:lang w:eastAsia="es-ES"/>
        </w:rPr>
      </w:pPr>
      <w:r w:rsidRPr="003E73E3">
        <w:rPr>
          <w:rFonts w:ascii="Times New Roman" w:eastAsia="Times New Roman" w:hAnsi="Times New Roman" w:cs="Times New Roman"/>
          <w:b/>
          <w:bCs/>
          <w:lang w:eastAsia="es-ES"/>
        </w:rPr>
        <w:t>Nota.</w:t>
      </w:r>
      <w:r w:rsidRPr="003E73E3">
        <w:rPr>
          <w:rFonts w:ascii="Times New Roman" w:eastAsia="Times New Roman" w:hAnsi="Times New Roman" w:cs="Times New Roman"/>
          <w:lang w:eastAsia="es-ES"/>
        </w:rPr>
        <w:t xml:space="preserve"> Se observó heterogeneidad estadísticamente significativa en el análisis combinado: Q = 90,92; gl = 6; p &lt; 0,001; I² = 93,4%; τ² = 1,245. Debido al alto grado de inconsistencia, la proporción combinada debe interpretarse con cautela y el modelo de efectos aleatorios debe considerarse la estimación principal. </w:t>
      </w:r>
    </w:p>
    <w:p w14:paraId="7D0BCB1E" w14:textId="77777777" w:rsidR="00926577" w:rsidRPr="00926577" w:rsidRDefault="00926577" w:rsidP="00926577">
      <w:pPr>
        <w:spacing w:after="0" w:line="240" w:lineRule="auto"/>
        <w:rPr>
          <w:rFonts w:eastAsia="Times New Roman" w:cs="Arial"/>
          <w:sz w:val="20"/>
          <w:szCs w:val="18"/>
          <w:lang w:eastAsia="es-ES"/>
        </w:rPr>
      </w:pPr>
      <w:r w:rsidRPr="00926577">
        <w:rPr>
          <w:rFonts w:eastAsia="Times New Roman" w:cs="Arial"/>
          <w:sz w:val="20"/>
          <w:szCs w:val="18"/>
          <w:lang w:eastAsia="es-ES"/>
        </w:rPr>
        <w:t>Fuente: Elaboración propia</w:t>
      </w:r>
    </w:p>
    <w:p w14:paraId="71ECB80D" w14:textId="08A27EF2" w:rsidR="00926577" w:rsidRDefault="00926577" w:rsidP="0028162F">
      <w:pPr>
        <w:sectPr w:rsidR="00926577" w:rsidSect="000A215B">
          <w:pgSz w:w="15840" w:h="12240" w:orient="landscape"/>
          <w:pgMar w:top="1701" w:right="1418" w:bottom="1701" w:left="1418" w:header="709" w:footer="709" w:gutter="0"/>
          <w:cols w:space="708"/>
          <w:docGrid w:linePitch="360"/>
        </w:sectPr>
      </w:pPr>
    </w:p>
    <w:p w14:paraId="6EA8E0AE" w14:textId="77777777" w:rsidR="0028162F" w:rsidRDefault="0028162F" w:rsidP="0028162F">
      <w:r>
        <w:rPr>
          <w:noProof/>
          <w:lang w:val="es-NI" w:eastAsia="es-NI"/>
        </w:rPr>
        <w:lastRenderedPageBreak/>
        <w:drawing>
          <wp:inline distT="0" distB="0" distL="0" distR="0" wp14:anchorId="48BE43E2" wp14:editId="463F2053">
            <wp:extent cx="5612130" cy="701294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5">
                      <a:extLst>
                        <a:ext uri="{28A0092B-C50C-407E-A947-70E740481C1C}">
                          <a14:useLocalDpi xmlns:a14="http://schemas.microsoft.com/office/drawing/2010/main" val="0"/>
                        </a:ext>
                      </a:extLst>
                    </a:blip>
                    <a:stretch>
                      <a:fillRect/>
                    </a:stretch>
                  </pic:blipFill>
                  <pic:spPr>
                    <a:xfrm>
                      <a:off x="0" y="0"/>
                      <a:ext cx="5612130" cy="7012940"/>
                    </a:xfrm>
                    <a:prstGeom prst="rect">
                      <a:avLst/>
                    </a:prstGeom>
                  </pic:spPr>
                </pic:pic>
              </a:graphicData>
            </a:graphic>
          </wp:inline>
        </w:drawing>
      </w:r>
    </w:p>
    <w:p w14:paraId="5FC05C2F" w14:textId="67BD8060" w:rsidR="0028162F" w:rsidRDefault="001E57DF" w:rsidP="001E57DF">
      <w:pPr>
        <w:pStyle w:val="Descripcin"/>
      </w:pPr>
      <w:bookmarkStart w:id="58" w:name="_Toc232987046"/>
      <w:r w:rsidRPr="001E57DF">
        <w:rPr>
          <w:b/>
          <w:bCs/>
        </w:rPr>
        <w:t xml:space="preserve">Figura </w:t>
      </w:r>
      <w:r w:rsidRPr="001E57DF">
        <w:rPr>
          <w:b/>
          <w:bCs/>
        </w:rPr>
        <w:fldChar w:fldCharType="begin"/>
      </w:r>
      <w:r w:rsidRPr="001E57DF">
        <w:rPr>
          <w:b/>
          <w:bCs/>
        </w:rPr>
        <w:instrText xml:space="preserve"> SEQ Figura \* ARABIC </w:instrText>
      </w:r>
      <w:r w:rsidRPr="001E57DF">
        <w:rPr>
          <w:b/>
          <w:bCs/>
        </w:rPr>
        <w:fldChar w:fldCharType="separate"/>
      </w:r>
      <w:r>
        <w:rPr>
          <w:b/>
          <w:bCs/>
          <w:noProof/>
        </w:rPr>
        <w:t>3</w:t>
      </w:r>
      <w:r w:rsidRPr="001E57DF">
        <w:rPr>
          <w:b/>
          <w:bCs/>
        </w:rPr>
        <w:fldChar w:fldCharType="end"/>
      </w:r>
      <w:r>
        <w:t>. Gráfico de Forrest del m</w:t>
      </w:r>
      <w:r w:rsidRPr="001E57DF">
        <w:t xml:space="preserve">etaanálisis </w:t>
      </w:r>
      <w:r>
        <w:t xml:space="preserve">según tipo de estudio y metanálisis </w:t>
      </w:r>
      <w:r w:rsidRPr="001E57DF">
        <w:t xml:space="preserve">combinado de </w:t>
      </w:r>
      <w:r>
        <w:t xml:space="preserve">la </w:t>
      </w:r>
      <w:r w:rsidRPr="001E57DF">
        <w:t>proporción de éxito del manejo con misoprostol</w:t>
      </w:r>
      <w:r>
        <w:t>, incluidos en la revision sistemática</w:t>
      </w:r>
      <w:bookmarkEnd w:id="58"/>
      <w:r>
        <w:t xml:space="preserve"> </w:t>
      </w:r>
    </w:p>
    <w:p w14:paraId="6BF2DCB5" w14:textId="5F09F2EE" w:rsidR="00FE22BB" w:rsidRDefault="00FE22BB" w:rsidP="00FE22BB"/>
    <w:p w14:paraId="0DD2FEA5" w14:textId="0919A111" w:rsidR="00FA1D99" w:rsidRDefault="00FA1D99" w:rsidP="00FA1D99">
      <w:pPr>
        <w:pStyle w:val="Ttulo3"/>
      </w:pPr>
      <w:bookmarkStart w:id="59" w:name="_Toc232987014"/>
      <w:r>
        <w:lastRenderedPageBreak/>
        <w:t>Evaluación del sesgo de publicación</w:t>
      </w:r>
      <w:r w:rsidR="00D34F29">
        <w:t xml:space="preserve"> de estudios incluidos en el metanálisis</w:t>
      </w:r>
      <w:bookmarkEnd w:id="59"/>
      <w:r w:rsidR="00D34F29">
        <w:t xml:space="preserve"> </w:t>
      </w:r>
    </w:p>
    <w:p w14:paraId="29D34D5F" w14:textId="77777777" w:rsidR="00FA1D99" w:rsidRDefault="00FA1D99" w:rsidP="00FA1D99">
      <w:r>
        <w:t>La posible presencia de sesgo de publicación se evaluó mediante inspección visual de gráficos de embudo y mediante las pruebas estadísticas de Egger y Begg. Los gráficos se elaboraron de forma separada para los artículos publicados y las tesis incluidas, así como para el análisis combinado de los siete estudios.</w:t>
      </w:r>
    </w:p>
    <w:p w14:paraId="3E8EF410" w14:textId="77777777" w:rsidR="00FA1D99" w:rsidRDefault="00FA1D99" w:rsidP="00FA1D99">
      <w:r>
        <w:t>En los artículos publicados, el gráfico de embudo mostró una distribución ligeramente asimétrica. Sin embargo, la prueba de Egger no mostró evidencia estadísticamente significativa de asimetría (p = 0,148), ni la prueba de Begg (p = 0,083). Por tanto, en este grupo no se identificó evidencia concluyente de sesgo de publicación.</w:t>
      </w:r>
    </w:p>
    <w:p w14:paraId="67FB08DF" w14:textId="77777777" w:rsidR="00FA1D99" w:rsidRDefault="00FA1D99" w:rsidP="00FA1D99">
      <w:r>
        <w:t>En las tesis incluidas, el gráfico de embudo mostró una distribución visualmente asimétrica, influida principalmente por la posición del estudio de Chérrez Ramos y Arévalo Villanueva (2021), que presentó menor proporción de éxito y mayor error estándar. No obstante, las pruebas de Egger (p = 0,093) y Begg (p = 0,117) no mostraron significancia estadística, por lo que no se identificó evidencia concluyente de sesgo de publicación.</w:t>
      </w:r>
    </w:p>
    <w:p w14:paraId="4DA1D000" w14:textId="77777777" w:rsidR="00FA1D99" w:rsidRDefault="00FA1D99" w:rsidP="00FA1D99">
      <w:r>
        <w:t>En el análisis combinado de artículos y tesis, el gráfico de embudo mostró asimetría en la distribución de los estudios. La prueba de Egger fue estadísticamente significativa (p = 0,0467) y la prueba de Begg mostró un resultado limítrofe (p = 0,0500). En conjunto, estos hallazgos sugieren posible presencia de sesgo de publicación o de otros factores asociados con la asimetría observada entre los estudios incluidos.</w:t>
      </w:r>
    </w:p>
    <w:p w14:paraId="1BB972F3" w14:textId="71E96BEE" w:rsidR="00FE22BB" w:rsidRDefault="00FA1D99" w:rsidP="00FA1D99">
      <w:r>
        <w:t>En consecuencia, los resultados de esta evaluación se interpretaron de forma complementaria a la heterogeneidad observada entre los estudios. La ausencia de sesgo de publicación no puede descartarse por completo, dado que la asimetría identificada en el análisis combinado podría reflejar tanto diferencias en la difusión de los estudios como variaciones clínicas y metodológicas entre las investigaciones incluidas. Las Figuras 4 y 5 presentan los gráficos de embudo y los resultados de las pruebas estadísticas correspondientes.</w:t>
      </w:r>
    </w:p>
    <w:p w14:paraId="0EBC00A0" w14:textId="77777777" w:rsidR="0028162F" w:rsidRDefault="0028162F" w:rsidP="0028162F">
      <w:r>
        <w:rPr>
          <w:noProof/>
          <w:lang w:val="es-NI" w:eastAsia="es-NI"/>
        </w:rPr>
        <w:lastRenderedPageBreak/>
        <w:drawing>
          <wp:inline distT="0" distB="0" distL="0" distR="0" wp14:anchorId="12E07D6D" wp14:editId="493885EE">
            <wp:extent cx="5612130" cy="701294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6">
                      <a:extLst>
                        <a:ext uri="{28A0092B-C50C-407E-A947-70E740481C1C}">
                          <a14:useLocalDpi xmlns:a14="http://schemas.microsoft.com/office/drawing/2010/main" val="0"/>
                        </a:ext>
                      </a:extLst>
                    </a:blip>
                    <a:stretch>
                      <a:fillRect/>
                    </a:stretch>
                  </pic:blipFill>
                  <pic:spPr>
                    <a:xfrm>
                      <a:off x="0" y="0"/>
                      <a:ext cx="5612130" cy="7012940"/>
                    </a:xfrm>
                    <a:prstGeom prst="rect">
                      <a:avLst/>
                    </a:prstGeom>
                  </pic:spPr>
                </pic:pic>
              </a:graphicData>
            </a:graphic>
          </wp:inline>
        </w:drawing>
      </w:r>
    </w:p>
    <w:p w14:paraId="2BA307E5" w14:textId="39A9E7D8" w:rsidR="001E57DF" w:rsidRDefault="001E57DF" w:rsidP="001E57DF">
      <w:pPr>
        <w:pStyle w:val="Descripcin"/>
      </w:pPr>
      <w:bookmarkStart w:id="60" w:name="_Toc232987047"/>
      <w:r w:rsidRPr="001E57DF">
        <w:rPr>
          <w:b/>
          <w:bCs/>
        </w:rPr>
        <w:t xml:space="preserve">Figura </w:t>
      </w:r>
      <w:r w:rsidRPr="001E57DF">
        <w:rPr>
          <w:b/>
          <w:bCs/>
        </w:rPr>
        <w:fldChar w:fldCharType="begin"/>
      </w:r>
      <w:r w:rsidRPr="001E57DF">
        <w:rPr>
          <w:b/>
          <w:bCs/>
        </w:rPr>
        <w:instrText xml:space="preserve"> SEQ Figura \* ARABIC </w:instrText>
      </w:r>
      <w:r w:rsidRPr="001E57DF">
        <w:rPr>
          <w:b/>
          <w:bCs/>
        </w:rPr>
        <w:fldChar w:fldCharType="separate"/>
      </w:r>
      <w:r>
        <w:rPr>
          <w:b/>
          <w:bCs/>
          <w:noProof/>
        </w:rPr>
        <w:t>4</w:t>
      </w:r>
      <w:r w:rsidRPr="001E57DF">
        <w:rPr>
          <w:b/>
          <w:bCs/>
        </w:rPr>
        <w:fldChar w:fldCharType="end"/>
      </w:r>
      <w:r w:rsidRPr="001E57DF">
        <w:rPr>
          <w:b/>
          <w:bCs/>
        </w:rPr>
        <w:t>.</w:t>
      </w:r>
      <w:r>
        <w:t xml:space="preserve"> Gráfico de embudo y pruebas estadísticas para análisis de la probabilidad de presencia de sesgo de publicación según tipo de publicación (artículo vs tesis) incluidos en la revision sistemática</w:t>
      </w:r>
      <w:bookmarkEnd w:id="60"/>
      <w:r>
        <w:t xml:space="preserve"> </w:t>
      </w:r>
    </w:p>
    <w:p w14:paraId="5D70B518" w14:textId="2872A852" w:rsidR="0028162F" w:rsidRDefault="0028162F" w:rsidP="001E57DF"/>
    <w:p w14:paraId="47E031AF" w14:textId="77777777" w:rsidR="0028162F" w:rsidRDefault="0028162F" w:rsidP="0023449D">
      <w:pPr>
        <w:spacing w:after="0"/>
        <w:jc w:val="center"/>
      </w:pPr>
      <w:r>
        <w:rPr>
          <w:noProof/>
          <w:lang w:val="es-NI" w:eastAsia="es-NI"/>
        </w:rPr>
        <w:lastRenderedPageBreak/>
        <w:drawing>
          <wp:inline distT="0" distB="0" distL="0" distR="0" wp14:anchorId="1876D24E" wp14:editId="29756CF1">
            <wp:extent cx="5231159" cy="3923665"/>
            <wp:effectExtent l="0" t="0" r="762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31287" cy="3923761"/>
                    </a:xfrm>
                    <a:prstGeom prst="rect">
                      <a:avLst/>
                    </a:prstGeom>
                  </pic:spPr>
                </pic:pic>
              </a:graphicData>
            </a:graphic>
          </wp:inline>
        </w:drawing>
      </w:r>
    </w:p>
    <w:p w14:paraId="0C99499C" w14:textId="62E1975A" w:rsidR="001E57DF" w:rsidRDefault="001E57DF" w:rsidP="001E57DF">
      <w:pPr>
        <w:pStyle w:val="Descripcin"/>
      </w:pPr>
      <w:bookmarkStart w:id="61" w:name="_Toc232987048"/>
      <w:r w:rsidRPr="001E57DF">
        <w:rPr>
          <w:b/>
          <w:bCs/>
        </w:rPr>
        <w:t xml:space="preserve">Figura </w:t>
      </w:r>
      <w:r w:rsidRPr="001E57DF">
        <w:rPr>
          <w:b/>
          <w:bCs/>
        </w:rPr>
        <w:fldChar w:fldCharType="begin"/>
      </w:r>
      <w:r w:rsidRPr="001E57DF">
        <w:rPr>
          <w:b/>
          <w:bCs/>
        </w:rPr>
        <w:instrText xml:space="preserve"> SEQ Figura \* ARABIC </w:instrText>
      </w:r>
      <w:r w:rsidRPr="001E57DF">
        <w:rPr>
          <w:b/>
          <w:bCs/>
        </w:rPr>
        <w:fldChar w:fldCharType="separate"/>
      </w:r>
      <w:r w:rsidRPr="001E57DF">
        <w:rPr>
          <w:b/>
          <w:bCs/>
          <w:noProof/>
        </w:rPr>
        <w:t>5</w:t>
      </w:r>
      <w:r w:rsidRPr="001E57DF">
        <w:rPr>
          <w:b/>
          <w:bCs/>
        </w:rPr>
        <w:fldChar w:fldCharType="end"/>
      </w:r>
      <w:r w:rsidRPr="001E57DF">
        <w:rPr>
          <w:b/>
          <w:bCs/>
        </w:rPr>
        <w:t>.</w:t>
      </w:r>
      <w:r>
        <w:t xml:space="preserve"> Gráfico de embudo y pruebas estadísticas para análisis de la probabilidad de presencia de sesgo de publicación de forma combinada (artículo y tesis) incluidos en la revision sistemática</w:t>
      </w:r>
      <w:bookmarkEnd w:id="61"/>
      <w:r>
        <w:t xml:space="preserve"> </w:t>
      </w:r>
    </w:p>
    <w:p w14:paraId="7EDEE9DA" w14:textId="77777777" w:rsidR="0028162F" w:rsidRDefault="0028162F" w:rsidP="0023449D">
      <w:pPr>
        <w:spacing w:after="0"/>
      </w:pPr>
    </w:p>
    <w:p w14:paraId="09474BF4" w14:textId="77777777" w:rsidR="0039443A" w:rsidRPr="0039443A" w:rsidRDefault="0039443A" w:rsidP="0039443A">
      <w:pPr>
        <w:pStyle w:val="Ttulo3"/>
        <w:rPr>
          <w:lang w:val="es-NI"/>
        </w:rPr>
      </w:pPr>
      <w:bookmarkStart w:id="62" w:name="_Toc232987015"/>
      <w:r w:rsidRPr="0039443A">
        <w:rPr>
          <w:lang w:val="es-NI"/>
        </w:rPr>
        <w:t>Síntesis comparativa de los resultados frente a otras estrategias de manejo</w:t>
      </w:r>
      <w:bookmarkEnd w:id="62"/>
    </w:p>
    <w:p w14:paraId="2CB2A436" w14:textId="77777777" w:rsidR="0039443A" w:rsidRPr="0039443A" w:rsidRDefault="0039443A" w:rsidP="0039443A">
      <w:pPr>
        <w:rPr>
          <w:lang w:val="es-NI"/>
        </w:rPr>
      </w:pPr>
      <w:r w:rsidRPr="0039443A">
        <w:rPr>
          <w:lang w:val="es-NI"/>
        </w:rPr>
        <w:t>Inicialmente, se planificó realizar un metaanálisis de eficacia comparativa del misoprostol frente a otras estrategias de manejo, principalmente aspiración manual endouterina, legrado uterino instrumental, manejo quirúrgico y manejo expectante. Sin embargo, este análisis no fue posible porque la mayoría de los estudios no incluyó un grupo comparador terapéutico y varios de los que sí lo incluyeron no reportaron de forma suficiente los eventos y denominadores por grupo para calcular medidas homogéneas de efecto. Además, existieron diferencias importantes en los diagnósticos, esquemas de misoprostol, períodos de seguimiento, criterios de éxito y selección clínica de las pacientes para cada modalidad de manejo.</w:t>
      </w:r>
    </w:p>
    <w:p w14:paraId="0DD046BC" w14:textId="60366075" w:rsidR="0028162F" w:rsidRDefault="0039443A" w:rsidP="0039443A">
      <w:pPr>
        <w:rPr>
          <w:lang w:val="es-NI"/>
        </w:rPr>
      </w:pPr>
      <w:r w:rsidRPr="0039443A">
        <w:rPr>
          <w:lang w:val="es-NI"/>
        </w:rPr>
        <w:t xml:space="preserve">De forma narrativa, los estudios con comparación directa mostraron una mayor proporción de éxito con los procedimientos quirúrgicos, aunque el misoprostol </w:t>
      </w:r>
      <w:r w:rsidRPr="0039443A">
        <w:rPr>
          <w:lang w:val="es-NI"/>
        </w:rPr>
        <w:lastRenderedPageBreak/>
        <w:t>presentó resultados clínicos favorables en varios contextos. En Montesinos et al. (2011), la evacuación uterina completa fue de 94,3% con misoprostol oral y de 100% con AMEU. En Chérrez Ramos y Arévalo Villanueva (2021), el éxito fue de 28,6% con misoprostol y 87,0% con legrado uterino instrumental; no obstante, este estudio tuvo una muestra pequeña, diseño retrospectivo y ausencia de asignación aleatoria. Alvarado-Franco et al. (2025) y Valles Jáquez (2024) describieron una mayor necesidad de tratamiento adicional o cirugía posterior entre algunas pacientes tratadas inicialmente con misoprostol, pero no aportaron comparaciones ajustadas frente a las pacientes sometidas a manejo quirúrgico de primera intención. Por tanto, estos hallazgos se presentan como tendencias descriptivas y no como estimaciones definitivas de eficacia relativa.</w:t>
      </w:r>
    </w:p>
    <w:p w14:paraId="34BB3CE9" w14:textId="78AA56B8" w:rsidR="0028162F" w:rsidRDefault="0045369C" w:rsidP="0045369C">
      <w:pPr>
        <w:pStyle w:val="Ttulo2"/>
        <w:jc w:val="both"/>
      </w:pPr>
      <w:bookmarkStart w:id="63" w:name="_Toc232987016"/>
      <w:r>
        <w:rPr>
          <w:lang w:val="es-NI"/>
        </w:rPr>
        <w:t xml:space="preserve">Resultados del objetivo 4. </w:t>
      </w:r>
      <w:r>
        <w:t>Reacciones adversas y complicaciones reportadas en los estudios incluidos sobre manejo con misoprostol</w:t>
      </w:r>
      <w:bookmarkEnd w:id="63"/>
    </w:p>
    <w:p w14:paraId="45352BBD" w14:textId="77777777" w:rsidR="0023449D" w:rsidRDefault="0023449D" w:rsidP="0023449D">
      <w:r>
        <w:t>La Tabla 9 muestra que las reacciones adversas asociadas al misoprostol fueron reportadas de forma variable entre los estudios incluidos. Los efectos más frecuentes correspondieron a dolor abdominal o pélvico, sangrado vaginal, náuseas, vómitos, fiebre y diarrea. Montesinos et al. (2011) informaron dolor abdominal en 63,2%, sangrado abundante en 29,2%, fiebre en 2,8% y escalofríos en 0,9%; además, 95% de las participantes consideró tolerables los efectos experimentados. Sepúlveda Rivera et al. (2019) reportaron sangrado vaginal asociado a dolor pélvico en 72,3% de las pacientes, mientras que Martínez-Rodas et al. (2020) registraron náuseas en 86,45%, vómitos en 36,13%, fiebre en 23,87% y diarrea en 11,61%.</w:t>
      </w:r>
    </w:p>
    <w:p w14:paraId="4004173A" w14:textId="77777777" w:rsidR="0023449D" w:rsidRDefault="0023449D" w:rsidP="0023449D">
      <w:r>
        <w:t>Las complicaciones clínicamente relevantes fueron menos frecuentes y se describieron principalmente como hemorragia que requirió tratamiento adicional. Estrada y Espinal (2015) notificaron un caso de sangrado clínicamente significativo entre 100 pacientes, sin necesidad de transfusión. Sepúlveda Rivera et al. (2019) documentaron un caso de hemorragia vaginal con choque hipovolémico que requirió manejo quirúrgico. Martínez-Rodas et al. (2020) reportaron hemorragia en 2,58% de las participantes.</w:t>
      </w:r>
    </w:p>
    <w:p w14:paraId="39CDCB0D" w14:textId="1581EF63" w:rsidR="0045369C" w:rsidRPr="0045369C" w:rsidRDefault="0023449D" w:rsidP="0023449D">
      <w:r>
        <w:lastRenderedPageBreak/>
        <w:t>En algunos estudios, la información sobre seguridad fue incompleta o no se presentó de forma desagregada. Alvarado-Franco et al. (2025) no reportaron reacciones adversas atribuibles al misoprostol, mientras que Rueda Espinel (2022) y Valles Jáquez (2024) no aportaron datos suficientemente detallados para estimar la frecuencia específica de eventos adversos o complicaciones en las mujeres tratadas con misoprostol.</w:t>
      </w:r>
    </w:p>
    <w:p w14:paraId="6A0A99ED" w14:textId="1892F628" w:rsidR="0045369C" w:rsidRPr="0045369C" w:rsidRDefault="0045369C" w:rsidP="0045369C">
      <w:pPr>
        <w:pStyle w:val="Descripcin"/>
        <w:rPr>
          <w:sz w:val="22"/>
          <w:szCs w:val="22"/>
        </w:rPr>
      </w:pPr>
      <w:bookmarkStart w:id="64" w:name="_Toc232987040"/>
      <w:bookmarkStart w:id="65" w:name="_Hlk232971692"/>
      <w:r w:rsidRPr="009E54D2">
        <w:rPr>
          <w:b/>
          <w:bCs/>
        </w:rPr>
        <w:t xml:space="preserve">Tabla </w:t>
      </w:r>
      <w:r w:rsidRPr="009E54D2">
        <w:rPr>
          <w:b/>
          <w:bCs/>
        </w:rPr>
        <w:fldChar w:fldCharType="begin"/>
      </w:r>
      <w:r w:rsidRPr="009E54D2">
        <w:rPr>
          <w:b/>
          <w:bCs/>
        </w:rPr>
        <w:instrText xml:space="preserve"> SEQ Tabla \* ARABIC </w:instrText>
      </w:r>
      <w:r w:rsidRPr="009E54D2">
        <w:rPr>
          <w:b/>
          <w:bCs/>
        </w:rPr>
        <w:fldChar w:fldCharType="separate"/>
      </w:r>
      <w:r w:rsidRPr="009E54D2">
        <w:rPr>
          <w:b/>
          <w:bCs/>
          <w:noProof/>
        </w:rPr>
        <w:t>9</w:t>
      </w:r>
      <w:r w:rsidRPr="009E54D2">
        <w:rPr>
          <w:b/>
          <w:bCs/>
        </w:rPr>
        <w:fldChar w:fldCharType="end"/>
      </w:r>
      <w:r w:rsidRPr="009E54D2">
        <w:rPr>
          <w:b/>
          <w:bCs/>
        </w:rPr>
        <w:t>.</w:t>
      </w:r>
      <w:r>
        <w:t xml:space="preserve"> </w:t>
      </w:r>
      <w:r w:rsidRPr="0045369C">
        <w:rPr>
          <w:sz w:val="22"/>
          <w:szCs w:val="22"/>
        </w:rPr>
        <w:t>Reacciones adversas y complicaciones reportadas en los estudios incluidos sobre manejo con misoprostol</w:t>
      </w:r>
      <w:bookmarkEnd w:id="64"/>
    </w:p>
    <w:tbl>
      <w:tblPr>
        <w:tblStyle w:val="Tablaconcuadrcula"/>
        <w:tblW w:w="0" w:type="auto"/>
        <w:tblLook w:val="04A0" w:firstRow="1" w:lastRow="0" w:firstColumn="1" w:lastColumn="0" w:noHBand="0" w:noVBand="1"/>
      </w:tblPr>
      <w:tblGrid>
        <w:gridCol w:w="1342"/>
        <w:gridCol w:w="1439"/>
        <w:gridCol w:w="2652"/>
        <w:gridCol w:w="3395"/>
      </w:tblGrid>
      <w:tr w:rsidR="0045369C" w:rsidRPr="0045369C" w14:paraId="47F8B041" w14:textId="77777777" w:rsidTr="0023449D">
        <w:tc>
          <w:tcPr>
            <w:tcW w:w="0" w:type="auto"/>
            <w:shd w:val="clear" w:color="auto" w:fill="F2F2F2" w:themeFill="background1" w:themeFillShade="F2"/>
            <w:hideMark/>
          </w:tcPr>
          <w:bookmarkEnd w:id="65"/>
          <w:p w14:paraId="33C013C2" w14:textId="77777777" w:rsidR="0045369C" w:rsidRPr="0045369C" w:rsidRDefault="0045369C" w:rsidP="0045369C">
            <w:pPr>
              <w:spacing w:line="276" w:lineRule="auto"/>
              <w:rPr>
                <w:b/>
                <w:bCs/>
                <w:sz w:val="22"/>
              </w:rPr>
            </w:pPr>
            <w:r w:rsidRPr="0045369C">
              <w:rPr>
                <w:b/>
                <w:bCs/>
                <w:sz w:val="22"/>
              </w:rPr>
              <w:t>Estudio</w:t>
            </w:r>
          </w:p>
        </w:tc>
        <w:tc>
          <w:tcPr>
            <w:tcW w:w="1220" w:type="dxa"/>
            <w:shd w:val="clear" w:color="auto" w:fill="F2F2F2" w:themeFill="background1" w:themeFillShade="F2"/>
            <w:hideMark/>
          </w:tcPr>
          <w:p w14:paraId="6AC2BA36" w14:textId="77777777" w:rsidR="0045369C" w:rsidRPr="0045369C" w:rsidRDefault="0045369C" w:rsidP="0045369C">
            <w:pPr>
              <w:spacing w:line="276" w:lineRule="auto"/>
              <w:rPr>
                <w:b/>
                <w:bCs/>
                <w:sz w:val="22"/>
              </w:rPr>
            </w:pPr>
            <w:r w:rsidRPr="0045369C">
              <w:rPr>
                <w:b/>
                <w:bCs/>
                <w:sz w:val="22"/>
              </w:rPr>
              <w:t>Tipo de publicación</w:t>
            </w:r>
          </w:p>
        </w:tc>
        <w:tc>
          <w:tcPr>
            <w:tcW w:w="2693" w:type="dxa"/>
            <w:shd w:val="clear" w:color="auto" w:fill="F2F2F2" w:themeFill="background1" w:themeFillShade="F2"/>
            <w:hideMark/>
          </w:tcPr>
          <w:p w14:paraId="4B6EA76C" w14:textId="77777777" w:rsidR="0045369C" w:rsidRPr="0045369C" w:rsidRDefault="0045369C" w:rsidP="0045369C">
            <w:pPr>
              <w:spacing w:line="276" w:lineRule="auto"/>
              <w:rPr>
                <w:b/>
                <w:bCs/>
                <w:sz w:val="22"/>
              </w:rPr>
            </w:pPr>
            <w:r w:rsidRPr="0045369C">
              <w:rPr>
                <w:b/>
                <w:bCs/>
                <w:sz w:val="22"/>
              </w:rPr>
              <w:t>Reacciones adversas reportadas</w:t>
            </w:r>
          </w:p>
        </w:tc>
        <w:tc>
          <w:tcPr>
            <w:tcW w:w="3446" w:type="dxa"/>
            <w:shd w:val="clear" w:color="auto" w:fill="F2F2F2" w:themeFill="background1" w:themeFillShade="F2"/>
            <w:hideMark/>
          </w:tcPr>
          <w:p w14:paraId="6F19B319" w14:textId="77777777" w:rsidR="0045369C" w:rsidRPr="0045369C" w:rsidRDefault="0045369C" w:rsidP="0045369C">
            <w:pPr>
              <w:spacing w:line="276" w:lineRule="auto"/>
              <w:rPr>
                <w:b/>
                <w:bCs/>
                <w:sz w:val="22"/>
              </w:rPr>
            </w:pPr>
            <w:r w:rsidRPr="0045369C">
              <w:rPr>
                <w:b/>
                <w:bCs/>
                <w:sz w:val="22"/>
              </w:rPr>
              <w:t>Complicaciones reportadas</w:t>
            </w:r>
          </w:p>
        </w:tc>
      </w:tr>
      <w:tr w:rsidR="0023449D" w:rsidRPr="0045369C" w14:paraId="60172376" w14:textId="77777777" w:rsidTr="0023449D">
        <w:tc>
          <w:tcPr>
            <w:tcW w:w="0" w:type="auto"/>
            <w:hideMark/>
          </w:tcPr>
          <w:p w14:paraId="2A8E964A" w14:textId="77777777" w:rsidR="0045369C" w:rsidRPr="0045369C" w:rsidRDefault="0045369C" w:rsidP="0045369C">
            <w:pPr>
              <w:spacing w:line="276" w:lineRule="auto"/>
              <w:rPr>
                <w:sz w:val="22"/>
              </w:rPr>
            </w:pPr>
            <w:r w:rsidRPr="0045369C">
              <w:rPr>
                <w:sz w:val="22"/>
              </w:rPr>
              <w:t>Montesinos et al. (2011)</w:t>
            </w:r>
          </w:p>
        </w:tc>
        <w:tc>
          <w:tcPr>
            <w:tcW w:w="1220" w:type="dxa"/>
            <w:hideMark/>
          </w:tcPr>
          <w:p w14:paraId="3B286535" w14:textId="77777777" w:rsidR="0045369C" w:rsidRPr="0045369C" w:rsidRDefault="0045369C" w:rsidP="0045369C">
            <w:pPr>
              <w:spacing w:line="276" w:lineRule="auto"/>
              <w:rPr>
                <w:sz w:val="22"/>
              </w:rPr>
            </w:pPr>
            <w:r w:rsidRPr="0045369C">
              <w:rPr>
                <w:sz w:val="22"/>
              </w:rPr>
              <w:t>Artículo publicado</w:t>
            </w:r>
          </w:p>
        </w:tc>
        <w:tc>
          <w:tcPr>
            <w:tcW w:w="2693" w:type="dxa"/>
            <w:hideMark/>
          </w:tcPr>
          <w:p w14:paraId="17BF714E" w14:textId="77777777" w:rsidR="0045369C" w:rsidRPr="0045369C" w:rsidRDefault="0045369C" w:rsidP="0045369C">
            <w:pPr>
              <w:spacing w:line="276" w:lineRule="auto"/>
              <w:rPr>
                <w:sz w:val="22"/>
              </w:rPr>
            </w:pPr>
            <w:r w:rsidRPr="0045369C">
              <w:rPr>
                <w:sz w:val="22"/>
              </w:rPr>
              <w:t>Sangrado abundante: 29,2%; dolor abdominal: 63,2%; náuseas: 4,7%; vómitos: 1,9%; fiebre: 2,8%; escalofríos: 0,9%; otros efectos, incluidos diarrea, mareo, migraña o disuria: 4,7%. El 95% consideró los efectos tolerables.</w:t>
            </w:r>
          </w:p>
        </w:tc>
        <w:tc>
          <w:tcPr>
            <w:tcW w:w="3446" w:type="dxa"/>
            <w:hideMark/>
          </w:tcPr>
          <w:p w14:paraId="266A8904" w14:textId="77777777" w:rsidR="0045369C" w:rsidRPr="0045369C" w:rsidRDefault="0045369C" w:rsidP="0045369C">
            <w:pPr>
              <w:spacing w:line="276" w:lineRule="auto"/>
              <w:rPr>
                <w:sz w:val="22"/>
              </w:rPr>
            </w:pPr>
            <w:r w:rsidRPr="0045369C">
              <w:rPr>
                <w:sz w:val="22"/>
              </w:rPr>
              <w:t>No se reportaron reconsultas posteriores por sangrado problemático ni infección.</w:t>
            </w:r>
          </w:p>
        </w:tc>
      </w:tr>
      <w:tr w:rsidR="0023449D" w:rsidRPr="0045369C" w14:paraId="7D65E856" w14:textId="77777777" w:rsidTr="0023449D">
        <w:tc>
          <w:tcPr>
            <w:tcW w:w="0" w:type="auto"/>
            <w:hideMark/>
          </w:tcPr>
          <w:p w14:paraId="72B84ADE" w14:textId="77777777" w:rsidR="0045369C" w:rsidRPr="0045369C" w:rsidRDefault="0045369C" w:rsidP="0045369C">
            <w:pPr>
              <w:spacing w:line="276" w:lineRule="auto"/>
              <w:rPr>
                <w:sz w:val="22"/>
              </w:rPr>
            </w:pPr>
            <w:r w:rsidRPr="0045369C">
              <w:rPr>
                <w:sz w:val="22"/>
              </w:rPr>
              <w:t>Estrada y Espinal (2015)</w:t>
            </w:r>
          </w:p>
        </w:tc>
        <w:tc>
          <w:tcPr>
            <w:tcW w:w="1220" w:type="dxa"/>
            <w:hideMark/>
          </w:tcPr>
          <w:p w14:paraId="231D2129" w14:textId="77777777" w:rsidR="0045369C" w:rsidRPr="0045369C" w:rsidRDefault="0045369C" w:rsidP="0045369C">
            <w:pPr>
              <w:spacing w:line="276" w:lineRule="auto"/>
              <w:rPr>
                <w:sz w:val="22"/>
              </w:rPr>
            </w:pPr>
            <w:r w:rsidRPr="0045369C">
              <w:rPr>
                <w:sz w:val="22"/>
              </w:rPr>
              <w:t>Artículo publicado</w:t>
            </w:r>
          </w:p>
        </w:tc>
        <w:tc>
          <w:tcPr>
            <w:tcW w:w="2693" w:type="dxa"/>
            <w:hideMark/>
          </w:tcPr>
          <w:p w14:paraId="2F8DD4C6" w14:textId="77777777" w:rsidR="0045369C" w:rsidRPr="0045369C" w:rsidRDefault="0045369C" w:rsidP="0045369C">
            <w:pPr>
              <w:spacing w:line="276" w:lineRule="auto"/>
              <w:rPr>
                <w:sz w:val="22"/>
              </w:rPr>
            </w:pPr>
            <w:r w:rsidRPr="0045369C">
              <w:rPr>
                <w:sz w:val="22"/>
              </w:rPr>
              <w:t>No se reportaron frecuencias específicas de reacciones adversas.</w:t>
            </w:r>
          </w:p>
        </w:tc>
        <w:tc>
          <w:tcPr>
            <w:tcW w:w="3446" w:type="dxa"/>
            <w:hideMark/>
          </w:tcPr>
          <w:p w14:paraId="6F287037" w14:textId="77777777" w:rsidR="0045369C" w:rsidRPr="0045369C" w:rsidRDefault="0045369C" w:rsidP="0045369C">
            <w:pPr>
              <w:spacing w:line="276" w:lineRule="auto"/>
              <w:rPr>
                <w:sz w:val="22"/>
              </w:rPr>
            </w:pPr>
            <w:r w:rsidRPr="0045369C">
              <w:rPr>
                <w:sz w:val="22"/>
              </w:rPr>
              <w:t>Un caso de sangrado clínicamente significativo en 100 pacientes (1,0%), sin requerimiento de transfusión y resuelto con curetaje. No se informaron otras complicaciones posteriores.</w:t>
            </w:r>
          </w:p>
        </w:tc>
      </w:tr>
      <w:tr w:rsidR="0023449D" w:rsidRPr="0045369C" w14:paraId="1D5ABF63" w14:textId="77777777" w:rsidTr="0023449D">
        <w:tc>
          <w:tcPr>
            <w:tcW w:w="0" w:type="auto"/>
            <w:hideMark/>
          </w:tcPr>
          <w:p w14:paraId="498F1CE8" w14:textId="77777777" w:rsidR="0045369C" w:rsidRPr="0045369C" w:rsidRDefault="0045369C" w:rsidP="0045369C">
            <w:pPr>
              <w:spacing w:line="276" w:lineRule="auto"/>
              <w:rPr>
                <w:sz w:val="22"/>
              </w:rPr>
            </w:pPr>
            <w:r w:rsidRPr="0045369C">
              <w:rPr>
                <w:sz w:val="22"/>
              </w:rPr>
              <w:t>Sepúlveda Rivera et al. (2019)</w:t>
            </w:r>
          </w:p>
        </w:tc>
        <w:tc>
          <w:tcPr>
            <w:tcW w:w="1220" w:type="dxa"/>
            <w:hideMark/>
          </w:tcPr>
          <w:p w14:paraId="1254DF41" w14:textId="77777777" w:rsidR="0045369C" w:rsidRPr="0045369C" w:rsidRDefault="0045369C" w:rsidP="0045369C">
            <w:pPr>
              <w:spacing w:line="276" w:lineRule="auto"/>
              <w:rPr>
                <w:sz w:val="22"/>
              </w:rPr>
            </w:pPr>
            <w:r w:rsidRPr="0045369C">
              <w:rPr>
                <w:sz w:val="22"/>
              </w:rPr>
              <w:t>Artículo publicado</w:t>
            </w:r>
          </w:p>
        </w:tc>
        <w:tc>
          <w:tcPr>
            <w:tcW w:w="2693" w:type="dxa"/>
            <w:hideMark/>
          </w:tcPr>
          <w:p w14:paraId="5D057476" w14:textId="77777777" w:rsidR="0045369C" w:rsidRPr="0045369C" w:rsidRDefault="0045369C" w:rsidP="0045369C">
            <w:pPr>
              <w:spacing w:line="276" w:lineRule="auto"/>
              <w:rPr>
                <w:sz w:val="22"/>
              </w:rPr>
            </w:pPr>
            <w:r w:rsidRPr="0045369C">
              <w:rPr>
                <w:sz w:val="22"/>
              </w:rPr>
              <w:t>Sangrado vaginal asociado a dolor pélvico: 72,3%.</w:t>
            </w:r>
          </w:p>
        </w:tc>
        <w:tc>
          <w:tcPr>
            <w:tcW w:w="3446" w:type="dxa"/>
            <w:hideMark/>
          </w:tcPr>
          <w:p w14:paraId="3551C762" w14:textId="77777777" w:rsidR="0045369C" w:rsidRPr="0045369C" w:rsidRDefault="0045369C" w:rsidP="0045369C">
            <w:pPr>
              <w:spacing w:line="276" w:lineRule="auto"/>
              <w:rPr>
                <w:sz w:val="22"/>
              </w:rPr>
            </w:pPr>
            <w:r w:rsidRPr="0045369C">
              <w:rPr>
                <w:sz w:val="22"/>
              </w:rPr>
              <w:t>Una paciente presentó hemorragia vaginal con choque hipovolémico y requirió manejo quirúrgico: 1/76 (1,3%).</w:t>
            </w:r>
          </w:p>
        </w:tc>
      </w:tr>
      <w:tr w:rsidR="0023449D" w:rsidRPr="0045369C" w14:paraId="5C042CE8" w14:textId="77777777" w:rsidTr="0023449D">
        <w:tc>
          <w:tcPr>
            <w:tcW w:w="0" w:type="auto"/>
            <w:hideMark/>
          </w:tcPr>
          <w:p w14:paraId="3D6D0910" w14:textId="77777777" w:rsidR="0045369C" w:rsidRPr="0045369C" w:rsidRDefault="0045369C" w:rsidP="0045369C">
            <w:pPr>
              <w:spacing w:line="276" w:lineRule="auto"/>
              <w:rPr>
                <w:sz w:val="22"/>
              </w:rPr>
            </w:pPr>
            <w:r w:rsidRPr="0045369C">
              <w:rPr>
                <w:sz w:val="22"/>
              </w:rPr>
              <w:t>Martínez-Rodas et al. (2020)</w:t>
            </w:r>
          </w:p>
        </w:tc>
        <w:tc>
          <w:tcPr>
            <w:tcW w:w="1220" w:type="dxa"/>
            <w:hideMark/>
          </w:tcPr>
          <w:p w14:paraId="1B018B53" w14:textId="77777777" w:rsidR="0045369C" w:rsidRPr="0045369C" w:rsidRDefault="0045369C" w:rsidP="0045369C">
            <w:pPr>
              <w:spacing w:line="276" w:lineRule="auto"/>
              <w:rPr>
                <w:sz w:val="22"/>
              </w:rPr>
            </w:pPr>
            <w:r w:rsidRPr="0045369C">
              <w:rPr>
                <w:sz w:val="22"/>
              </w:rPr>
              <w:t>Artículo publicado</w:t>
            </w:r>
          </w:p>
        </w:tc>
        <w:tc>
          <w:tcPr>
            <w:tcW w:w="2693" w:type="dxa"/>
            <w:hideMark/>
          </w:tcPr>
          <w:p w14:paraId="254AA0D5" w14:textId="77777777" w:rsidR="0045369C" w:rsidRPr="0045369C" w:rsidRDefault="0045369C" w:rsidP="0045369C">
            <w:pPr>
              <w:spacing w:line="276" w:lineRule="auto"/>
              <w:rPr>
                <w:sz w:val="22"/>
              </w:rPr>
            </w:pPr>
            <w:r w:rsidRPr="0045369C">
              <w:rPr>
                <w:sz w:val="22"/>
              </w:rPr>
              <w:t>Náuseas: 86,45%; vómitos: 36,13%; fiebre: 23,87%; diarrea: 11,61%.</w:t>
            </w:r>
          </w:p>
        </w:tc>
        <w:tc>
          <w:tcPr>
            <w:tcW w:w="3446" w:type="dxa"/>
            <w:hideMark/>
          </w:tcPr>
          <w:p w14:paraId="3B08CF44" w14:textId="77777777" w:rsidR="0045369C" w:rsidRPr="0045369C" w:rsidRDefault="0045369C" w:rsidP="0045369C">
            <w:pPr>
              <w:spacing w:line="276" w:lineRule="auto"/>
              <w:rPr>
                <w:sz w:val="22"/>
              </w:rPr>
            </w:pPr>
            <w:r w:rsidRPr="0045369C">
              <w:rPr>
                <w:sz w:val="22"/>
              </w:rPr>
              <w:t>Hemorragia: 2,58%. El fallo del método fue 7,74% y requirió principalmente AMEU, pero se consideró desenlace de eficacia y no complicación farmacológica.</w:t>
            </w:r>
          </w:p>
        </w:tc>
      </w:tr>
    </w:tbl>
    <w:p w14:paraId="050F27F7" w14:textId="1DAACCB8" w:rsidR="0045369C" w:rsidRPr="0023449D" w:rsidRDefault="0045369C" w:rsidP="0023449D">
      <w:pPr>
        <w:spacing w:line="276" w:lineRule="auto"/>
        <w:rPr>
          <w:sz w:val="16"/>
          <w:szCs w:val="16"/>
        </w:rPr>
      </w:pPr>
      <w:r w:rsidRPr="0023449D">
        <w:rPr>
          <w:sz w:val="16"/>
          <w:szCs w:val="16"/>
        </w:rPr>
        <w:t>Nota. Las reacciones adversas corresponden a manifestaciones clínicas esperadas o potencialmente asociadas al uso del fármaco. Las complicaciones corresponden a eventos clínicos relevantes, como hemorragia que requirió intervención, choque hipovolémico, infección, hospitalización, transfusión o procedimiento urgente. No se realizó metaanálisis de estos desenlaces debido a la heterogeneidad en su definición, medición, denominadores y forma de reporte entre los estudios.</w:t>
      </w:r>
      <w:r w:rsidR="0023449D" w:rsidRPr="0023449D">
        <w:rPr>
          <w:sz w:val="16"/>
          <w:szCs w:val="16"/>
        </w:rPr>
        <w:t xml:space="preserve"> Fuente: Elaboración propia.</w:t>
      </w:r>
    </w:p>
    <w:p w14:paraId="672CA2A3" w14:textId="0773BA6C" w:rsidR="0023449D" w:rsidRPr="0023449D" w:rsidRDefault="0023449D" w:rsidP="0023449D">
      <w:pPr>
        <w:jc w:val="center"/>
        <w:rPr>
          <w:color w:val="323E4F" w:themeColor="text2" w:themeShade="BF"/>
          <w:sz w:val="22"/>
        </w:rPr>
      </w:pPr>
      <w:r w:rsidRPr="0023449D">
        <w:rPr>
          <w:color w:val="323E4F" w:themeColor="text2" w:themeShade="BF"/>
          <w:sz w:val="22"/>
        </w:rPr>
        <w:lastRenderedPageBreak/>
        <w:t>Tabla 9. Reacciones adversas y complicaciones reportadas en los estudios incluidos sobre manejo con misoprostol</w:t>
      </w:r>
      <w:r>
        <w:rPr>
          <w:color w:val="323E4F" w:themeColor="text2" w:themeShade="BF"/>
          <w:sz w:val="22"/>
        </w:rPr>
        <w:t xml:space="preserve"> (continuación)</w:t>
      </w:r>
    </w:p>
    <w:tbl>
      <w:tblPr>
        <w:tblStyle w:val="Tablaconcuadrcula"/>
        <w:tblW w:w="0" w:type="auto"/>
        <w:tblLook w:val="04A0" w:firstRow="1" w:lastRow="0" w:firstColumn="1" w:lastColumn="0" w:noHBand="0" w:noVBand="1"/>
      </w:tblPr>
      <w:tblGrid>
        <w:gridCol w:w="1417"/>
        <w:gridCol w:w="1486"/>
        <w:gridCol w:w="2367"/>
        <w:gridCol w:w="3558"/>
      </w:tblGrid>
      <w:tr w:rsidR="0023449D" w:rsidRPr="0045369C" w14:paraId="6A0B79ED" w14:textId="77777777" w:rsidTr="000A215B">
        <w:tc>
          <w:tcPr>
            <w:tcW w:w="0" w:type="auto"/>
            <w:shd w:val="clear" w:color="auto" w:fill="F2F2F2" w:themeFill="background1" w:themeFillShade="F2"/>
            <w:hideMark/>
          </w:tcPr>
          <w:p w14:paraId="5B5E9BEA" w14:textId="77777777" w:rsidR="0023449D" w:rsidRPr="0045369C" w:rsidRDefault="0023449D" w:rsidP="0023449D">
            <w:pPr>
              <w:spacing w:line="276" w:lineRule="auto"/>
              <w:rPr>
                <w:b/>
                <w:bCs/>
                <w:sz w:val="22"/>
              </w:rPr>
            </w:pPr>
            <w:r w:rsidRPr="0045369C">
              <w:rPr>
                <w:b/>
                <w:bCs/>
                <w:sz w:val="22"/>
              </w:rPr>
              <w:t>Estudio</w:t>
            </w:r>
          </w:p>
        </w:tc>
        <w:tc>
          <w:tcPr>
            <w:tcW w:w="0" w:type="auto"/>
            <w:shd w:val="clear" w:color="auto" w:fill="F2F2F2" w:themeFill="background1" w:themeFillShade="F2"/>
            <w:hideMark/>
          </w:tcPr>
          <w:p w14:paraId="579041A3" w14:textId="77777777" w:rsidR="0023449D" w:rsidRPr="0045369C" w:rsidRDefault="0023449D" w:rsidP="0023449D">
            <w:pPr>
              <w:spacing w:line="276" w:lineRule="auto"/>
              <w:rPr>
                <w:b/>
                <w:bCs/>
                <w:sz w:val="22"/>
              </w:rPr>
            </w:pPr>
            <w:r w:rsidRPr="0045369C">
              <w:rPr>
                <w:b/>
                <w:bCs/>
                <w:sz w:val="22"/>
              </w:rPr>
              <w:t>Tipo de publicación</w:t>
            </w:r>
          </w:p>
        </w:tc>
        <w:tc>
          <w:tcPr>
            <w:tcW w:w="0" w:type="auto"/>
            <w:shd w:val="clear" w:color="auto" w:fill="F2F2F2" w:themeFill="background1" w:themeFillShade="F2"/>
            <w:hideMark/>
          </w:tcPr>
          <w:p w14:paraId="5432FE0E" w14:textId="77777777" w:rsidR="0023449D" w:rsidRPr="0045369C" w:rsidRDefault="0023449D" w:rsidP="0023449D">
            <w:pPr>
              <w:spacing w:line="276" w:lineRule="auto"/>
              <w:rPr>
                <w:b/>
                <w:bCs/>
                <w:sz w:val="22"/>
              </w:rPr>
            </w:pPr>
            <w:r w:rsidRPr="0045369C">
              <w:rPr>
                <w:b/>
                <w:bCs/>
                <w:sz w:val="22"/>
              </w:rPr>
              <w:t>Reacciones adversas reportadas</w:t>
            </w:r>
          </w:p>
        </w:tc>
        <w:tc>
          <w:tcPr>
            <w:tcW w:w="0" w:type="auto"/>
            <w:shd w:val="clear" w:color="auto" w:fill="F2F2F2" w:themeFill="background1" w:themeFillShade="F2"/>
            <w:hideMark/>
          </w:tcPr>
          <w:p w14:paraId="434931E2" w14:textId="77777777" w:rsidR="0023449D" w:rsidRPr="0045369C" w:rsidRDefault="0023449D" w:rsidP="0023449D">
            <w:pPr>
              <w:spacing w:line="276" w:lineRule="auto"/>
              <w:rPr>
                <w:b/>
                <w:bCs/>
                <w:sz w:val="22"/>
              </w:rPr>
            </w:pPr>
            <w:r w:rsidRPr="0045369C">
              <w:rPr>
                <w:b/>
                <w:bCs/>
                <w:sz w:val="22"/>
              </w:rPr>
              <w:t>Complicaciones reportadas</w:t>
            </w:r>
          </w:p>
        </w:tc>
      </w:tr>
      <w:tr w:rsidR="0023449D" w:rsidRPr="0045369C" w14:paraId="2629D4C7" w14:textId="77777777" w:rsidTr="000A215B">
        <w:tc>
          <w:tcPr>
            <w:tcW w:w="0" w:type="auto"/>
            <w:hideMark/>
          </w:tcPr>
          <w:p w14:paraId="0A051C78" w14:textId="77777777" w:rsidR="0023449D" w:rsidRPr="0045369C" w:rsidRDefault="0023449D" w:rsidP="0023449D">
            <w:pPr>
              <w:spacing w:line="276" w:lineRule="auto"/>
              <w:rPr>
                <w:sz w:val="22"/>
              </w:rPr>
            </w:pPr>
            <w:r w:rsidRPr="0045369C">
              <w:rPr>
                <w:sz w:val="22"/>
              </w:rPr>
              <w:t>Alvarado-Franco et al. (2025)</w:t>
            </w:r>
          </w:p>
        </w:tc>
        <w:tc>
          <w:tcPr>
            <w:tcW w:w="0" w:type="auto"/>
            <w:hideMark/>
          </w:tcPr>
          <w:p w14:paraId="0121E93C" w14:textId="77777777" w:rsidR="0023449D" w:rsidRPr="0045369C" w:rsidRDefault="0023449D" w:rsidP="0023449D">
            <w:pPr>
              <w:spacing w:line="276" w:lineRule="auto"/>
              <w:rPr>
                <w:sz w:val="22"/>
              </w:rPr>
            </w:pPr>
            <w:r w:rsidRPr="0045369C">
              <w:rPr>
                <w:sz w:val="22"/>
              </w:rPr>
              <w:t>Artículo publicado</w:t>
            </w:r>
          </w:p>
        </w:tc>
        <w:tc>
          <w:tcPr>
            <w:tcW w:w="0" w:type="auto"/>
            <w:hideMark/>
          </w:tcPr>
          <w:p w14:paraId="0CFD5AC6" w14:textId="77777777" w:rsidR="0023449D" w:rsidRPr="0045369C" w:rsidRDefault="0023449D" w:rsidP="0023449D">
            <w:pPr>
              <w:spacing w:line="276" w:lineRule="auto"/>
              <w:rPr>
                <w:sz w:val="22"/>
              </w:rPr>
            </w:pPr>
            <w:r w:rsidRPr="0045369C">
              <w:rPr>
                <w:sz w:val="22"/>
              </w:rPr>
              <w:t>No reportó reacciones adversas atribuibles al misoprostol.</w:t>
            </w:r>
          </w:p>
        </w:tc>
        <w:tc>
          <w:tcPr>
            <w:tcW w:w="0" w:type="auto"/>
            <w:hideMark/>
          </w:tcPr>
          <w:p w14:paraId="6E900557" w14:textId="77777777" w:rsidR="0023449D" w:rsidRPr="0045369C" w:rsidRDefault="0023449D" w:rsidP="0023449D">
            <w:pPr>
              <w:spacing w:line="276" w:lineRule="auto"/>
              <w:rPr>
                <w:sz w:val="22"/>
              </w:rPr>
            </w:pPr>
            <w:r w:rsidRPr="0045369C">
              <w:rPr>
                <w:sz w:val="22"/>
              </w:rPr>
              <w:t>No reportó complicaciones posteriores al tratamiento farmacológico de forma desagregada. Las complicaciones descritas correspondieron al estado clínico al ingreso.</w:t>
            </w:r>
          </w:p>
        </w:tc>
      </w:tr>
      <w:tr w:rsidR="0023449D" w:rsidRPr="0045369C" w14:paraId="7C46C3B9" w14:textId="77777777" w:rsidTr="000A215B">
        <w:tc>
          <w:tcPr>
            <w:tcW w:w="0" w:type="auto"/>
            <w:hideMark/>
          </w:tcPr>
          <w:p w14:paraId="2DD4A365" w14:textId="77777777" w:rsidR="0023449D" w:rsidRPr="0045369C" w:rsidRDefault="0023449D" w:rsidP="0023449D">
            <w:pPr>
              <w:spacing w:line="276" w:lineRule="auto"/>
              <w:rPr>
                <w:sz w:val="22"/>
              </w:rPr>
            </w:pPr>
            <w:r w:rsidRPr="0045369C">
              <w:rPr>
                <w:sz w:val="22"/>
              </w:rPr>
              <w:t>Chérrez Ramos y Arévalo Villanueva (2021)</w:t>
            </w:r>
          </w:p>
        </w:tc>
        <w:tc>
          <w:tcPr>
            <w:tcW w:w="0" w:type="auto"/>
            <w:hideMark/>
          </w:tcPr>
          <w:p w14:paraId="518D3002" w14:textId="77777777" w:rsidR="0023449D" w:rsidRPr="0045369C" w:rsidRDefault="0023449D" w:rsidP="0023449D">
            <w:pPr>
              <w:spacing w:line="276" w:lineRule="auto"/>
              <w:rPr>
                <w:sz w:val="22"/>
              </w:rPr>
            </w:pPr>
            <w:r w:rsidRPr="0045369C">
              <w:rPr>
                <w:sz w:val="22"/>
              </w:rPr>
              <w:t>Tesis</w:t>
            </w:r>
          </w:p>
        </w:tc>
        <w:tc>
          <w:tcPr>
            <w:tcW w:w="0" w:type="auto"/>
            <w:hideMark/>
          </w:tcPr>
          <w:p w14:paraId="3077A028" w14:textId="77777777" w:rsidR="0023449D" w:rsidRPr="0045369C" w:rsidRDefault="0023449D" w:rsidP="0023449D">
            <w:pPr>
              <w:spacing w:line="276" w:lineRule="auto"/>
              <w:rPr>
                <w:sz w:val="22"/>
              </w:rPr>
            </w:pPr>
            <w:r w:rsidRPr="0045369C">
              <w:rPr>
                <w:sz w:val="22"/>
              </w:rPr>
              <w:t>Dolor abdominal y sangrado escaso: 35,7%. También se describieron fiebre con escalofríos, infección, anemia, lipotimia y cefalea, sin frecuencias individuales claramente separadas.</w:t>
            </w:r>
          </w:p>
        </w:tc>
        <w:tc>
          <w:tcPr>
            <w:tcW w:w="0" w:type="auto"/>
            <w:hideMark/>
          </w:tcPr>
          <w:p w14:paraId="7847F9CA" w14:textId="77777777" w:rsidR="0023449D" w:rsidRPr="0045369C" w:rsidRDefault="0023449D" w:rsidP="0023449D">
            <w:pPr>
              <w:spacing w:line="276" w:lineRule="auto"/>
              <w:rPr>
                <w:sz w:val="22"/>
              </w:rPr>
            </w:pPr>
            <w:r w:rsidRPr="0045369C">
              <w:rPr>
                <w:sz w:val="22"/>
              </w:rPr>
              <w:t>No presentó una frecuencia específica y verificable de complicaciones graves atribuibles exclusivamente al misoprostol. El fracaso se asoció con retención de restos, hemorragia activa o infección.</w:t>
            </w:r>
          </w:p>
        </w:tc>
      </w:tr>
      <w:tr w:rsidR="0023449D" w:rsidRPr="0045369C" w14:paraId="4E79E407" w14:textId="77777777" w:rsidTr="000A215B">
        <w:tc>
          <w:tcPr>
            <w:tcW w:w="0" w:type="auto"/>
            <w:hideMark/>
          </w:tcPr>
          <w:p w14:paraId="41CF8E76" w14:textId="77777777" w:rsidR="0023449D" w:rsidRPr="0045369C" w:rsidRDefault="0023449D" w:rsidP="0023449D">
            <w:pPr>
              <w:spacing w:line="276" w:lineRule="auto"/>
              <w:rPr>
                <w:sz w:val="22"/>
              </w:rPr>
            </w:pPr>
            <w:r w:rsidRPr="0045369C">
              <w:rPr>
                <w:sz w:val="22"/>
              </w:rPr>
              <w:t>Rueda Espinel (2022)</w:t>
            </w:r>
          </w:p>
        </w:tc>
        <w:tc>
          <w:tcPr>
            <w:tcW w:w="0" w:type="auto"/>
            <w:hideMark/>
          </w:tcPr>
          <w:p w14:paraId="52992141" w14:textId="77777777" w:rsidR="0023449D" w:rsidRPr="0045369C" w:rsidRDefault="0023449D" w:rsidP="0023449D">
            <w:pPr>
              <w:spacing w:line="276" w:lineRule="auto"/>
              <w:rPr>
                <w:sz w:val="22"/>
              </w:rPr>
            </w:pPr>
            <w:r w:rsidRPr="0045369C">
              <w:rPr>
                <w:sz w:val="22"/>
              </w:rPr>
              <w:t>Tesis</w:t>
            </w:r>
          </w:p>
        </w:tc>
        <w:tc>
          <w:tcPr>
            <w:tcW w:w="0" w:type="auto"/>
            <w:hideMark/>
          </w:tcPr>
          <w:p w14:paraId="579D9307" w14:textId="77777777" w:rsidR="0023449D" w:rsidRPr="0045369C" w:rsidRDefault="0023449D" w:rsidP="0023449D">
            <w:pPr>
              <w:spacing w:line="276" w:lineRule="auto"/>
              <w:rPr>
                <w:sz w:val="22"/>
              </w:rPr>
            </w:pPr>
            <w:r w:rsidRPr="0045369C">
              <w:rPr>
                <w:sz w:val="22"/>
              </w:rPr>
              <w:t>No reportó frecuencias cuantitativas de reacciones adversas.</w:t>
            </w:r>
          </w:p>
        </w:tc>
        <w:tc>
          <w:tcPr>
            <w:tcW w:w="0" w:type="auto"/>
            <w:hideMark/>
          </w:tcPr>
          <w:p w14:paraId="531E5A45" w14:textId="77777777" w:rsidR="0023449D" w:rsidRPr="0045369C" w:rsidRDefault="0023449D" w:rsidP="0023449D">
            <w:pPr>
              <w:spacing w:line="276" w:lineRule="auto"/>
              <w:rPr>
                <w:sz w:val="22"/>
              </w:rPr>
            </w:pPr>
            <w:r w:rsidRPr="0045369C">
              <w:rPr>
                <w:sz w:val="22"/>
              </w:rPr>
              <w:t>El estudio contempló reconsulta, hospitalización, transfusión y tratamiento posterior durante el seguimiento, pero no presentó resultados desagregados suficientes para estimar frecuencias de complicaciones.</w:t>
            </w:r>
          </w:p>
        </w:tc>
      </w:tr>
      <w:tr w:rsidR="0023449D" w:rsidRPr="0045369C" w14:paraId="66835161" w14:textId="77777777" w:rsidTr="000A215B">
        <w:tc>
          <w:tcPr>
            <w:tcW w:w="0" w:type="auto"/>
            <w:hideMark/>
          </w:tcPr>
          <w:p w14:paraId="352DCE04" w14:textId="77777777" w:rsidR="0023449D" w:rsidRPr="0045369C" w:rsidRDefault="0023449D" w:rsidP="0023449D">
            <w:pPr>
              <w:spacing w:line="276" w:lineRule="auto"/>
              <w:rPr>
                <w:sz w:val="22"/>
              </w:rPr>
            </w:pPr>
            <w:r w:rsidRPr="0045369C">
              <w:rPr>
                <w:sz w:val="22"/>
              </w:rPr>
              <w:t>Valles Jáquez (2024)</w:t>
            </w:r>
          </w:p>
        </w:tc>
        <w:tc>
          <w:tcPr>
            <w:tcW w:w="0" w:type="auto"/>
            <w:hideMark/>
          </w:tcPr>
          <w:p w14:paraId="39453164" w14:textId="77777777" w:rsidR="0023449D" w:rsidRPr="0045369C" w:rsidRDefault="0023449D" w:rsidP="0023449D">
            <w:pPr>
              <w:spacing w:line="276" w:lineRule="auto"/>
              <w:rPr>
                <w:sz w:val="22"/>
              </w:rPr>
            </w:pPr>
            <w:r w:rsidRPr="0045369C">
              <w:rPr>
                <w:sz w:val="22"/>
              </w:rPr>
              <w:t>Tesis</w:t>
            </w:r>
          </w:p>
        </w:tc>
        <w:tc>
          <w:tcPr>
            <w:tcW w:w="0" w:type="auto"/>
            <w:hideMark/>
          </w:tcPr>
          <w:p w14:paraId="2E849D2D" w14:textId="77777777" w:rsidR="0023449D" w:rsidRPr="0045369C" w:rsidRDefault="0023449D" w:rsidP="0023449D">
            <w:pPr>
              <w:spacing w:line="276" w:lineRule="auto"/>
              <w:rPr>
                <w:sz w:val="22"/>
              </w:rPr>
            </w:pPr>
            <w:r w:rsidRPr="0045369C">
              <w:rPr>
                <w:sz w:val="22"/>
              </w:rPr>
              <w:t>No reportó reacciones adversas específicas.</w:t>
            </w:r>
          </w:p>
        </w:tc>
        <w:tc>
          <w:tcPr>
            <w:tcW w:w="0" w:type="auto"/>
            <w:hideMark/>
          </w:tcPr>
          <w:p w14:paraId="308E84A4" w14:textId="77777777" w:rsidR="0023449D" w:rsidRPr="0045369C" w:rsidRDefault="0023449D" w:rsidP="0023449D">
            <w:pPr>
              <w:spacing w:line="276" w:lineRule="auto"/>
              <w:rPr>
                <w:sz w:val="22"/>
              </w:rPr>
            </w:pPr>
            <w:r w:rsidRPr="0045369C">
              <w:rPr>
                <w:sz w:val="22"/>
              </w:rPr>
              <w:t>Se informó una complicación durante el tratamiento con misoprostol. El documento la expresó como 0,49% usando el total de 206 pacientes, aunque el grupo tratado con misoprostol fue de 90 mujeres; por tanto, la frecuencia específica en el grupo farmacológico no puede establecerse con precisión a partir del reporte.</w:t>
            </w:r>
          </w:p>
        </w:tc>
      </w:tr>
    </w:tbl>
    <w:p w14:paraId="48449D9A" w14:textId="5530E967" w:rsidR="0045369C" w:rsidRDefault="0023449D" w:rsidP="0023449D">
      <w:pPr>
        <w:spacing w:line="276" w:lineRule="auto"/>
        <w:rPr>
          <w:lang w:val="es-NI"/>
        </w:rPr>
      </w:pPr>
      <w:r w:rsidRPr="0023449D">
        <w:rPr>
          <w:sz w:val="18"/>
          <w:szCs w:val="18"/>
        </w:rPr>
        <w:t>Nota. Las reacciones adversas corresponden a manifestaciones clínicas esperadas o potencialmente asociadas al uso del fármaco. Las complicaciones corresponden a eventos clínicos relevantes, como hemorragia que requirió intervención, choque hipovolémico, infección, hospitalización, transfusión o procedimiento urgente. No se realizó metaanálisis de estos desenlaces debido a la heterogeneidad en su definición, medición, denominadores y forma de reporte entre los estudios. Fuente: Elaboración propia.</w:t>
      </w:r>
    </w:p>
    <w:p w14:paraId="7B4629F5" w14:textId="39FA0954" w:rsidR="0045369C" w:rsidRDefault="0045369C" w:rsidP="00EC41BF">
      <w:pPr>
        <w:rPr>
          <w:lang w:val="es-NI"/>
        </w:rPr>
        <w:sectPr w:rsidR="0045369C" w:rsidSect="00D60788">
          <w:pgSz w:w="12240" w:h="15840"/>
          <w:pgMar w:top="1418" w:right="1701" w:bottom="1418" w:left="1701" w:header="709" w:footer="709" w:gutter="0"/>
          <w:cols w:space="708"/>
          <w:docGrid w:linePitch="360"/>
        </w:sectPr>
      </w:pPr>
    </w:p>
    <w:p w14:paraId="1E7FC036" w14:textId="7399318F" w:rsidR="0028162F" w:rsidRDefault="00627974" w:rsidP="00627974">
      <w:pPr>
        <w:pStyle w:val="Ttulo1"/>
        <w:rPr>
          <w:lang w:val="es-NI"/>
        </w:rPr>
      </w:pPr>
      <w:bookmarkStart w:id="66" w:name="_Toc232987017"/>
      <w:r>
        <w:rPr>
          <w:lang w:val="es-NI"/>
        </w:rPr>
        <w:lastRenderedPageBreak/>
        <w:t>Discusión</w:t>
      </w:r>
      <w:bookmarkEnd w:id="66"/>
    </w:p>
    <w:p w14:paraId="37EAC104" w14:textId="1D01E36C" w:rsidR="000E57BB" w:rsidRPr="006F29F9" w:rsidRDefault="000E57BB" w:rsidP="006E6759">
      <w:pPr>
        <w:pStyle w:val="Ttulo2"/>
        <w:rPr>
          <w:lang w:val="es-NI"/>
        </w:rPr>
      </w:pPr>
      <w:bookmarkStart w:id="67" w:name="_Toc232987018"/>
      <w:r w:rsidRPr="006F29F9">
        <w:rPr>
          <w:lang w:val="es-NI"/>
        </w:rPr>
        <w:t>Síntesis e interpretación de los hallazgos principales</w:t>
      </w:r>
      <w:bookmarkEnd w:id="67"/>
    </w:p>
    <w:p w14:paraId="43EB8CD4" w14:textId="27378E86" w:rsidR="00006BA4" w:rsidRPr="006F29F9" w:rsidRDefault="00006BA4" w:rsidP="00006BA4">
      <w:pPr>
        <w:rPr>
          <w:lang w:val="es-NI"/>
        </w:rPr>
      </w:pPr>
      <w:r w:rsidRPr="006F29F9">
        <w:rPr>
          <w:lang w:val="es-NI"/>
        </w:rPr>
        <w:t>La revisión sistemática mostró que el misoprostol logró la resolución del aborto espontáneo del primer trimestre sin necesidad de intervención adicional en una proporción importante de las mujeres incluidas en los estudios latinoamericanos. El metaanálisis de siete estudios, con 698 participantes tratadas con misoprostol, estimó una</w:t>
      </w:r>
      <w:r w:rsidR="006F29F9">
        <w:rPr>
          <w:lang w:val="es-NI"/>
        </w:rPr>
        <w:t xml:space="preserve"> tasa o proporción de</w:t>
      </w:r>
      <w:r w:rsidRPr="006F29F9">
        <w:rPr>
          <w:lang w:val="es-NI"/>
        </w:rPr>
        <w:t xml:space="preserve"> éxito global de 81,1% mediante el modelo de efectos aleatorios (IC 95%: 63,8–91,3). Al considerar exclusivamente los cuatro artículos publicados en revistas científicas, la proporción alcanzó 92,3% (IC 95%: 83,1–96,7), lo que indica un rendimiento particularmente favorable dentro de la evidencia regional disponible.</w:t>
      </w:r>
    </w:p>
    <w:p w14:paraId="48073686" w14:textId="0C97B6EF" w:rsidR="00006BA4" w:rsidRPr="006F29F9" w:rsidRDefault="00006BA4" w:rsidP="00006BA4">
      <w:pPr>
        <w:rPr>
          <w:lang w:val="es-NI"/>
        </w:rPr>
      </w:pPr>
      <w:r w:rsidRPr="006F29F9">
        <w:rPr>
          <w:lang w:val="es-NI"/>
        </w:rPr>
        <w:t xml:space="preserve">La amplitud </w:t>
      </w:r>
      <w:r w:rsidR="006F29F9" w:rsidRPr="006F29F9">
        <w:rPr>
          <w:lang w:val="es-NI"/>
        </w:rPr>
        <w:t xml:space="preserve">o gran variabilidad </w:t>
      </w:r>
      <w:r w:rsidRPr="006F29F9">
        <w:rPr>
          <w:lang w:val="es-NI"/>
        </w:rPr>
        <w:t>de las proporciones de éxito</w:t>
      </w:r>
      <w:r w:rsidR="006F29F9" w:rsidRPr="006F29F9">
        <w:rPr>
          <w:lang w:val="es-NI"/>
        </w:rPr>
        <w:t xml:space="preserve"> del uso de misoprostol, reportada en los estudios individuales</w:t>
      </w:r>
      <w:r w:rsidRPr="006F29F9">
        <w:rPr>
          <w:lang w:val="es-NI"/>
        </w:rPr>
        <w:t>, entre 28,6% y 98,6%, indica que el resultado del manejo médico no fue uniforme. Esta variación debe interpretarse considerando que los estudios incluyeron distintos tipos de aborto espontáneo, edades gestacionales, vías y dosis de administración, número de dosis, tiempos de seguimiento y definiciones de resolución completa. Por ello, la estimación combinada representa el comportamiento general del misoprostol en escenarios clínicos diversos, sin establecer una tasa única aplicable a todas las pacientes.</w:t>
      </w:r>
    </w:p>
    <w:p w14:paraId="044E97DB" w14:textId="77777777" w:rsidR="00006BA4" w:rsidRPr="006F29F9" w:rsidRDefault="00006BA4" w:rsidP="00006BA4">
      <w:pPr>
        <w:rPr>
          <w:lang w:val="es-NI"/>
        </w:rPr>
      </w:pPr>
      <w:r w:rsidRPr="006F29F9">
        <w:rPr>
          <w:lang w:val="es-NI"/>
        </w:rPr>
        <w:t>No fue posible estimar mediante metaanálisis la eficacia comparativa del misoprostol frente a aspiración manual endouterina, legrado uterino instrumental o manejo expectante. Aunque algunos estudios incorporaron comparadores, los resultados no fueron suficientemente homogéneos ni estuvieron desagregados de manera que permitieran calcular medidas de efecto equivalentes. La síntesis narrativa mostró que los procedimientos quirúrgicos tendieron a alcanzar una mayor proporción de resolución completa en los estudios con comparación directa; sin embargo, el misoprostol permitió resolver el evento sin intervención adicional en un número importante de mujeres. En consecuencia, los resultados respaldan su utilidad como alternativa médica, pero no permiten definir con precisión su eficacia relativa frente a las demás estrategias.</w:t>
      </w:r>
    </w:p>
    <w:p w14:paraId="49EFE8B0" w14:textId="77777777" w:rsidR="00006BA4" w:rsidRPr="006F29F9" w:rsidRDefault="00006BA4" w:rsidP="00006BA4">
      <w:pPr>
        <w:rPr>
          <w:lang w:val="es-NI"/>
        </w:rPr>
      </w:pPr>
      <w:r w:rsidRPr="006F29F9">
        <w:rPr>
          <w:lang w:val="es-NI"/>
        </w:rPr>
        <w:lastRenderedPageBreak/>
        <w:t>Los hallazgos sobre seguridad muestran que las manifestaciones más frecuentes fueron dolor abdominal o pélvico, sangrado vaginal, náuseas, vómitos, fiebre y diarrea, consistentes con la actividad uterotónica y gastrointestinal esperada del medicamento. Las complicaciones clínicamente relevantes, como hemorragia que requirió intervención adicional o choque hipovolémico, fueron poco frecuentes en los estudios que las reportaron. Sin embargo, las diferencias en las definiciones, denominadores y formas de registro impidieron establecer una frecuencia global de complicaciones o comparar cuantitativamente el perfil de seguridad entre las distintas modalidades de manejo.</w:t>
      </w:r>
    </w:p>
    <w:p w14:paraId="6C7E7069" w14:textId="4A508AED" w:rsidR="006E6759" w:rsidRPr="006F29F9" w:rsidRDefault="006F29F9" w:rsidP="00006BA4">
      <w:pPr>
        <w:rPr>
          <w:lang w:val="es-NI"/>
        </w:rPr>
      </w:pPr>
      <w:r>
        <w:rPr>
          <w:lang w:val="es-NI"/>
        </w:rPr>
        <w:t>Los hallazgos de la presente revisión sugieren qu</w:t>
      </w:r>
      <w:r w:rsidR="00006BA4" w:rsidRPr="006F29F9">
        <w:rPr>
          <w:lang w:val="es-NI"/>
        </w:rPr>
        <w:t>e el misoprostol constituye una alternativa factible para el manejo médico del aborto espontáneo del primer trimestre en mujeres clínicamente estables, siempre que exista evaluación adecuada, seguimiento y acceso a intervención adicional cuando se requiera. Esta interpretación debe ser prudente debido a la heterogeneidad elevada entre estudios, la variabilidad en su calidad metodológica, la limitada disponibilidad de comparaciones directas y la posible asimetría observada en el análisis combinado.</w:t>
      </w:r>
    </w:p>
    <w:p w14:paraId="43FB953D" w14:textId="49AB659A" w:rsidR="000E57BB" w:rsidRDefault="000E57BB" w:rsidP="006E6759">
      <w:pPr>
        <w:pStyle w:val="Ttulo2"/>
        <w:rPr>
          <w:lang w:val="es-NI"/>
        </w:rPr>
      </w:pPr>
      <w:bookmarkStart w:id="68" w:name="_Toc232987019"/>
      <w:r w:rsidRPr="000E57BB">
        <w:rPr>
          <w:lang w:val="es-NI"/>
        </w:rPr>
        <w:t>Comparación de los resultados con la evidencia internacional disponible</w:t>
      </w:r>
      <w:bookmarkEnd w:id="68"/>
    </w:p>
    <w:p w14:paraId="15614B45" w14:textId="1F4FB594" w:rsidR="001A30C6" w:rsidRPr="001A30C6" w:rsidRDefault="001A30C6" w:rsidP="001A30C6">
      <w:pPr>
        <w:rPr>
          <w:lang w:val="es-NI"/>
        </w:rPr>
      </w:pPr>
      <w:r>
        <w:rPr>
          <w:lang w:val="es-NI"/>
        </w:rPr>
        <w:t>En esta sección se c</w:t>
      </w:r>
      <w:r w:rsidRPr="001A30C6">
        <w:rPr>
          <w:lang w:val="es-NI"/>
        </w:rPr>
        <w:t xml:space="preserve">omparan </w:t>
      </w:r>
      <w:r>
        <w:rPr>
          <w:lang w:val="es-NI"/>
        </w:rPr>
        <w:t>l</w:t>
      </w:r>
      <w:r w:rsidRPr="001A30C6">
        <w:rPr>
          <w:lang w:val="es-NI"/>
        </w:rPr>
        <w:t xml:space="preserve">os hallazgos de </w:t>
      </w:r>
      <w:r>
        <w:rPr>
          <w:lang w:val="es-NI"/>
        </w:rPr>
        <w:t xml:space="preserve">la presente </w:t>
      </w:r>
      <w:r w:rsidRPr="001A30C6">
        <w:rPr>
          <w:lang w:val="es-NI"/>
        </w:rPr>
        <w:t>revisión con</w:t>
      </w:r>
      <w:r>
        <w:rPr>
          <w:lang w:val="es-NI"/>
        </w:rPr>
        <w:t xml:space="preserve"> respecto a</w:t>
      </w:r>
      <w:r w:rsidRPr="001A30C6">
        <w:rPr>
          <w:lang w:val="es-NI"/>
        </w:rPr>
        <w:t xml:space="preserve"> la literatura internacional </w:t>
      </w:r>
      <w:r>
        <w:rPr>
          <w:lang w:val="es-NI"/>
        </w:rPr>
        <w:t xml:space="preserve">y nacional, </w:t>
      </w:r>
      <w:r w:rsidRPr="001A30C6">
        <w:rPr>
          <w:lang w:val="es-NI"/>
        </w:rPr>
        <w:t>en cuatro aspectos: la proporción de éxito del misoprostol como manejo médico, su desempeño frente a la evacuación quirúrgica y el manejo expectante, los factores que pueden explicar la variabilidad de los resultados y el perfil de seguridad reportado. Esta comparación permite determinar si la estimación regional obtenida</w:t>
      </w:r>
      <w:r>
        <w:rPr>
          <w:lang w:val="es-NI"/>
        </w:rPr>
        <w:t xml:space="preserve">, de </w:t>
      </w:r>
      <w:r w:rsidRPr="001A30C6">
        <w:rPr>
          <w:lang w:val="es-NI"/>
        </w:rPr>
        <w:t>81,1% de éxito en el análisis global y 92,3% al considerar únicamente los artículos publicados</w:t>
      </w:r>
      <w:r>
        <w:rPr>
          <w:lang w:val="es-NI"/>
        </w:rPr>
        <w:t>,</w:t>
      </w:r>
      <w:r w:rsidRPr="001A30C6">
        <w:rPr>
          <w:lang w:val="es-NI"/>
        </w:rPr>
        <w:t xml:space="preserve"> sigue una tendencia semejante o distinta a la descrita en otros contextos clínicos.</w:t>
      </w:r>
    </w:p>
    <w:p w14:paraId="4A12DBBD" w14:textId="77777777" w:rsidR="001A30C6" w:rsidRPr="001A30C6" w:rsidRDefault="001A30C6" w:rsidP="001A30C6">
      <w:pPr>
        <w:rPr>
          <w:lang w:val="es-NI"/>
        </w:rPr>
      </w:pPr>
      <w:r w:rsidRPr="001A30C6">
        <w:rPr>
          <w:lang w:val="es-NI"/>
        </w:rPr>
        <w:t xml:space="preserve">La proporción global de éxito identificada en esta revisión fue de 81,1% mediante el modelo de efectos aleatorios. Este resultado fue menor que el comunicado en algunos estudios internacionales realizados bajo condiciones clínicas más homogéneas. Verma et al. (2016), por ejemplo, reportaron una tasa de éxito de 97% con una dosis única de 600 µg de misoprostol vaginal en mujeres con aborto </w:t>
      </w:r>
      <w:r w:rsidRPr="001A30C6">
        <w:rPr>
          <w:lang w:val="es-NI"/>
        </w:rPr>
        <w:lastRenderedPageBreak/>
        <w:t>incompleto o aborto diferido entre las 5 y 12 semanas de gestación. La diferencia respecto a la estimación global de la presente revisión puede atribuirse a que Verma et al. evaluaron una población prospectiva, con criterios clínicos de selección definidos, un esquema único de tratamiento y un seguimiento estructurado. En contraste, la presente revisión integró estudios con distintos tipos de pérdida gestacional, vías de administración oral, sublingual o vaginal, dosis variables, diferente número de aplicaciones y períodos de seguimiento no uniformes. Además, incluyó tesis retrospectivas con proporciones de éxito más bajas, lo que contribuyó a ampliar la variabilidad de la estimación combinada.</w:t>
      </w:r>
    </w:p>
    <w:p w14:paraId="12054D8D" w14:textId="77777777" w:rsidR="001A30C6" w:rsidRPr="001A30C6" w:rsidRDefault="001A30C6" w:rsidP="001A30C6">
      <w:pPr>
        <w:rPr>
          <w:lang w:val="es-NI"/>
        </w:rPr>
      </w:pPr>
      <w:r w:rsidRPr="001A30C6">
        <w:rPr>
          <w:lang w:val="es-NI"/>
        </w:rPr>
        <w:t>Esta diferencia se reduce al analizar únicamente los cuatro artículos publicados en revistas científicas revisadas por pares incluidos en la presente revisión. En ese subgrupo, la proporción de éxito alcanzó 92,3%, valor más próximo al observado por Verma et al. (2016). Esta aproximación sugiere que los resultados del manejo médico con misoprostol en América Latina pueden ser comparables con los informados en otros contextos cuando se emplean protocolos definidos, se seleccionan adecuadamente las pacientes y se dispone de seguimiento clínico suficiente. Por tanto, la menor proporción global no debe interpretarse como una menor respuesta al medicamento en la región, sino como el reflejo de la heterogeneidad clínica y metodológica de los estudios que conformaron la síntesis.</w:t>
      </w:r>
    </w:p>
    <w:p w14:paraId="7F4259D1" w14:textId="77777777" w:rsidR="001A30C6" w:rsidRPr="001A30C6" w:rsidRDefault="001A30C6" w:rsidP="001A30C6">
      <w:pPr>
        <w:rPr>
          <w:lang w:val="es-NI"/>
        </w:rPr>
      </w:pPr>
      <w:r w:rsidRPr="001A30C6">
        <w:rPr>
          <w:lang w:val="es-NI"/>
        </w:rPr>
        <w:t xml:space="preserve">Hallazgos similares fueron reportados por Kim et al. (2017) en una revisión Cochrane de ensayos clínicos sobre tratamiento médico del aborto incompleto. Los autores informaron proporciones de aborto completo entre 94% y 98% con misoprostol, según la vía de administración, mientras que los procedimientos quirúrgicos alcanzaron entre 99% y 100%. Estas cifras son superiores a la estimación global de la presente revisión, pero resultan cercanas a la proporción de 92,3% observada en los artículos publicados. La diferencia puede explicarse porque Kim et al. incluyeron principalmente ensayos clínicos con poblaciones más comparables, definiciones estandarizadas de aborto incompleto y criterios uniformes para determinar la resolución clínica. En cambio, los estudios regionales incluyeron aborto incompleto, aborto diferido, embarazo anembrionado, huevo </w:t>
      </w:r>
      <w:r w:rsidRPr="001A30C6">
        <w:rPr>
          <w:lang w:val="es-NI"/>
        </w:rPr>
        <w:lastRenderedPageBreak/>
        <w:t>muerto retenido y otras formas de pérdida gestacional temprana. Estas condiciones no presentan necesariamente la misma probabilidad de resolución con misoprostol, ya que en el aborto incompleto existe expulsión parcial previa, mientras que en el aborto diferido o el huevo muerto retenido puede requerirse mayor actividad uterina, más dosis o un período más prolongado de seguimiento.</w:t>
      </w:r>
    </w:p>
    <w:p w14:paraId="5ACB7E41" w14:textId="77777777" w:rsidR="001A30C6" w:rsidRPr="001A30C6" w:rsidRDefault="001A30C6" w:rsidP="001A30C6">
      <w:pPr>
        <w:rPr>
          <w:lang w:val="es-NI"/>
        </w:rPr>
      </w:pPr>
      <w:r w:rsidRPr="001A30C6">
        <w:rPr>
          <w:lang w:val="es-NI"/>
        </w:rPr>
        <w:t>La comparación con el manejo quirúrgico debe interpretarse de forma distinta a la comparación de las proporciones globales de éxito. En este caso, la pregunta relevante es si el misoprostol logra una proporción de resolución semejante a la aspiración uterina o al legrado. Montesinos et al. (2011), único ensayo clínico aleatorizado incluido en la presente revisión con datos suficientes para comparar ambos tratamientos, reportaron éxito en 94,3% de las mujeres tratadas con 600 µg de misoprostol oral y en 100% de aquellas manejadas con aspiración manual endouterina. El riesgo relativo de 0,94 indicó una ventaja modesta para el procedimiento quirúrgico. Este resultado coincide con la revisión de Kim et al. (2017), que identificó un riesgo relativo de 0,96 a favor de la evacuación quirúrgica.</w:t>
      </w:r>
    </w:p>
    <w:p w14:paraId="54E218CD" w14:textId="77777777" w:rsidR="001A30C6" w:rsidRPr="001A30C6" w:rsidRDefault="001A30C6" w:rsidP="001A30C6">
      <w:pPr>
        <w:rPr>
          <w:lang w:val="es-NI"/>
        </w:rPr>
      </w:pPr>
      <w:r w:rsidRPr="001A30C6">
        <w:rPr>
          <w:lang w:val="es-NI"/>
        </w:rPr>
        <w:t>Una tendencia equivalente fue observada por Menezes da Silva et al. (2023) en su revisión sistemática y metaanálisis de ensayos clínicos que compararon misoprostol con aspiración manual endouterina en aborto incompleto. Los autores encontraron mayor probabilidad de evacuación uterina completa con aspiración, aunque concluyeron que el misoprostol continuaba siendo una alternativa segura y aceptable. La concordancia con Montesinos et al. (2011) y con la síntesis narrativa de la presente revisión indica que la aspiración uterina ofrece una resolución más inmediata y predecible, pero no disminuye la utilidad del misoprostol como alternativa médica. La diferencia entre ambas estrategias debe valorarse en función del contexto clínico: la aspiración puede ser preferible cuando existe hemorragia significativa, infección, inestabilidad hemodinámica o necesidad de resolución rápida; mientras que el misoprostol puede evitar un procedimiento uterino en mujeres clínicamente estables, con diagnóstico confirmado, acceso a seguimiento y preferencia por manejo no quirúrgico.</w:t>
      </w:r>
    </w:p>
    <w:p w14:paraId="6E9E6526" w14:textId="77777777" w:rsidR="001A30C6" w:rsidRPr="001A30C6" w:rsidRDefault="001A30C6" w:rsidP="001A30C6">
      <w:pPr>
        <w:rPr>
          <w:lang w:val="es-NI"/>
        </w:rPr>
      </w:pPr>
      <w:r w:rsidRPr="001A30C6">
        <w:rPr>
          <w:lang w:val="es-NI"/>
        </w:rPr>
        <w:lastRenderedPageBreak/>
        <w:t>El estudio de Verma et al. (2016) mostró un resultado aparentemente diferente, al informar 97% de éxito con misoprostol y 95% con evacuación quirúrgica. Sin embargo, esta pequeña diferencia no debe interpretarse como evidencia de superioridad del manejo médico. Ambas estrategias alcanzaron proporciones elevadas de resolución, y el tamaño muestral, la selección de las participantes, el esquema vaginal utilizado y la definición de éxito pueden haber influido en los resultados. Este estudio demuestra que el misoprostol puede acercarse al rendimiento del manejo quirúrgico en poblaciones seleccionadas, pero no modifica la tendencia observada en las revisiones de Kim et al. (2017) y Menezes da Silva et al. (2023), donde la aspiración presentó una ventaja promedio, aunque clínicamente moderada, para lograr evacuación uterina completa.</w:t>
      </w:r>
    </w:p>
    <w:p w14:paraId="5BF8CF08" w14:textId="77777777" w:rsidR="001A30C6" w:rsidRPr="001A30C6" w:rsidRDefault="001A30C6" w:rsidP="001A30C6">
      <w:pPr>
        <w:rPr>
          <w:lang w:val="es-NI"/>
        </w:rPr>
      </w:pPr>
      <w:r w:rsidRPr="001A30C6">
        <w:rPr>
          <w:lang w:val="es-NI"/>
        </w:rPr>
        <w:t>Dentro de los estudios incluidos en esta revisión, las proporciones más bajas de éxito ayudan a explicar por qué la estimación combinada fue inferior a la comunicada en algunos estudios internacionales. Chérrez Ramos y Arévalo Villanueva (2021) informaron una proporción de éxito de 28,6%, mientras que Valles Jáquez (2024) reportaron 48,9%. Estos resultados contrastan con los observados en Montesinos et al. (2011), Sepúlveda Rivera et al. (2019), Verma et al. (2016) y Kim et al. (2017). No obstante, la diferencia no debe atribuirse de manera directa al efecto del misoprostol. Ambos estudios con menor proporción de éxito fueron retrospectivos, dependieron de expedientes clínicos y no controlaron de manera suficiente las características iniciales de las pacientes. Es posible que el manejo médico se indicara en mujeres con mayor edad gestacional, sangrado persistente, hallazgos ecográficos desfavorables, mayor carga de tejido retenido o circunstancias clínicas que aumentaban la probabilidad de requerir intervención posterior. Estos factores pueden reducir la proporción observada de éxito sin que necesariamente reflejen menor eficacia intrínseca del medicamento.</w:t>
      </w:r>
    </w:p>
    <w:p w14:paraId="611347B3" w14:textId="77777777" w:rsidR="001A30C6" w:rsidRPr="001A30C6" w:rsidRDefault="001A30C6" w:rsidP="001A30C6">
      <w:pPr>
        <w:rPr>
          <w:lang w:val="es-NI"/>
        </w:rPr>
      </w:pPr>
      <w:r w:rsidRPr="001A30C6">
        <w:rPr>
          <w:lang w:val="es-NI"/>
        </w:rPr>
        <w:t xml:space="preserve">El tiempo establecido para evaluar la resolución constituye otra explicación importante de la variabilidad encontrada. Fernlund et al. (2018), en un ensayo clínico realizado en Suecia, observaron que la proporción de aborto completo con misoprostol aumentó de 66% a los 10 días a 86% a los 31 días. Este hallazgo </w:t>
      </w:r>
      <w:r w:rsidRPr="001A30C6">
        <w:rPr>
          <w:lang w:val="es-NI"/>
        </w:rPr>
        <w:lastRenderedPageBreak/>
        <w:t>demuestra que la misma intervención puede generar estimaciones de éxito diferentes según el período permitido antes de clasificar el tratamiento como fallido. En la presente revisión, los estudios no utilizaron un tiempo uniforme de seguimiento ni criterios equivalentes para indicar una intervención adicional. Por ello, algunas pacientes pudieron ser clasificadas como fracaso en estudios con evaluación temprana, aunque hubieran alcanzado resolución completa con mayor tiempo de observación. Esta diferencia metodológica es especialmente relevante al interpretar las tasas inferiores reportadas en los estudios retrospectivos incluidos.</w:t>
      </w:r>
    </w:p>
    <w:p w14:paraId="498207C0" w14:textId="77777777" w:rsidR="001A30C6" w:rsidRPr="001A30C6" w:rsidRDefault="001A30C6" w:rsidP="001A30C6">
      <w:pPr>
        <w:rPr>
          <w:lang w:val="es-NI"/>
        </w:rPr>
      </w:pPr>
      <w:r w:rsidRPr="001A30C6">
        <w:rPr>
          <w:lang w:val="es-NI"/>
        </w:rPr>
        <w:t>La influencia de las características clínicas fue explorada con mayor detalle por Rueda Espinel (2022), uno de los estudios incluidos en la revisión. Esta cohorte prospectiva identificó que una pérdida gestacional después de la semana 13 y la necesidad de más de cuatro dosis de misoprostol se asociaron con mayor riesgo de fracaso del manejo médico. Estos hallazgos permiten comprender por qué no todas las mujeres incluidas en la presente síntesis tenían la misma probabilidad basal de éxito. Las pacientes con aborto incompleto y sangrado vaginal previo pueden tener mayor posibilidad de expulsión que aquellas con aborto diferido, embarazo anembrionado o huevo muerto retenido. Asimismo, la necesidad de dosis repetidas puede reflejar una menor respuesta uterina inicial o una condición clínica más compleja. De esta manera, la heterogeneidad observada entre los estudios incluidos no depende únicamente de la dosis o la vía de administración, sino también de la población tratada y del momento clínico en que se indica el medicamento.</w:t>
      </w:r>
    </w:p>
    <w:p w14:paraId="165831F2" w14:textId="77777777" w:rsidR="001A30C6" w:rsidRPr="001A30C6" w:rsidRDefault="001A30C6" w:rsidP="001A30C6">
      <w:pPr>
        <w:rPr>
          <w:lang w:val="es-NI"/>
        </w:rPr>
      </w:pPr>
      <w:r w:rsidRPr="001A30C6">
        <w:rPr>
          <w:lang w:val="es-NI"/>
        </w:rPr>
        <w:t>La comparación con el manejo expectante requiere diferenciar los estudios que evaluaron el tratamiento inicial del aborto espontáneo de aquellos que analizaron restos retenidos después de una intervención previa. Fernlund et al. (2018) compararon misoprostol vaginal con manejo expectante en mujeres con embarazo temprano no viable y sangrado vaginal. El misoprostol alcanzó una proporción mayor de aborto completo sin cirugía a los 10 y 31 días. De manera similar, Ghosh et al. (2021), en un metaanálisis en red, ubicaron al manejo médico por encima del manejo expectante para lograr aborto completo, aunque los procedimientos quirúrgicos mostraron la mayor efectividad relativa.</w:t>
      </w:r>
    </w:p>
    <w:p w14:paraId="760F4C9A" w14:textId="77777777" w:rsidR="001A30C6" w:rsidRPr="001A30C6" w:rsidRDefault="001A30C6" w:rsidP="001A30C6">
      <w:pPr>
        <w:rPr>
          <w:lang w:val="es-NI"/>
        </w:rPr>
      </w:pPr>
      <w:r w:rsidRPr="001A30C6">
        <w:rPr>
          <w:lang w:val="es-NI"/>
        </w:rPr>
        <w:lastRenderedPageBreak/>
        <w:t>Los datos de Alvarado-Franco et al. (2025), estudio incluido en la presente revisión, siguieron una dirección semejante, ya que la necesidad de tratamiento adicional fue menor entre las mujeres manejadas farmacológicamente que entre aquellas tratadas de forma expectante. Sin embargo, este hallazgo no demuestra superioridad del misoprostol frente al manejo expectante. A diferencia de Fernlund et al. (2018), el estudio peruano fue retrospectivo y no asignó las intervenciones de forma aleatoria. La decisión de utilizar manejo expectante, farmacológico o quirúrgico pudo depender de características como grosor endometrial, tamaño uterino, intensidad del sangrado, edad gestacional o evaluación clínica inicial. Estas diferencias por indicación pueden explicar parte de la menor necesidad de tratamiento adicional en el grupo farmacológico. Por tanto, Alvarado-Franco et al. aportan información sobre la práctica clínica hospitalaria, pero no permiten establecer una comparación causal entre las estrategias.</w:t>
      </w:r>
    </w:p>
    <w:p w14:paraId="02198101" w14:textId="77777777" w:rsidR="001A30C6" w:rsidRPr="001A30C6" w:rsidRDefault="001A30C6" w:rsidP="001A30C6">
      <w:pPr>
        <w:rPr>
          <w:lang w:val="es-NI"/>
        </w:rPr>
      </w:pPr>
      <w:r w:rsidRPr="001A30C6">
        <w:rPr>
          <w:lang w:val="es-NI"/>
        </w:rPr>
        <w:t>Van Poucke et al. (2025) informaron resultados distintos al no identificar una ventaja concluyente del misoprostol frente al manejo expectante en mujeres con restos retenidos después de un tratamiento inicial de pérdida gestacional temprana o aborto inducido. Esta aparente discrepancia respecto a Fernlund et al. (2018) y Ghosh et al. (2021) se explica por la diferencia entre las poblaciones estudiadas. Van Poucke et al. evaluaron mujeres en una fase posterior del proceso clínico, con persistencia de tejido residual después de una intervención inicial, mientras que Fernlund et al. estudiaron el manejo inicial de una pérdida gestacional temprana no viable. La cantidad de tejido retenido, el tiempo transcurrido, la actividad uterina espontánea y la posibilidad de resolución sin intervención pueden variar entre ambos escenarios. Por ello, la utilidad del misoprostol debe interpretarse de acuerdo con el tipo de aborto, el momento clínico y la historia terapéutica previa.</w:t>
      </w:r>
    </w:p>
    <w:p w14:paraId="12483127" w14:textId="77777777" w:rsidR="001A30C6" w:rsidRPr="001A30C6" w:rsidRDefault="001A30C6" w:rsidP="001A30C6">
      <w:pPr>
        <w:rPr>
          <w:lang w:val="es-NI"/>
        </w:rPr>
      </w:pPr>
      <w:r w:rsidRPr="001A30C6">
        <w:rPr>
          <w:lang w:val="es-NI"/>
        </w:rPr>
        <w:t xml:space="preserve">El perfil de seguridad también mostró una tendencia similar a la descrita en la literatura externa. Kim et al. (2017) reportaron mayor frecuencia de náuseas, vómitos y síntomas gastrointestinales con misoprostol que con evacuación quirúrgica. Menezes da Silva et al. (2023) informaron mayor frecuencia de sangrado abundante con misoprostol, mientras que el dolor posterior al tratamiento fue más </w:t>
      </w:r>
      <w:r w:rsidRPr="001A30C6">
        <w:rPr>
          <w:lang w:val="es-NI"/>
        </w:rPr>
        <w:lastRenderedPageBreak/>
        <w:t>frecuente con aspiración manual endouterina. Los estudios incluidos en la presente revisión reportaron principalmente dolor abdominal o pélvico, sangrado vaginal, náuseas, vómitos, fiebre y diarrea. La similitud es coherente con la acción uterotónica y gastrointestinal del medicamento.</w:t>
      </w:r>
    </w:p>
    <w:p w14:paraId="66291194" w14:textId="77777777" w:rsidR="001A30C6" w:rsidRPr="001A30C6" w:rsidRDefault="001A30C6" w:rsidP="001A30C6">
      <w:pPr>
        <w:rPr>
          <w:lang w:val="es-NI"/>
        </w:rPr>
      </w:pPr>
      <w:r w:rsidRPr="001A30C6">
        <w:rPr>
          <w:lang w:val="es-NI"/>
        </w:rPr>
        <w:t>Sin embargo, el dolor y el sangrado no deben interpretarse automáticamente como complicaciones. En el contexto del manejo médico, ambos pueden ser manifestaciones esperadas de la evacuación uterina. La valoración de seguridad debe centrarse en eventos como hemorragia persistente, inestabilidad hemodinámica, choque, infección, hospitalización o necesidad de intervención urgente. En los estudios incluidos se notificaron pocos eventos graves: Estrada y Espinal (2015) reportaron un caso de sangrado clínicamente significativo sin requerimiento de transfusión; Sepúlveda Rivera et al. (2019) describieron un caso de hemorragia con choque hipovolémico que requirió manejo quirúrgico; y Martínez-Rodas et al. (2020) informaron hemorragia en una minoría de las participantes. Estos hallazgos son compatibles con la literatura internacional, aunque no permiten calcular una frecuencia regional única debido a las diferencias en las definiciones, denominadores, tiempos de seguimiento y formas de registro de los eventos adversos.</w:t>
      </w:r>
    </w:p>
    <w:p w14:paraId="641CC8AA" w14:textId="42D64C87" w:rsidR="001A30C6" w:rsidRPr="001A30C6" w:rsidRDefault="00731E69" w:rsidP="001A30C6">
      <w:pPr>
        <w:rPr>
          <w:lang w:val="es-NI"/>
        </w:rPr>
      </w:pPr>
      <w:r>
        <w:rPr>
          <w:lang w:val="es-NI"/>
        </w:rPr>
        <w:t xml:space="preserve">Algunos estudios realizados en Nicaragua se encuentran disponibles y sus hallazgos se describen en detalle en la sección de antecedentes. Dichos </w:t>
      </w:r>
      <w:r w:rsidR="001A30C6" w:rsidRPr="001A30C6">
        <w:rPr>
          <w:lang w:val="es-NI"/>
        </w:rPr>
        <w:t xml:space="preserve">estudios aportan información importante para valorar la aplicabilidad local del misoprostol, aunque no pudieron ser incluidos en la presente revisión ni en el metaanálisis. </w:t>
      </w:r>
      <w:r>
        <w:rPr>
          <w:lang w:val="es-NI"/>
        </w:rPr>
        <w:t xml:space="preserve">Por ejemplo, </w:t>
      </w:r>
      <w:r w:rsidR="001A30C6" w:rsidRPr="001A30C6">
        <w:rPr>
          <w:lang w:val="es-NI"/>
        </w:rPr>
        <w:t xml:space="preserve">Morice Chamorro y Zúñiga González (2013) compararon misoprostol vaginal con legrado por aspiración uterina en mujeres con huevo muerto retenido o embarazo anembrionado. Los autores describieron resultados similares en evacuación satisfactoria, estabilidad hemodinámica, reacciones adversas y complicaciones, además de menor dolor y mayor satisfacción con misoprostol. Estos hallazgos son compatibles con la utilidad clínica observada en los estudios publicados incluidos y con los resultados de Verma et al. (2016). Sin embargo, el estudio fue excluido porque no presentó claramente el número de mujeres que </w:t>
      </w:r>
      <w:r w:rsidR="001A30C6" w:rsidRPr="001A30C6">
        <w:rPr>
          <w:lang w:val="es-NI"/>
        </w:rPr>
        <w:lastRenderedPageBreak/>
        <w:t>lograron evacuación uterina completa sin intervención adicional en cada grupo, lo que impidió calcular una medida comparativa de efecto.</w:t>
      </w:r>
    </w:p>
    <w:p w14:paraId="3C8B9845" w14:textId="77777777" w:rsidR="001A30C6" w:rsidRPr="001A30C6" w:rsidRDefault="001A30C6" w:rsidP="001A30C6">
      <w:pPr>
        <w:rPr>
          <w:lang w:val="es-NI"/>
        </w:rPr>
      </w:pPr>
      <w:r w:rsidRPr="001A30C6">
        <w:rPr>
          <w:lang w:val="es-NI"/>
        </w:rPr>
        <w:t>Obando Hebbert (2020) también comparó misoprostol sublingual con aspiración manual endouterina en mujeres con huevo muerto retenido de menos de 10 semanas. La autora concluyó que ambos tratamientos presentaron efectividad y seguridad comparables, y describió que la mayoría de las participantes no presentó reacciones adversas ni complicaciones secundarias. Este resultado respalda la factibilidad del manejo médico en el contexto nicaragüense. No obstante, el estudio fue excluido porque no informó de manera suficientemente desagregada los casos de éxito y fracaso por grupo ni presentó una comparación estadística que permitiera estimar con certeza la eficacia relativa del misoprostol frente a AMEU.</w:t>
      </w:r>
    </w:p>
    <w:p w14:paraId="62FBF00F" w14:textId="77777777" w:rsidR="001A30C6" w:rsidRPr="001A30C6" w:rsidRDefault="001A30C6" w:rsidP="001A30C6">
      <w:pPr>
        <w:rPr>
          <w:lang w:val="es-NI"/>
        </w:rPr>
      </w:pPr>
      <w:r w:rsidRPr="001A30C6">
        <w:rPr>
          <w:lang w:val="es-NI"/>
        </w:rPr>
        <w:t>Alvarado García y Morales Soza (2020) reportaron evolución clínica satisfactoria y ausencia de complicaciones atribuidas al misoprostol en mujeres con aborto inevitable atendidas en Nicaragua. Este resultado es coherente con la factibilidad y seguridad descritas en la evidencia regional. Sin embargo, no puede compararse directamente con la proporción de éxito del metaanálisis, ya que el estudio no incluyó grupo comparador ni informó el desenlace como número de mujeres con evacuación uterina completa o resolución sin intervención adicional. Sus resultados se centraron en dosis, vía de administración, intervalos entre dosis, tiempo de evolución y estancia hospitalaria. La exclusión respondió, por tanto, a la imposibilidad de obtener datos clínicos comparables para la síntesis cuantitativa, y no a la falta de relevancia del estudio para la práctica nacional.</w:t>
      </w:r>
    </w:p>
    <w:p w14:paraId="4F65AFB8" w14:textId="3242BB4C" w:rsidR="006E6759" w:rsidRPr="006E6759" w:rsidRDefault="001A30C6" w:rsidP="001A30C6">
      <w:pPr>
        <w:rPr>
          <w:lang w:val="es-NI"/>
        </w:rPr>
      </w:pPr>
      <w:r w:rsidRPr="001A30C6">
        <w:rPr>
          <w:lang w:val="es-NI"/>
        </w:rPr>
        <w:t xml:space="preserve">La interpretación de las comparaciones realizadas indica que el misoprostol logra resultados especialmente favorables cuando se administra a mujeres clínicamente seleccionadas, con diagnóstico confirmado, esquema terapéutico definido y seguimiento suficiente para permitir la expulsión completa. Las diferencias entre la estimación regional y los resultados de algunos estudios internacionales parecen depender principalmente de la diversidad de diagnósticos, poblaciones, protocolos, tiempos de evaluación y diseños metodológicos, más que de una diferencia regional en la respuesta farmacológica. Esta tendencia respalda el uso del misoprostol como </w:t>
      </w:r>
      <w:r w:rsidRPr="001A30C6">
        <w:rPr>
          <w:lang w:val="es-NI"/>
        </w:rPr>
        <w:lastRenderedPageBreak/>
        <w:t>una alternativa clínica capaz de evitar procedimientos quirúrgicos en una proporción importante de mujeres, mientras que la aspiración uterina conserva una ventaja cuando se requiere resolución inmediata, altamente predecible o clínicamente urgente.</w:t>
      </w:r>
    </w:p>
    <w:p w14:paraId="259924C5" w14:textId="0B12F978" w:rsidR="000E57BB" w:rsidRDefault="000E57BB" w:rsidP="006E6759">
      <w:pPr>
        <w:pStyle w:val="Ttulo2"/>
        <w:rPr>
          <w:lang w:val="es-NI"/>
        </w:rPr>
      </w:pPr>
      <w:bookmarkStart w:id="69" w:name="_Toc232987020"/>
      <w:r w:rsidRPr="000E57BB">
        <w:rPr>
          <w:lang w:val="es-NI"/>
        </w:rPr>
        <w:t>Autoevaluación del nivel de evidencia generado por la revisión sistemática</w:t>
      </w:r>
      <w:bookmarkEnd w:id="69"/>
    </w:p>
    <w:p w14:paraId="1B970860" w14:textId="4A353CB0" w:rsidR="00F27600" w:rsidRPr="00F27600" w:rsidRDefault="00F27600" w:rsidP="00F27600">
      <w:pPr>
        <w:rPr>
          <w:lang w:val="es-NI"/>
        </w:rPr>
      </w:pPr>
      <w:r w:rsidRPr="00F27600">
        <w:rPr>
          <w:lang w:val="es-NI"/>
        </w:rPr>
        <w:t>Aunque la presente revisión no aplicó formalmente el sistema GRADE</w:t>
      </w:r>
      <w:r>
        <w:rPr>
          <w:lang w:val="es-NI"/>
        </w:rPr>
        <w:t xml:space="preserve"> (</w:t>
      </w:r>
      <w:r w:rsidRPr="00F27600">
        <w:rPr>
          <w:lang w:val="es-NI"/>
        </w:rPr>
        <w:t>Guyatt</w:t>
      </w:r>
      <w:r>
        <w:rPr>
          <w:lang w:val="es-NI"/>
        </w:rPr>
        <w:t xml:space="preserve"> et al 2025)</w:t>
      </w:r>
      <w:r w:rsidRPr="00F27600">
        <w:rPr>
          <w:lang w:val="es-NI"/>
        </w:rPr>
        <w:t>, debido a la complejidad de su aplicación y a las características heterogéneas de los estudios incluidos, en esta sección se realiza una autoevaluación crítica de la evidencia generada, tomando como referencia sus principios</w:t>
      </w:r>
      <w:r>
        <w:rPr>
          <w:lang w:val="es-NI"/>
        </w:rPr>
        <w:t xml:space="preserve"> (</w:t>
      </w:r>
      <w:r w:rsidRPr="00F27600">
        <w:rPr>
          <w:lang w:val="es-NI"/>
        </w:rPr>
        <w:t>Guyatt</w:t>
      </w:r>
      <w:r>
        <w:rPr>
          <w:lang w:val="es-NI"/>
        </w:rPr>
        <w:t xml:space="preserve"> et al 2025)</w:t>
      </w:r>
      <w:r w:rsidRPr="00F27600">
        <w:rPr>
          <w:lang w:val="es-NI"/>
        </w:rPr>
        <w:t>. Este juicio se centra exclusivamente en el éxito del manejo con misoprostol, tanto en la estimación global de resolución sin intervención adicional como en su comparación con otras alternativas terapéuticas.</w:t>
      </w:r>
    </w:p>
    <w:p w14:paraId="1ECED08C" w14:textId="77777777" w:rsidR="00F27600" w:rsidRPr="00F27600" w:rsidRDefault="00F27600" w:rsidP="00F27600">
      <w:pPr>
        <w:rPr>
          <w:lang w:val="es-NI"/>
        </w:rPr>
      </w:pPr>
      <w:r w:rsidRPr="00F27600">
        <w:rPr>
          <w:lang w:val="es-NI"/>
        </w:rPr>
        <w:t>La certeza de la estimación global de éxito con misoprostol se considera baja. La proporción combinada de 81,1% sugiere que el manejo médico puede lograr resolución clínica en una proporción importante de mujeres; sin embargo, la mayoría de los estudios fueron observacionales, varios no incluyeron grupo comparador y existieron diferencias relevantes en diagnóstico, edad gestacional, dosis, vía de administración, número de dosis, tiempo de seguimiento y definición de éxito. La heterogeneidad elevada y la amplitud del intervalo de confianza reducen la precisión con la que esta proporción puede aplicarse a una paciente o contexto clínico específico. La estimación de 92,3% obtenida únicamente de los artículos revisados por pares es más favorable, pero no alcanza certeza moderada o alta, porque persisten diferencias metodológicas importantes y tres de los cuatro estudios fueron observacionales.</w:t>
      </w:r>
    </w:p>
    <w:p w14:paraId="07714B87" w14:textId="77777777" w:rsidR="00F27600" w:rsidRPr="00F27600" w:rsidRDefault="00F27600" w:rsidP="00F27600">
      <w:pPr>
        <w:rPr>
          <w:lang w:val="es-NI"/>
        </w:rPr>
      </w:pPr>
      <w:r w:rsidRPr="00F27600">
        <w:rPr>
          <w:lang w:val="es-NI"/>
        </w:rPr>
        <w:t>La evidencia comparativa frente a aspiración uterina, legrado o manejo expectante es aún más limitada. Solo un ensayo aleatorizado aportó una comparación directa utilizable entre misoprostol y AMEU, mientras los demás estudios comparativos presentaron datos incompletos, retrospectivos o no ajustados. Por ello, la presente revisión no permite establecer con certeza la eficacia relativa del misoprostol frente a otras estrategias.</w:t>
      </w:r>
    </w:p>
    <w:p w14:paraId="71F918FA" w14:textId="4BEECB48" w:rsidR="006E6759" w:rsidRPr="006E6759" w:rsidRDefault="00F27600" w:rsidP="00F27600">
      <w:pPr>
        <w:rPr>
          <w:lang w:val="es-NI"/>
        </w:rPr>
      </w:pPr>
      <w:r w:rsidRPr="00F27600">
        <w:rPr>
          <w:lang w:val="es-NI"/>
        </w:rPr>
        <w:lastRenderedPageBreak/>
        <w:t>En contraste, revisiones internacionales como Kim et al. (2017), Ghosh et al. (2021) y Menezes da Silva et al. (2023) incluyeron múltiples ensayos clínicos aleatorizados y produjeron evidencia comparativa de mayor solidez. La presente investigación aporta evidencia contextual latinoamericana, pero requiere estudios regionales comparativos para aumentar la certeza sobre la eficacia global y relativa del misoprostol.</w:t>
      </w:r>
    </w:p>
    <w:p w14:paraId="7F246AB6" w14:textId="7C402B59" w:rsidR="000E57BB" w:rsidRDefault="000E57BB" w:rsidP="006E6759">
      <w:pPr>
        <w:pStyle w:val="Ttulo2"/>
        <w:rPr>
          <w:lang w:val="es-NI"/>
        </w:rPr>
      </w:pPr>
      <w:bookmarkStart w:id="70" w:name="_Toc232987021"/>
      <w:r w:rsidRPr="000E57BB">
        <w:rPr>
          <w:lang w:val="es-NI"/>
        </w:rPr>
        <w:t>Implicaciones para la práctica clínica y las políticas de salud en América Latina y Nicaragua</w:t>
      </w:r>
      <w:bookmarkEnd w:id="70"/>
    </w:p>
    <w:p w14:paraId="622FF665" w14:textId="77777777" w:rsidR="004F74B1" w:rsidRPr="004F74B1" w:rsidRDefault="004F74B1" w:rsidP="004F74B1">
      <w:pPr>
        <w:rPr>
          <w:lang w:val="es-NI"/>
        </w:rPr>
      </w:pPr>
      <w:r w:rsidRPr="004F74B1">
        <w:rPr>
          <w:lang w:val="es-NI"/>
        </w:rPr>
        <w:t>Los resultados de esta revisión sugieren que el misoprostol puede constituir una alternativa clínica útil para el manejo del aborto espontáneo del primer trimestre en América Latina, especialmente en mujeres hemodinámicamente estables, con diagnóstico confirmado y posibilidad de seguimiento. La proporción global de éxito observada indica que una parte importante de las pacientes puede lograr resolución sin requerir una intervención uterina adicional. Este hallazgo tiene relevancia práctica en sistemas de salud donde la disponibilidad de quirófano, aspiración uterina, anestesia, ecografía o personal capacitado puede variar entre territorios y niveles de atención. Sin embargo, estos resultados no deben interpretarse como una sustitución universal de la evacuación quirúrgica, ya que esta continúa siendo necesaria cuando existe hemorragia significativa, infección, inestabilidad hemodinámica, contraindicación para manejo médico, fracaso terapéutico o necesidad de resolución inmediata.</w:t>
      </w:r>
    </w:p>
    <w:p w14:paraId="2A04B686" w14:textId="77777777" w:rsidR="004F74B1" w:rsidRPr="004F74B1" w:rsidRDefault="004F74B1" w:rsidP="004F74B1">
      <w:pPr>
        <w:rPr>
          <w:lang w:val="es-NI"/>
        </w:rPr>
      </w:pPr>
      <w:r w:rsidRPr="004F74B1">
        <w:rPr>
          <w:lang w:val="es-NI"/>
        </w:rPr>
        <w:t xml:space="preserve">Para la práctica clínica, la principal implicación es que la selección de la estrategia terapéutica debe realizarse de forma individualizada. El uso del misoprostol requiere confirmar la no viabilidad de la gestación, descartar embarazo ectópico, valorar la intensidad del sangrado y el estado clínico general, así como asegurar que la paciente comprenda el proceso esperado, la posibilidad de requerir dosis adicionales o evacuación posterior y los signos de alarma. El éxito del manejo no debe definirse exclusivamente mediante un hallazgo ecográfico aislado, sino a partir de la evolución clínica, el sangrado, el dolor, los signos vitales, la ausencia de infección y la necesidad o no de intervención adicional. Esta aproximación puede </w:t>
      </w:r>
      <w:r w:rsidRPr="004F74B1">
        <w:rPr>
          <w:lang w:val="es-NI"/>
        </w:rPr>
        <w:lastRenderedPageBreak/>
        <w:t>evitar procedimientos innecesarios sin retrasar la atención de complicaciones reales.</w:t>
      </w:r>
    </w:p>
    <w:p w14:paraId="178E0941" w14:textId="77777777" w:rsidR="004F74B1" w:rsidRPr="004F74B1" w:rsidRDefault="004F74B1" w:rsidP="004F74B1">
      <w:pPr>
        <w:rPr>
          <w:lang w:val="es-NI"/>
        </w:rPr>
      </w:pPr>
      <w:r w:rsidRPr="004F74B1">
        <w:rPr>
          <w:lang w:val="es-NI"/>
        </w:rPr>
        <w:t>En América Latina, las políticas de salud podrían fortalecer protocolos estandarizados para el manejo médico de la pérdida gestacional temprana, con criterios explícitos de elegibilidad, esquemas de administración, analgesia, seguimiento, reevaluación y referencia. La heterogeneidad encontrada entre los estudios muestra que no basta con disponer del medicamento; también se requiere una ruta asistencial que defina cuándo indicar manejo médico, cuándo esperar la evolución, cuándo realizar aspiración uterina y cómo registrar los desenlaces clínicos. La estandarización del reporte de éxito, fracaso, intervención adicional y tiempo hasta la resolución permitiría mejorar tanto la calidad de la atención como la generación futura de evidencia regional.</w:t>
      </w:r>
    </w:p>
    <w:p w14:paraId="5C85BB3A" w14:textId="77777777" w:rsidR="004F74B1" w:rsidRPr="004F74B1" w:rsidRDefault="004F74B1" w:rsidP="004F74B1">
      <w:pPr>
        <w:rPr>
          <w:lang w:val="es-NI"/>
        </w:rPr>
      </w:pPr>
      <w:r w:rsidRPr="004F74B1">
        <w:rPr>
          <w:lang w:val="es-NI"/>
        </w:rPr>
        <w:t>En Nicaragua, los hallazgos son particularmente pertinentes porque la Normativa 109 reconoce el manejo del aborto y de las hemorragias de la primera mitad del embarazo como parte de las complicaciones obstétricas que requieren evaluación oportuna, estabilización y atención según la capacidad resolutiva de cada unidad (MINSA, 2018). La normativa prioriza la aspiración manual endouterina cuando está indicada y reserva el legrado instrumental para situaciones donde no se dispone de AMEU. A la vez, contempla esquemas de misoprostol para el manejo médico, los cuales deben aplicarse bajo vigilancia clínica y con acceso a intervención adicional cuando sea necesaria.</w:t>
      </w:r>
    </w:p>
    <w:p w14:paraId="44CBF157" w14:textId="0DEEBEE2" w:rsidR="006E6759" w:rsidRPr="006E6759" w:rsidRDefault="004F74B1" w:rsidP="004F74B1">
      <w:pPr>
        <w:rPr>
          <w:lang w:val="es-NI"/>
        </w:rPr>
      </w:pPr>
      <w:r w:rsidRPr="004F74B1">
        <w:rPr>
          <w:lang w:val="es-NI"/>
        </w:rPr>
        <w:t xml:space="preserve">Por tanto, el misoprostol no debe considerarse una intervención aislada ni una opción destinada únicamente a sustituir procedimientos quirúrgicos. Su utilidad en Nicaragua radica en ampliar las alternativas de manejo dentro de una red organizada de servicios, particularmente cuando una paciente estable puede beneficiarse de un abordaje médico y evitar una evacuación uterina inmediata. Esto exige disponibilidad del medicamento, capacitación del personal, consejería clara, mecanismos de seguimiento y una referencia funcional hacia unidades con capacidad para realizar aspiración uterina, transfusión, manejo de sepsis o atención de urgencias. Los estudios nicaragüenses previamente identificados, aunque no </w:t>
      </w:r>
      <w:r w:rsidRPr="004F74B1">
        <w:rPr>
          <w:lang w:val="es-NI"/>
        </w:rPr>
        <w:lastRenderedPageBreak/>
        <w:t>pudieron incorporarse al metaanálisis por limitaciones en el reporte de los desenlaces, también muestran que existe experiencia clínica local que puede servir de base para fortalecer protocolos, registros y futuras evaluaciones comparativas.</w:t>
      </w:r>
    </w:p>
    <w:p w14:paraId="331EBD75" w14:textId="58E19366" w:rsidR="000E57BB" w:rsidRDefault="000E57BB" w:rsidP="006E6759">
      <w:pPr>
        <w:pStyle w:val="Ttulo2"/>
        <w:rPr>
          <w:lang w:val="es-NI"/>
        </w:rPr>
      </w:pPr>
      <w:bookmarkStart w:id="71" w:name="_Toc232987022"/>
      <w:r w:rsidRPr="000E57BB">
        <w:rPr>
          <w:lang w:val="es-NI"/>
        </w:rPr>
        <w:t xml:space="preserve">Implicaciones para </w:t>
      </w:r>
      <w:r w:rsidR="004F74B1">
        <w:rPr>
          <w:lang w:val="es-NI"/>
        </w:rPr>
        <w:t>investigaciones futuras</w:t>
      </w:r>
      <w:bookmarkEnd w:id="71"/>
    </w:p>
    <w:p w14:paraId="55F43AE5" w14:textId="77777777" w:rsidR="004F74B1" w:rsidRPr="004F74B1" w:rsidRDefault="004F74B1" w:rsidP="004F74B1">
      <w:pPr>
        <w:rPr>
          <w:lang w:val="es-NI"/>
        </w:rPr>
      </w:pPr>
      <w:r w:rsidRPr="004F74B1">
        <w:rPr>
          <w:lang w:val="es-NI"/>
        </w:rPr>
        <w:t>La evidencia disponible señala la necesidad de fortalecer la investigación regional sobre el manejo médico del aborto espontáneo del primer trimestre, especialmente mediante estudios comparativos realizados en contextos latinoamericanos. Una prioridad es desarrollar ensayos clínicos que comparen misoprostol con aspiración manual endouterina, manejo expectante y, cuando corresponda, otros procedimientos de evacuación uterina. Estas investigaciones permitirían determinar con mayor precisión en qué escenarios clínicos el manejo médico ofrece resultados comparables, y en cuáles la intervención quirúrgica continúa siendo la alternativa más apropiada.</w:t>
      </w:r>
    </w:p>
    <w:p w14:paraId="10EEE200" w14:textId="77777777" w:rsidR="004F74B1" w:rsidRPr="004F74B1" w:rsidRDefault="004F74B1" w:rsidP="004F74B1">
      <w:pPr>
        <w:rPr>
          <w:lang w:val="es-NI"/>
        </w:rPr>
      </w:pPr>
      <w:r w:rsidRPr="004F74B1">
        <w:rPr>
          <w:lang w:val="es-NI"/>
        </w:rPr>
        <w:t>También se requieren estudios orientados a identificar qué características clínicas modifican la probabilidad de éxito con misoprostol. Entre ellas se incluyen el tipo de aborto, edad gestacional, presencia de sangrado previo, hallazgos ecográficos, volumen de restos retenidos, antecedentes obstétricos y necesidad de dosis repetidas. Esta línea de investigación podría contribuir a construir criterios de selección más precisos y favorecer decisiones terapéuticas individualizadas.</w:t>
      </w:r>
    </w:p>
    <w:p w14:paraId="167E4117" w14:textId="77777777" w:rsidR="004F74B1" w:rsidRPr="004F74B1" w:rsidRDefault="004F74B1" w:rsidP="004F74B1">
      <w:pPr>
        <w:rPr>
          <w:lang w:val="es-NI"/>
        </w:rPr>
      </w:pPr>
      <w:r w:rsidRPr="004F74B1">
        <w:rPr>
          <w:lang w:val="es-NI"/>
        </w:rPr>
        <w:t>Otra área prioritaria es la evaluación de esquemas terapéuticos. Son necesarios estudios que comparen diferentes vías de administración, dosis, intervalos y número de dosis de misoprostol según el diagnóstico clínico. La evidencia regional mostró una amplia diversidad de protocolos, sin permitir identificar un esquema óptimo aplicable a todos los tipos de pérdida gestacional temprana.</w:t>
      </w:r>
    </w:p>
    <w:p w14:paraId="2D11306F" w14:textId="37A868E2" w:rsidR="006E6759" w:rsidRPr="006E6759" w:rsidRDefault="004F74B1" w:rsidP="004F74B1">
      <w:pPr>
        <w:rPr>
          <w:lang w:val="es-NI"/>
        </w:rPr>
      </w:pPr>
      <w:r w:rsidRPr="004F74B1">
        <w:rPr>
          <w:lang w:val="es-NI"/>
        </w:rPr>
        <w:t xml:space="preserve">En Nicaragua, serían particularmente relevantes estudios prospectivos multicéntricos que evalúen la efectividad, aceptabilidad, costos, tiempos de resolución y necesidad de referencia en unidades con distinta capacidad resolutiva. También se necesitan investigaciones sobre la factibilidad de implementar protocolos de manejo médico dentro de la red de servicios definida por el MINSA, especialmente en territorios donde el acceso inmediato a aspiración uterina o </w:t>
      </w:r>
      <w:r w:rsidRPr="004F74B1">
        <w:rPr>
          <w:lang w:val="es-NI"/>
        </w:rPr>
        <w:lastRenderedPageBreak/>
        <w:t>quirófano puede ser limitado. Estas líneas permitirían generar evidencia nacional útil para actualizar protocolos, mejorar la continuidad asistencial y orientar decisiones de política sanitaria.</w:t>
      </w:r>
    </w:p>
    <w:p w14:paraId="57C7F2C2" w14:textId="3D56F65D" w:rsidR="00627974" w:rsidRDefault="000E57BB" w:rsidP="006E6759">
      <w:pPr>
        <w:pStyle w:val="Ttulo2"/>
        <w:rPr>
          <w:lang w:val="es-NI"/>
        </w:rPr>
      </w:pPr>
      <w:bookmarkStart w:id="72" w:name="_Toc232987023"/>
      <w:r w:rsidRPr="000E57BB">
        <w:rPr>
          <w:lang w:val="es-NI"/>
        </w:rPr>
        <w:t>Fortalezas y limitaciones de la revisión sistemática y el metaanálisis</w:t>
      </w:r>
      <w:bookmarkEnd w:id="72"/>
    </w:p>
    <w:p w14:paraId="320EAAA7" w14:textId="77777777" w:rsidR="004A512A" w:rsidRPr="004A512A" w:rsidRDefault="004A512A" w:rsidP="004A512A">
      <w:pPr>
        <w:rPr>
          <w:lang w:val="es-NI"/>
        </w:rPr>
      </w:pPr>
      <w:r w:rsidRPr="004A512A">
        <w:rPr>
          <w:lang w:val="es-NI"/>
        </w:rPr>
        <w:t>Una fortaleza principal de esta revisión fue su enfoque específico en América Latina, una región donde la evidencia sobre el manejo médico del aborto espontáneo del primer trimestre se encuentra dispersa y presenta menor visibilidad en las revisiones internacionales. La inclusión de estudios publicados en revistas científicas revisadas por pares y de tesis académicas permitió recuperar información procedente de distintos contextos asistenciales y ampliar la representación regional de los resultados clínicos del misoprostol. Esta estrategia fue particularmente relevante debido a que parte de la producción científica latinoamericana se difunde mediante literatura académica y no exclusivamente en revistas indexadas.</w:t>
      </w:r>
    </w:p>
    <w:p w14:paraId="0AE68C68" w14:textId="77777777" w:rsidR="004A512A" w:rsidRPr="004A512A" w:rsidRDefault="004A512A" w:rsidP="004A512A">
      <w:pPr>
        <w:rPr>
          <w:lang w:val="es-NI"/>
        </w:rPr>
      </w:pPr>
      <w:r w:rsidRPr="004A512A">
        <w:rPr>
          <w:lang w:val="es-NI"/>
        </w:rPr>
        <w:t>La revisión fue desarrollada con base en la declaración PRISMA 2020, mediante una pregunta de investigación previamente definida, criterios de elegibilidad explícitos, búsqueda en cinco fuentes de información y un proceso documentado de identificación, cribado, elegibilidad e inclusión de estudios. Asimismo, se evaluó el riesgo de sesgo del ensayo clínico aleatorizado mediante la herramienta RoB 2 y la calidad metodológica de los estudios observacionales mediante la escala Newcastle-Ottawa adaptada. Esta evaluación permitió interpretar los hallazgos considerando las limitaciones propias de cada diseño, en lugar de basar las conclusiones únicamente en las proporciones de éxito reportadas.</w:t>
      </w:r>
    </w:p>
    <w:p w14:paraId="60621D56" w14:textId="77777777" w:rsidR="004A512A" w:rsidRPr="004A512A" w:rsidRDefault="004A512A" w:rsidP="004A512A">
      <w:pPr>
        <w:rPr>
          <w:lang w:val="es-NI"/>
        </w:rPr>
      </w:pPr>
      <w:r w:rsidRPr="004A512A">
        <w:rPr>
          <w:lang w:val="es-NI"/>
        </w:rPr>
        <w:t xml:space="preserve">Otra fortaleza fue la realización de un metaanálisis de proporciones mediante modelos de efectos aleatorios, adecuado ante la heterogeneidad clínica y metodológica anticipada. La separación del análisis entre artículos publicados, tesis y estudios combinados permitió explorar diferencias importantes según el tipo de publicación. Además, la evaluación de heterogeneidad, el análisis de gráficos de embudo y las pruebas de Egger y Begg contribuyeron a una interpretación más cautelosa de la estimación global. La síntesis narrativa de los estudios comparativos </w:t>
      </w:r>
      <w:r w:rsidRPr="004A512A">
        <w:rPr>
          <w:lang w:val="es-NI"/>
        </w:rPr>
        <w:lastRenderedPageBreak/>
        <w:t>y de los desenlaces de seguridad permitió conservar información clínicamente relevante cuando los datos no podían combinarse cuantitativamente.</w:t>
      </w:r>
    </w:p>
    <w:p w14:paraId="76379F8C" w14:textId="1F83C467" w:rsidR="008769A4" w:rsidRDefault="004A512A" w:rsidP="004A512A">
      <w:pPr>
        <w:rPr>
          <w:lang w:val="es-NI"/>
        </w:rPr>
      </w:pPr>
      <w:r w:rsidRPr="004A512A">
        <w:rPr>
          <w:lang w:val="es-NI"/>
        </w:rPr>
        <w:t>La principal limitación fue la heterogeneidad de los estudios incluidos. Las investigaciones evaluaron distintos diagnósticos, edades gestacionales, vías de administración, dosis, número de aplicaciones, períodos de seguimiento y definiciones de éxito. Aunque estas definiciones se consideraron clínicamente equivalentes para estimar la resolución sin intervención adicional, no representan un desenlace completamente uniforme. Por ello, la proporción combinada debe entenderse como una estimación general de experiencias regionales diversas y no como una tasa aplicable de forma idéntica a todas las pacientes.</w:t>
      </w:r>
      <w:r>
        <w:rPr>
          <w:lang w:val="es-NI"/>
        </w:rPr>
        <w:t xml:space="preserve"> </w:t>
      </w:r>
      <w:r w:rsidRPr="004A512A">
        <w:rPr>
          <w:lang w:val="es-NI"/>
        </w:rPr>
        <w:t>Estas limitaciones no invalidan los resultados, pero justifican una interpretación prudente y refuerzan la necesidad de estudios latinoamericanos comparativos con protocolos y desenlaces estandarizados.</w:t>
      </w:r>
    </w:p>
    <w:p w14:paraId="61A61A24" w14:textId="3C45B33E" w:rsidR="00627974" w:rsidRDefault="00627974" w:rsidP="00EC41BF">
      <w:pPr>
        <w:rPr>
          <w:lang w:val="es-NI"/>
        </w:rPr>
      </w:pPr>
    </w:p>
    <w:p w14:paraId="58FA1508" w14:textId="0D05C700" w:rsidR="00627974" w:rsidRDefault="00627974" w:rsidP="00EC41BF">
      <w:pPr>
        <w:rPr>
          <w:lang w:val="es-NI"/>
        </w:rPr>
      </w:pPr>
    </w:p>
    <w:p w14:paraId="31AFFE7A" w14:textId="47C25FFE" w:rsidR="00627974" w:rsidRDefault="00627974" w:rsidP="00EC41BF">
      <w:pPr>
        <w:rPr>
          <w:lang w:val="es-NI"/>
        </w:rPr>
      </w:pPr>
    </w:p>
    <w:p w14:paraId="06E96CAB" w14:textId="43FA83FC" w:rsidR="00627974" w:rsidRDefault="00627974" w:rsidP="00EC41BF">
      <w:pPr>
        <w:rPr>
          <w:lang w:val="es-NI"/>
        </w:rPr>
      </w:pPr>
    </w:p>
    <w:p w14:paraId="7CA6264C" w14:textId="0D1823F4" w:rsidR="00627974" w:rsidRDefault="00627974" w:rsidP="00EC41BF">
      <w:pPr>
        <w:rPr>
          <w:lang w:val="es-NI"/>
        </w:rPr>
      </w:pPr>
    </w:p>
    <w:p w14:paraId="7228024F" w14:textId="03ED7329" w:rsidR="00627974" w:rsidRDefault="00627974" w:rsidP="00EC41BF">
      <w:pPr>
        <w:rPr>
          <w:lang w:val="es-NI"/>
        </w:rPr>
      </w:pPr>
    </w:p>
    <w:p w14:paraId="47679315" w14:textId="6B826664" w:rsidR="00627974" w:rsidRDefault="00627974" w:rsidP="00EC41BF">
      <w:pPr>
        <w:rPr>
          <w:lang w:val="es-NI"/>
        </w:rPr>
      </w:pPr>
    </w:p>
    <w:p w14:paraId="049EFB66" w14:textId="621F2F46" w:rsidR="00627974" w:rsidRDefault="00627974" w:rsidP="00EC41BF">
      <w:pPr>
        <w:rPr>
          <w:lang w:val="es-NI"/>
        </w:rPr>
      </w:pPr>
    </w:p>
    <w:p w14:paraId="61658B9C" w14:textId="0FA9D131" w:rsidR="00627974" w:rsidRDefault="00627974" w:rsidP="00EC41BF">
      <w:pPr>
        <w:rPr>
          <w:lang w:val="es-NI"/>
        </w:rPr>
      </w:pPr>
    </w:p>
    <w:p w14:paraId="00CAFF66" w14:textId="06B4A12F" w:rsidR="00627974" w:rsidRDefault="00627974" w:rsidP="00EC41BF">
      <w:pPr>
        <w:rPr>
          <w:lang w:val="es-NI"/>
        </w:rPr>
      </w:pPr>
    </w:p>
    <w:p w14:paraId="5A98333C" w14:textId="1BF25BC1" w:rsidR="00627974" w:rsidRDefault="00627974" w:rsidP="00EC41BF">
      <w:pPr>
        <w:rPr>
          <w:lang w:val="es-NI"/>
        </w:rPr>
      </w:pPr>
    </w:p>
    <w:p w14:paraId="3BB6B9E7" w14:textId="6C06B4FF" w:rsidR="00627974" w:rsidRDefault="00627974" w:rsidP="00EC41BF">
      <w:pPr>
        <w:rPr>
          <w:lang w:val="es-NI"/>
        </w:rPr>
      </w:pPr>
    </w:p>
    <w:p w14:paraId="585A91EC" w14:textId="259CEB2B" w:rsidR="00627974" w:rsidRDefault="00627974" w:rsidP="00EC41BF">
      <w:pPr>
        <w:rPr>
          <w:lang w:val="es-NI"/>
        </w:rPr>
      </w:pPr>
    </w:p>
    <w:p w14:paraId="4FDA60CF" w14:textId="4BA0BE0E" w:rsidR="00627974" w:rsidRDefault="00627974" w:rsidP="00627974">
      <w:pPr>
        <w:pStyle w:val="Ttulo1"/>
        <w:rPr>
          <w:lang w:val="es-NI"/>
        </w:rPr>
      </w:pPr>
      <w:bookmarkStart w:id="73" w:name="_Toc232987024"/>
      <w:r>
        <w:rPr>
          <w:lang w:val="es-NI"/>
        </w:rPr>
        <w:lastRenderedPageBreak/>
        <w:t>Conclusiones</w:t>
      </w:r>
      <w:bookmarkEnd w:id="73"/>
    </w:p>
    <w:p w14:paraId="51CA3A34" w14:textId="77777777" w:rsidR="00B15CB4" w:rsidRPr="00B15CB4" w:rsidRDefault="00B15CB4" w:rsidP="00B15CB4">
      <w:pPr>
        <w:pStyle w:val="Prrafodelista"/>
        <w:numPr>
          <w:ilvl w:val="0"/>
          <w:numId w:val="8"/>
        </w:numPr>
        <w:spacing w:after="120"/>
        <w:ind w:left="714" w:hanging="357"/>
        <w:contextualSpacing w:val="0"/>
        <w:rPr>
          <w:lang w:val="es-NI"/>
        </w:rPr>
      </w:pPr>
      <w:r w:rsidRPr="00B15CB4">
        <w:rPr>
          <w:lang w:val="es-NI"/>
        </w:rPr>
        <w:t>La evidencia identificada en América Latina muestra que el misoprostol ha sido evaluado en distintos escenarios de aborto espontáneo del primer trimestre, con variaciones en diagnóstico clínico, esquema terapéutico y forma de seguimiento. Esta diversidad refleja la utilización regional del manejo médico como una alternativa disponible, pero también evidencia que sus resultados deben interpretarse de acuerdo con las características clínicas de cada paciente y el protocolo aplicado.</w:t>
      </w:r>
    </w:p>
    <w:p w14:paraId="5627BF6C" w14:textId="77777777" w:rsidR="00B15CB4" w:rsidRPr="00B15CB4" w:rsidRDefault="00B15CB4" w:rsidP="00B15CB4">
      <w:pPr>
        <w:pStyle w:val="Prrafodelista"/>
        <w:numPr>
          <w:ilvl w:val="0"/>
          <w:numId w:val="8"/>
        </w:numPr>
        <w:spacing w:after="120"/>
        <w:ind w:left="714" w:hanging="357"/>
        <w:contextualSpacing w:val="0"/>
        <w:rPr>
          <w:lang w:val="es-NI"/>
        </w:rPr>
      </w:pPr>
      <w:r w:rsidRPr="00B15CB4">
        <w:rPr>
          <w:lang w:val="es-NI"/>
        </w:rPr>
        <w:t>La evaluación metodológica mostró que los estudios incluidos aportan información útil sobre el manejo con misoprostol, aunque con niveles de calidad variables. El ensayo clínico aleatorizado presentó algunas preocupaciones de sesgo, mientras que los estudios observacionales mostraron calidad entre baja y alta. Por ello, los resultados permiten orientar la interpretación clínica del manejo médico, pero requieren ser considerados con cautela al extrapolarlos a todos los contextos asistenciales de la región.</w:t>
      </w:r>
    </w:p>
    <w:p w14:paraId="4DE7669A" w14:textId="77777777" w:rsidR="00B15CB4" w:rsidRPr="00B15CB4" w:rsidRDefault="00B15CB4" w:rsidP="00B15CB4">
      <w:pPr>
        <w:pStyle w:val="Prrafodelista"/>
        <w:numPr>
          <w:ilvl w:val="0"/>
          <w:numId w:val="8"/>
        </w:numPr>
        <w:spacing w:after="120"/>
        <w:ind w:left="714" w:hanging="357"/>
        <w:contextualSpacing w:val="0"/>
        <w:rPr>
          <w:lang w:val="es-NI"/>
        </w:rPr>
      </w:pPr>
      <w:r w:rsidRPr="00B15CB4">
        <w:rPr>
          <w:lang w:val="es-NI"/>
        </w:rPr>
        <w:t>El misoprostol logró resolución completa sin necesidad de intervención adicional en una proporción importante de las mujeres tratadas. La estimación global fue de 81,1%, y alcanzó 92,3% al analizar los estudios publicados en revistas científicas revisadas por pares. Estos hallazgos respaldan su utilidad como alternativa médica en mujeres seleccionadas; sin embargo, la información disponible no permitió establecer de forma concluyente su eficacia relativa frente al manejo quirúrgico o expectante.</w:t>
      </w:r>
    </w:p>
    <w:p w14:paraId="70A7FE2B" w14:textId="41581004" w:rsidR="00627974" w:rsidRPr="00B15CB4" w:rsidRDefault="00B15CB4" w:rsidP="00B15CB4">
      <w:pPr>
        <w:pStyle w:val="Prrafodelista"/>
        <w:numPr>
          <w:ilvl w:val="0"/>
          <w:numId w:val="8"/>
        </w:numPr>
        <w:spacing w:after="120"/>
        <w:ind w:left="714" w:hanging="357"/>
        <w:contextualSpacing w:val="0"/>
        <w:rPr>
          <w:lang w:val="es-NI"/>
        </w:rPr>
      </w:pPr>
      <w:r w:rsidRPr="00B15CB4">
        <w:rPr>
          <w:lang w:val="es-NI"/>
        </w:rPr>
        <w:t>Las reacciones adversas reportadas fueron principalmente compatibles con el efecto farmacológico esperado del misoprostol, particularmente dolor abdominal o pélvico, sangrado vaginal y manifestaciones gastrointestinales. Las complicaciones clínicamente relevantes fueron poco frecuentes en los estudios que las reportaron. En consecuencia, el manejo con misoprostol puede considerarse una alternativa con perfil clínico aceptable cuando se acompaña de valoración inicial adecuada, seguimiento y disponibilidad de intervención adicional ante signos de alarma o falta de resolución.</w:t>
      </w:r>
    </w:p>
    <w:p w14:paraId="36C451BB" w14:textId="3A084957" w:rsidR="00627974" w:rsidRDefault="00627974" w:rsidP="00627974">
      <w:pPr>
        <w:pStyle w:val="Ttulo1"/>
        <w:rPr>
          <w:lang w:val="es-NI"/>
        </w:rPr>
      </w:pPr>
      <w:bookmarkStart w:id="74" w:name="_Toc232987025"/>
      <w:r>
        <w:rPr>
          <w:lang w:val="es-NI"/>
        </w:rPr>
        <w:lastRenderedPageBreak/>
        <w:t>Recomendaciones</w:t>
      </w:r>
      <w:bookmarkEnd w:id="74"/>
    </w:p>
    <w:p w14:paraId="3767833C" w14:textId="77777777" w:rsidR="00214E38" w:rsidRPr="00214E38" w:rsidRDefault="00214E38" w:rsidP="00214E38">
      <w:pPr>
        <w:rPr>
          <w:b/>
          <w:bCs/>
        </w:rPr>
      </w:pPr>
      <w:r w:rsidRPr="00214E38">
        <w:rPr>
          <w:b/>
          <w:bCs/>
        </w:rPr>
        <w:t>Para el personal asistencial en Nicaragua y América Latina</w:t>
      </w:r>
    </w:p>
    <w:p w14:paraId="19227143" w14:textId="77777777" w:rsidR="00214E38" w:rsidRDefault="00214E38" w:rsidP="00214E38">
      <w:pPr>
        <w:pStyle w:val="Prrafodelista"/>
        <w:numPr>
          <w:ilvl w:val="0"/>
          <w:numId w:val="12"/>
        </w:numPr>
      </w:pPr>
      <w:r>
        <w:t>Fortalecer la aplicación homogénea de los protocolos ya existentes mediante capacitación continua sobre selección clínica de pacientes, definición de fracaso terapéutico, criterios de reevaluación y referencia oportuna. Esto permitiría reducir variaciones innecesarias en la práctica clínica y evitar que diferencias en el seguimiento influyan en la clasificación de éxito o fracaso del manejo médico.</w:t>
      </w:r>
    </w:p>
    <w:p w14:paraId="595FD05C" w14:textId="77777777" w:rsidR="00214E38" w:rsidRDefault="00214E38" w:rsidP="00214E38">
      <w:pPr>
        <w:pStyle w:val="Prrafodelista"/>
        <w:numPr>
          <w:ilvl w:val="0"/>
          <w:numId w:val="12"/>
        </w:numPr>
      </w:pPr>
      <w:r>
        <w:t>Mejorar el registro clínico de las pacientes manejadas con misoprostol, incluyendo diagnóstico específico, edad gestacional, dosis, vía de administración, número de dosis, tiempo hasta la resolución, necesidad de intervención adicional y complicaciones. La disponibilidad de registros completos facilitaría la continuidad asistencial y permitiría evaluar los resultados reales de los protocolos utilizados.</w:t>
      </w:r>
    </w:p>
    <w:p w14:paraId="4BC93C07" w14:textId="77777777" w:rsidR="00214E38" w:rsidRPr="00214E38" w:rsidRDefault="00214E38" w:rsidP="00214E38">
      <w:pPr>
        <w:rPr>
          <w:b/>
          <w:bCs/>
        </w:rPr>
      </w:pPr>
      <w:r w:rsidRPr="00214E38">
        <w:rPr>
          <w:b/>
          <w:bCs/>
        </w:rPr>
        <w:t>Para autoridades sanitarias, instituciones prestadoras y organismos regionales</w:t>
      </w:r>
    </w:p>
    <w:p w14:paraId="0210B3E2" w14:textId="77777777" w:rsidR="00214E38" w:rsidRDefault="00214E38" w:rsidP="00214E38">
      <w:pPr>
        <w:pStyle w:val="Prrafodelista"/>
        <w:numPr>
          <w:ilvl w:val="0"/>
          <w:numId w:val="13"/>
        </w:numPr>
      </w:pPr>
      <w:r>
        <w:t>Establecer sistemas institucionales de monitoreo y auditoría clínica sobre el manejo médico del aborto espontáneo del primer trimestre, con indicadores estandarizados de éxito, fracaso, evacuación uterina posterior, referencia, complicaciones y tiempo de resolución. En Nicaragua, estos indicadores podrían incorporarse progresivamente a la implementación de la Normativa 109.</w:t>
      </w:r>
    </w:p>
    <w:p w14:paraId="55D1A8B0" w14:textId="77777777" w:rsidR="00214E38" w:rsidRDefault="00214E38" w:rsidP="00214E38">
      <w:pPr>
        <w:pStyle w:val="Prrafodelista"/>
        <w:numPr>
          <w:ilvl w:val="0"/>
          <w:numId w:val="13"/>
        </w:numPr>
      </w:pPr>
      <w:r>
        <w:t>Promover la actualización periódica de los protocolos nacionales y regionales con base en evidencia latinoamericana, incorporando criterios claros sobre seguimiento ambulatorio, acceso a reevaluación, referencia entre niveles de atención y documentación de resultados clínicos. Las instituciones privadas, públicas y organismos internacionales pueden contribuir mediante apoyo técnico, capacitación y fortalecimiento de sistemas de información.</w:t>
      </w:r>
    </w:p>
    <w:p w14:paraId="061302FF" w14:textId="77777777" w:rsidR="00214E38" w:rsidRDefault="00214E38" w:rsidP="00214E38"/>
    <w:p w14:paraId="67413BA2" w14:textId="04A9EDC3" w:rsidR="00214E38" w:rsidRPr="00214E38" w:rsidRDefault="00214E38" w:rsidP="00214E38">
      <w:pPr>
        <w:rPr>
          <w:b/>
          <w:bCs/>
        </w:rPr>
      </w:pPr>
      <w:r w:rsidRPr="00214E38">
        <w:rPr>
          <w:b/>
          <w:bCs/>
        </w:rPr>
        <w:lastRenderedPageBreak/>
        <w:t>Para la comunidad académica e investigadora de América Latina y Nicaragua</w:t>
      </w:r>
    </w:p>
    <w:p w14:paraId="4C99A292" w14:textId="77777777" w:rsidR="00214E38" w:rsidRDefault="00214E38" w:rsidP="00214E38">
      <w:pPr>
        <w:pStyle w:val="Prrafodelista"/>
        <w:numPr>
          <w:ilvl w:val="0"/>
          <w:numId w:val="14"/>
        </w:numPr>
      </w:pPr>
      <w:r>
        <w:t>Desarrollar estudios prospectivos y comparativos que evalúen el misoprostol frente a aspiración manual endouterina y manejo expectante, diferenciando aborto incompleto, aborto diferido, embarazo anembrionado y otras formas de pérdida gestacional temprana. Estos estudios deben permitir estimar la eficacia relativa de las estrategias y no únicamente describir la frecuencia de éxito del manejo médico.</w:t>
      </w:r>
    </w:p>
    <w:p w14:paraId="3CFEAA62" w14:textId="77777777" w:rsidR="00214E38" w:rsidRDefault="00214E38" w:rsidP="00214E38">
      <w:pPr>
        <w:pStyle w:val="Prrafodelista"/>
        <w:numPr>
          <w:ilvl w:val="0"/>
          <w:numId w:val="14"/>
        </w:numPr>
      </w:pPr>
      <w:r>
        <w:t>Impulsar redes de investigación multicéntricas en América Latina y Nicaragua para generar evidencia comparable sobre esquemas de misoprostol, factores asociados al éxito, tiempos de resolución, necesidad de intervención posterior, seguridad, aceptabilidad y costos. Esta producción de evidencia permitiría reducir la dependencia de estudios aislados, retrospectivos o con resultados no comparables, y apoyar decisiones clínicas y de política sanitaria adaptadas a la realidad regional.</w:t>
      </w:r>
    </w:p>
    <w:p w14:paraId="6AF270FC" w14:textId="77777777" w:rsidR="00627974" w:rsidRDefault="00627974" w:rsidP="00214E38">
      <w:pPr>
        <w:rPr>
          <w:lang w:val="es-NI"/>
        </w:rPr>
      </w:pPr>
    </w:p>
    <w:p w14:paraId="656223E4" w14:textId="0107C018" w:rsidR="00627974" w:rsidRDefault="00627974" w:rsidP="00214E38">
      <w:pPr>
        <w:rPr>
          <w:lang w:val="es-NI"/>
        </w:rPr>
      </w:pPr>
    </w:p>
    <w:p w14:paraId="2160F92A" w14:textId="77777777" w:rsidR="00627974" w:rsidRDefault="00627974" w:rsidP="00214E38">
      <w:pPr>
        <w:rPr>
          <w:lang w:val="es-NI"/>
        </w:rPr>
      </w:pPr>
    </w:p>
    <w:p w14:paraId="06992963" w14:textId="3CD5818C" w:rsidR="00627974" w:rsidRDefault="00627974" w:rsidP="00214E38">
      <w:pPr>
        <w:rPr>
          <w:lang w:val="es-NI"/>
        </w:rPr>
      </w:pPr>
    </w:p>
    <w:p w14:paraId="65D7B5BE" w14:textId="1F642AB8" w:rsidR="00627974" w:rsidRDefault="00627974" w:rsidP="00EC41BF">
      <w:pPr>
        <w:rPr>
          <w:lang w:val="es-NI"/>
        </w:rPr>
      </w:pPr>
    </w:p>
    <w:p w14:paraId="60C78F83" w14:textId="77777777" w:rsidR="00627974" w:rsidRDefault="00627974" w:rsidP="00EC41BF">
      <w:pPr>
        <w:rPr>
          <w:lang w:val="es-NI"/>
        </w:rPr>
      </w:pPr>
    </w:p>
    <w:p w14:paraId="027677A2" w14:textId="77777777" w:rsidR="008769A4" w:rsidRDefault="008769A4" w:rsidP="00EC41BF">
      <w:pPr>
        <w:rPr>
          <w:lang w:val="es-NI"/>
        </w:rPr>
      </w:pPr>
    </w:p>
    <w:p w14:paraId="60BA5ABE" w14:textId="4EF0AF00" w:rsidR="008769A4" w:rsidRDefault="008769A4" w:rsidP="00EC41BF">
      <w:pPr>
        <w:rPr>
          <w:lang w:val="es-NI"/>
        </w:rPr>
        <w:sectPr w:rsidR="008769A4" w:rsidSect="00610CC4">
          <w:pgSz w:w="12240" w:h="15840"/>
          <w:pgMar w:top="1418" w:right="1701" w:bottom="1418" w:left="1701" w:header="709" w:footer="709" w:gutter="0"/>
          <w:cols w:space="708"/>
          <w:docGrid w:linePitch="360"/>
        </w:sectPr>
      </w:pPr>
    </w:p>
    <w:p w14:paraId="39C2B3CE" w14:textId="41BB98CB" w:rsidR="002101D1" w:rsidRPr="00B8712F" w:rsidRDefault="00B8712F" w:rsidP="00B8712F">
      <w:pPr>
        <w:pStyle w:val="Ttulo1"/>
        <w:rPr>
          <w:lang w:val="es-NI"/>
        </w:rPr>
      </w:pPr>
      <w:bookmarkStart w:id="75" w:name="_Toc232987026"/>
      <w:r w:rsidRPr="00B8712F">
        <w:rPr>
          <w:lang w:val="es-NI"/>
        </w:rPr>
        <w:lastRenderedPageBreak/>
        <w:t>Referencias</w:t>
      </w:r>
      <w:bookmarkEnd w:id="75"/>
    </w:p>
    <w:p w14:paraId="79353712" w14:textId="77777777" w:rsidR="00F103C3" w:rsidRDefault="00F103C3" w:rsidP="00FB13BD">
      <w:pPr>
        <w:ind w:left="567" w:hanging="720"/>
      </w:pPr>
      <w:r>
        <w:t xml:space="preserve">Acharya, A., Prabhu, A., Negi, S., Sharma, K., Dwivedi, R., &amp; Athe, R. (2023). Spontaneous miscarriage/abortion in the first trimester and expectant management - a meta-analysis approach. Przeglad menopauzalny = Menopause review, 22(3), 135–141. </w:t>
      </w:r>
      <w:hyperlink r:id="rId18" w:history="1">
        <w:r w:rsidRPr="00482948">
          <w:rPr>
            <w:rStyle w:val="Hipervnculo"/>
          </w:rPr>
          <w:t>https://doi.org/10.5114/pm.2023.131307</w:t>
        </w:r>
      </w:hyperlink>
      <w:r>
        <w:t xml:space="preserve">  </w:t>
      </w:r>
    </w:p>
    <w:p w14:paraId="098E9D43" w14:textId="11B3B539" w:rsidR="00F103C3" w:rsidRDefault="00F103C3" w:rsidP="00FB13BD">
      <w:pPr>
        <w:ind w:left="567" w:hanging="720"/>
      </w:pPr>
      <w:r>
        <w:t>Alvarado García, M. A., &amp; Morales Soz</w:t>
      </w:r>
      <w:r w:rsidR="001A0A3A">
        <w:t>a</w:t>
      </w:r>
      <w:r>
        <w:t xml:space="preserve">, A. V. (2020). Respuesta al uso de misoprostol en mujeres con aborto inevitable ingresadas en el servicio de alto riesgo obstétrico del Hospital Bertha Calderón roque durante enero a diciembre 2019 Universidad Nacional Autónoma de Nicaragua (UNAN Managua)]. Managua, Nicaragua. </w:t>
      </w:r>
      <w:hyperlink r:id="rId19" w:history="1">
        <w:r w:rsidRPr="00482948">
          <w:rPr>
            <w:rStyle w:val="Hipervnculo"/>
          </w:rPr>
          <w:t>https://repositorio.unan.edu.ni/id/eprint/14235/1/14235.pdf</w:t>
        </w:r>
      </w:hyperlink>
      <w:r>
        <w:t xml:space="preserve"> </w:t>
      </w:r>
    </w:p>
    <w:p w14:paraId="3F33C039" w14:textId="77777777" w:rsidR="00F103C3" w:rsidRDefault="00F103C3" w:rsidP="00FB13BD">
      <w:pPr>
        <w:ind w:left="567" w:hanging="720"/>
      </w:pPr>
      <w:r>
        <w:t xml:space="preserve">Alvarado-Franco, S. D., Lezama-Aedo, C., &amp; Romero-Rivero, D. V. E. (2025). Abordaje terapéutico del abortoespontáneo incompleto en mujeres deun hospital de Lima, Perú. Revista Peruana de Ginecología y Obstetricia, 71(4). </w:t>
      </w:r>
      <w:hyperlink r:id="rId20" w:history="1">
        <w:r w:rsidRPr="00482948">
          <w:rPr>
            <w:rStyle w:val="Hipervnculo"/>
          </w:rPr>
          <w:t>https://doi.org/10.31403/rpgo.v71i2821</w:t>
        </w:r>
      </w:hyperlink>
      <w:r>
        <w:t xml:space="preserve"> </w:t>
      </w:r>
    </w:p>
    <w:p w14:paraId="3F621CFB" w14:textId="0FCA1740" w:rsidR="00F103C3" w:rsidRDefault="00F103C3" w:rsidP="00FB13BD">
      <w:pPr>
        <w:ind w:left="567" w:hanging="720"/>
      </w:pPr>
      <w:r>
        <w:t xml:space="preserve">Alves C, Jenkins SM, Rapp A (2023). Early Pregnancy Loss (Spontaneous Abortion). In: StatPearls [Internet]. Treasure Island (FL): StatPearls Publishing; Available from: </w:t>
      </w:r>
      <w:hyperlink r:id="rId21" w:history="1">
        <w:r w:rsidRPr="00482948">
          <w:rPr>
            <w:rStyle w:val="Hipervnculo"/>
          </w:rPr>
          <w:t>https://www.ncbi.nlm.nih.gov/books/NBK560521/</w:t>
        </w:r>
      </w:hyperlink>
      <w:r>
        <w:t xml:space="preserve"> </w:t>
      </w:r>
    </w:p>
    <w:p w14:paraId="31FE8D98" w14:textId="77777777" w:rsidR="00F103C3" w:rsidRDefault="00F103C3" w:rsidP="00FB13BD">
      <w:pPr>
        <w:ind w:left="567" w:hanging="720"/>
      </w:pPr>
      <w:r>
        <w:t xml:space="preserve">Arreaza-Graterol, M., &amp; Rodríguez-O, J. A. (2010). Eficacia y seguridad del Misoprostol frente a Metotrexato más Misoprostol para el manejo médico del aborto en Bogotá (Colombia): estudio clínico aleatorizado. Revista Colombiana De Obstetricia Y Ginecología, 61(4), 295–302. </w:t>
      </w:r>
      <w:hyperlink r:id="rId22" w:history="1">
        <w:r w:rsidRPr="00482948">
          <w:rPr>
            <w:rStyle w:val="Hipervnculo"/>
          </w:rPr>
          <w:t>https://doi.org/10.18597/rcog.251</w:t>
        </w:r>
      </w:hyperlink>
      <w:r>
        <w:t xml:space="preserve"> </w:t>
      </w:r>
    </w:p>
    <w:p w14:paraId="0D8AD3D8" w14:textId="77777777" w:rsidR="00F103C3" w:rsidRDefault="00F103C3" w:rsidP="00FB13BD">
      <w:pPr>
        <w:ind w:left="567" w:hanging="720"/>
      </w:pPr>
      <w:r>
        <w:t xml:space="preserve">Bagratee, J. S., Khullar, V., Regan, L., Moodley, J., &amp; Kagoro, H. (2004). A randomized controlled trial comparing medical and expectant management of first-trimester miscarriage. Human Reproduction, 19(2), 266–271. </w:t>
      </w:r>
      <w:hyperlink r:id="rId23" w:history="1">
        <w:r w:rsidRPr="00482948">
          <w:rPr>
            <w:rStyle w:val="Hipervnculo"/>
          </w:rPr>
          <w:t>https://doi.org/10.1093/humrep/deh049</w:t>
        </w:r>
      </w:hyperlink>
      <w:r>
        <w:t xml:space="preserve"> </w:t>
      </w:r>
    </w:p>
    <w:p w14:paraId="21EDADDB" w14:textId="77777777" w:rsidR="00F103C3" w:rsidRDefault="00F103C3" w:rsidP="00FB13BD">
      <w:pPr>
        <w:ind w:left="567" w:hanging="720"/>
      </w:pPr>
      <w:r>
        <w:lastRenderedPageBreak/>
        <w:t xml:space="preserve">Blanchard, K., Winikoff, B., &amp; Ellertson, C. (1999). Misoprostol used alone for the termination of early pregnancy. A review of the evidence. Contraception, 59(4), 209-217. </w:t>
      </w:r>
      <w:hyperlink r:id="rId24" w:history="1">
        <w:r w:rsidRPr="00482948">
          <w:rPr>
            <w:rStyle w:val="Hipervnculo"/>
          </w:rPr>
          <w:t>https://doi.org/10.1016/s0010-7824(99)00029-3</w:t>
        </w:r>
      </w:hyperlink>
      <w:r>
        <w:t xml:space="preserve"> </w:t>
      </w:r>
    </w:p>
    <w:p w14:paraId="363380BA" w14:textId="77777777" w:rsidR="00F103C3" w:rsidRDefault="00F103C3" w:rsidP="00FB13BD">
      <w:pPr>
        <w:ind w:left="567" w:hanging="720"/>
      </w:pPr>
      <w:r>
        <w:t xml:space="preserve">Borenstein, M., Hedges, L. V., Higgins, J. P. T., &amp; Rothstein, H. R. (2009). Introduction to meta-analysis. John Wiley &amp; Sons. </w:t>
      </w:r>
      <w:hyperlink r:id="rId25" w:history="1">
        <w:r w:rsidRPr="00482948">
          <w:rPr>
            <w:rStyle w:val="Hipervnculo"/>
          </w:rPr>
          <w:t>https://doi.org/10.1002/9780470743386</w:t>
        </w:r>
      </w:hyperlink>
      <w:r>
        <w:t xml:space="preserve">  </w:t>
      </w:r>
    </w:p>
    <w:p w14:paraId="70DE3510" w14:textId="77777777" w:rsidR="00F103C3" w:rsidRDefault="00F103C3" w:rsidP="00FB13BD">
      <w:pPr>
        <w:ind w:left="567" w:hanging="720"/>
      </w:pPr>
      <w:r>
        <w:t xml:space="preserve">Chérrez Ramos, Y. L. &amp; Arévalo Villanueva, J. R.. (2021). Misoprostol vs legrado uterino instrumental en el tratamiento del aborto incompleto. Hospital Carlos Andrade Marín. quito, 2020-2021 (Bachelor's thesis, Universidad Nacional de Chimborazo). </w:t>
      </w:r>
      <w:hyperlink r:id="rId26" w:history="1">
        <w:r w:rsidRPr="00482948">
          <w:rPr>
            <w:rStyle w:val="Hipervnculo"/>
          </w:rPr>
          <w:t>http://dspace.unach.edu.ec/handle/51000/8094</w:t>
        </w:r>
      </w:hyperlink>
      <w:r>
        <w:t xml:space="preserve"> </w:t>
      </w:r>
    </w:p>
    <w:p w14:paraId="17A68A52" w14:textId="77777777" w:rsidR="00F103C3" w:rsidRDefault="00F103C3" w:rsidP="00FB13BD">
      <w:pPr>
        <w:ind w:left="567" w:hanging="720"/>
      </w:pPr>
      <w:r>
        <w:t xml:space="preserve">Collins, P. W. (1990). Misoprostol: discovery, development, and clinical applications. Med Res Rev, 10(2), 149-172. </w:t>
      </w:r>
      <w:hyperlink r:id="rId27" w:history="1">
        <w:r w:rsidRPr="00482948">
          <w:rPr>
            <w:rStyle w:val="Hipervnculo"/>
          </w:rPr>
          <w:t>https://doi.org/10.1002/med.2610100202</w:t>
        </w:r>
      </w:hyperlink>
      <w:r>
        <w:t xml:space="preserve"> </w:t>
      </w:r>
    </w:p>
    <w:p w14:paraId="6B1527A8" w14:textId="77777777" w:rsidR="00F103C3" w:rsidRDefault="00F103C3" w:rsidP="00FB13BD">
      <w:pPr>
        <w:ind w:left="567" w:hanging="720"/>
      </w:pPr>
      <w:r>
        <w:t xml:space="preserve">Crocker, T. F., Lam, N., Jordão, M., Brundle, C., Prescott, M., Forster, A., Ensor, J., Gladman, J., &amp; Clegg, A. (2023). Risk-of-bias assessment using Cochrane's revised tool for randomized trials (RoB 2) was useful but challenging and resource-intensive: observations from a systematic review. Journal of clinical epidemiology, 161, 39–45. </w:t>
      </w:r>
      <w:hyperlink r:id="rId28" w:history="1">
        <w:r w:rsidRPr="00482948">
          <w:rPr>
            <w:rStyle w:val="Hipervnculo"/>
          </w:rPr>
          <w:t>https://doi.org/10.1016/j.jclinepi.2023.06.015</w:t>
        </w:r>
      </w:hyperlink>
      <w:r>
        <w:t xml:space="preserve"> </w:t>
      </w:r>
    </w:p>
    <w:p w14:paraId="259F36E4" w14:textId="77777777" w:rsidR="00F103C3" w:rsidRDefault="00F103C3" w:rsidP="00FB13BD">
      <w:pPr>
        <w:ind w:left="567" w:hanging="720"/>
      </w:pPr>
      <w:r>
        <w:t xml:space="preserve">Cumpston, M. S., McKenzie, J. E., Welch, V. A., &amp; Brennan, S. E. (2022). Strengthening systematic reviews in public health: guidance in the Cochrane Handbook for Systematic Reviews of Interventions, 2nd edition. Journal of public health (Oxford, England), 44(4), e588–e592. </w:t>
      </w:r>
      <w:hyperlink r:id="rId29" w:history="1">
        <w:r w:rsidRPr="00482948">
          <w:rPr>
            <w:rStyle w:val="Hipervnculo"/>
          </w:rPr>
          <w:t>https://doi.org/10.1093/pubmed/fdac036</w:t>
        </w:r>
      </w:hyperlink>
      <w:r>
        <w:t xml:space="preserve"> </w:t>
      </w:r>
    </w:p>
    <w:p w14:paraId="6809A12B" w14:textId="77777777" w:rsidR="00F103C3" w:rsidRDefault="00F103C3" w:rsidP="00FB13BD">
      <w:pPr>
        <w:ind w:left="567" w:hanging="720"/>
      </w:pPr>
      <w:r>
        <w:t xml:space="preserve">Deeks, J. J., Higgins, J. P. T., &amp; Altman, D. G. (2023). Analysing data and undertaking meta-analyses. In J. P. T. Higgins et al. (Eds.), Cochrane handbook for systematic reviews of interventions. </w:t>
      </w:r>
      <w:hyperlink r:id="rId30" w:history="1">
        <w:r w:rsidRPr="00482948">
          <w:rPr>
            <w:rStyle w:val="Hipervnculo"/>
          </w:rPr>
          <w:t>https://doi.org/10.1002/9781119536604.ch10</w:t>
        </w:r>
      </w:hyperlink>
      <w:r>
        <w:t xml:space="preserve">  </w:t>
      </w:r>
    </w:p>
    <w:p w14:paraId="5478CE61" w14:textId="77777777" w:rsidR="00F103C3" w:rsidRDefault="00F103C3" w:rsidP="00FB13BD">
      <w:pPr>
        <w:ind w:left="567" w:hanging="720"/>
      </w:pPr>
      <w:r>
        <w:t xml:space="preserve">Egger, M., Davey Smith, G., Schneider, M., &amp; Minder, C. (1997). Bias in meta-analysis detected by a simple, graphical test. BMJ, 315(7109), 629–634. </w:t>
      </w:r>
      <w:hyperlink r:id="rId31" w:history="1">
        <w:r w:rsidRPr="00482948">
          <w:rPr>
            <w:rStyle w:val="Hipervnculo"/>
          </w:rPr>
          <w:t>https://doi.org/10.1136/bmj.315.7109.629</w:t>
        </w:r>
      </w:hyperlink>
      <w:r>
        <w:t xml:space="preserve"> </w:t>
      </w:r>
    </w:p>
    <w:p w14:paraId="39923E53" w14:textId="77777777" w:rsidR="00F103C3" w:rsidRDefault="00F103C3" w:rsidP="00FB13BD">
      <w:pPr>
        <w:ind w:left="567" w:hanging="720"/>
      </w:pPr>
      <w:r>
        <w:lastRenderedPageBreak/>
        <w:t xml:space="preserve">Errázuriz V, Joaquín, Stambuk B, Milena, Reyes Z, Felipe, Sumar U, Francisco, Rondini F-D, Carlos, &amp; Troncoso R, Fernando. (2014). Efectividad del tratamiento médico con misoprostol según dosis administrada en aborto retenido menor de 12 semanas. Revista chilena de obstetricia y ginecología, 79(2), 76-80. </w:t>
      </w:r>
      <w:hyperlink r:id="rId32" w:history="1">
        <w:r w:rsidRPr="00482948">
          <w:rPr>
            <w:rStyle w:val="Hipervnculo"/>
          </w:rPr>
          <w:t>https://dx.doi.org/10.4067/S0717-75262014000200002</w:t>
        </w:r>
      </w:hyperlink>
      <w:r>
        <w:t xml:space="preserve"> </w:t>
      </w:r>
    </w:p>
    <w:p w14:paraId="3A6DBCE3" w14:textId="37F2D1A6" w:rsidR="00F103C3" w:rsidRDefault="00F103C3" w:rsidP="00FB13BD">
      <w:pPr>
        <w:ind w:left="567" w:hanging="720"/>
      </w:pPr>
      <w:r w:rsidRPr="00F103C3">
        <w:t>Estrada, A. R., &amp; Espinal, J. M. (201</w:t>
      </w:r>
      <w:r w:rsidR="001A0A3A">
        <w:t>5</w:t>
      </w:r>
      <w:r w:rsidRPr="00F103C3">
        <w:t xml:space="preserve">). Utilidad del Misoprostol Oral en el Tratamiento de Aborto Incompleto. Hospital Escuela. Revista Medica de los Postgrados de Medicina, 13(3). </w:t>
      </w:r>
      <w:hyperlink r:id="rId33" w:history="1">
        <w:r w:rsidRPr="00F103C3">
          <w:rPr>
            <w:rStyle w:val="Hipervnculo"/>
          </w:rPr>
          <w:t>https://ru.dgb.unam.mx/items/d7e2fbc6-9365-4ab4-82d5-b754d279c46c</w:t>
        </w:r>
      </w:hyperlink>
      <w:r>
        <w:t xml:space="preserve"> </w:t>
      </w:r>
    </w:p>
    <w:p w14:paraId="1EF415ED" w14:textId="77777777" w:rsidR="00F103C3" w:rsidRDefault="00F103C3" w:rsidP="00FB13BD">
      <w:pPr>
        <w:ind w:left="567" w:hanging="720"/>
      </w:pPr>
      <w:r>
        <w:t xml:space="preserve">Fernlund, A., Jokubkiene, L., Sladkevicius, P., &amp; Valentin, L. (2018). Misoprostol treatment vs expectant management in women with early non-viable pregnancy and vaginal bleeding: a pragmatic randomized controlled trial. Ultrasound Obstet Gynecol, 51(1), 24-32. </w:t>
      </w:r>
      <w:hyperlink r:id="rId34" w:history="1">
        <w:r w:rsidRPr="00482948">
          <w:rPr>
            <w:rStyle w:val="Hipervnculo"/>
          </w:rPr>
          <w:t>https://doi.org/10.1002/uog.18940</w:t>
        </w:r>
      </w:hyperlink>
      <w:r>
        <w:t xml:space="preserve"> </w:t>
      </w:r>
    </w:p>
    <w:p w14:paraId="14F9E730" w14:textId="77777777" w:rsidR="00F103C3" w:rsidRPr="00F103C3" w:rsidRDefault="00F103C3" w:rsidP="00FB13BD">
      <w:pPr>
        <w:ind w:left="567" w:hanging="720"/>
      </w:pPr>
      <w:r>
        <w:t xml:space="preserve">Ghosh, J., Papadopoulou, A., Devall, A. J., Jeffery, H. C., Beeson, L. E., Do, V., Price, M. J., Tobias, A., Tunçalp, Ö., Lavelanet, A., Gülmezoglu, A. M., Coomarasamy, A., &amp; Gallos, I. D. (2021). Methods for managing miscarriage: a network meta-analysis. Cochrane Database Syst Rev, 6(6), Cd012602. </w:t>
      </w:r>
      <w:hyperlink r:id="rId35" w:history="1">
        <w:r w:rsidRPr="00F103C3">
          <w:rPr>
            <w:rStyle w:val="Hipervnculo"/>
          </w:rPr>
          <w:t>https://doi.org/10.1002/14651858.CD012602.pub2</w:t>
        </w:r>
      </w:hyperlink>
      <w:r w:rsidRPr="00F103C3">
        <w:t xml:space="preserve"> </w:t>
      </w:r>
    </w:p>
    <w:p w14:paraId="5226D7DB" w14:textId="77777777" w:rsidR="00F103C3" w:rsidRDefault="00F103C3" w:rsidP="00FB13BD">
      <w:pPr>
        <w:ind w:left="567" w:hanging="720"/>
      </w:pPr>
      <w:r w:rsidRPr="00F103C3">
        <w:t xml:space="preserve">Goldberg, A. B., Carusi, D. A., &amp; Meckstroth, K. R. (2003). Misoprostol in gynecology. Curr Womens Health Rep, 3(6), 475-483. </w:t>
      </w:r>
      <w:hyperlink r:id="rId36" w:history="1">
        <w:r w:rsidRPr="00F103C3">
          <w:rPr>
            <w:rStyle w:val="Hipervnculo"/>
          </w:rPr>
          <w:t>https://pubmed.ncbi.nlm.nih.gov/14613669/</w:t>
        </w:r>
      </w:hyperlink>
      <w:r>
        <w:t xml:space="preserve"> </w:t>
      </w:r>
    </w:p>
    <w:p w14:paraId="3733C7F9" w14:textId="77777777" w:rsidR="00F103C3" w:rsidRDefault="00F103C3" w:rsidP="00FB13BD">
      <w:pPr>
        <w:ind w:left="567" w:hanging="720"/>
      </w:pPr>
      <w:r>
        <w:t xml:space="preserve">Gualdi-Russo, E., &amp; Zaccagni, L. (2026). The Newcastle–Ottawa Scale for Assessing the Quality of Studies in Systematic Reviews. Publications, 14(1), 4. </w:t>
      </w:r>
      <w:hyperlink r:id="rId37" w:history="1">
        <w:r w:rsidRPr="00482948">
          <w:rPr>
            <w:rStyle w:val="Hipervnculo"/>
          </w:rPr>
          <w:t>https://doi.org/10.3390/publications14010004</w:t>
        </w:r>
      </w:hyperlink>
      <w:r>
        <w:t xml:space="preserve"> </w:t>
      </w:r>
    </w:p>
    <w:p w14:paraId="588B6602" w14:textId="77777777" w:rsidR="00F103C3" w:rsidRDefault="00F103C3" w:rsidP="00FB13BD">
      <w:pPr>
        <w:ind w:left="567" w:hanging="720"/>
      </w:pPr>
      <w:r>
        <w:t xml:space="preserve">Guyatt, G., Agoritsas, T., Brignardello-Petersen, R., Mustafa, R. A., Rylance, J., Foroutan, F., Prasad, M., Agarwal, A., De Beer, H., Murad, M. H., Schandelmaier, S., Iorio, A., Yao, L., Jaeschke, R., Vandvik, P. O., Zeng, L., Parpia, S., D'Souza, R., Rind, D., Chu, D. K., … Montori, V. M. (2025). Core </w:t>
      </w:r>
      <w:r>
        <w:lastRenderedPageBreak/>
        <w:t xml:space="preserve">GRADE 1: overview of the Core GRADE approach. BMJ (Clinical research ed.), 389, e081903. </w:t>
      </w:r>
      <w:hyperlink r:id="rId38" w:history="1">
        <w:r w:rsidRPr="00482948">
          <w:rPr>
            <w:rStyle w:val="Hipervnculo"/>
          </w:rPr>
          <w:t>https://doi.org/10.1136/bmj-2024-081903</w:t>
        </w:r>
      </w:hyperlink>
      <w:r>
        <w:t xml:space="preserve">  </w:t>
      </w:r>
    </w:p>
    <w:p w14:paraId="76D550A9" w14:textId="77777777" w:rsidR="00F103C3" w:rsidRDefault="00F103C3" w:rsidP="00FB13BD">
      <w:pPr>
        <w:ind w:left="567" w:hanging="720"/>
      </w:pPr>
      <w:r>
        <w:t xml:space="preserve">H Al Wattar, B., Murugesu, N., Tobias, A., Zamora, J., &amp; Khan, K. S. (2019). Management of first-trimester miscarriage: a systematic review and network meta-analysis. Human reproduction update, 25(3), 362–374. </w:t>
      </w:r>
      <w:hyperlink r:id="rId39" w:history="1">
        <w:r w:rsidRPr="00482948">
          <w:rPr>
            <w:rStyle w:val="Hipervnculo"/>
          </w:rPr>
          <w:t>https://doi.org/10.1093/humupd/dmz002</w:t>
        </w:r>
      </w:hyperlink>
      <w:r>
        <w:t xml:space="preserve"> </w:t>
      </w:r>
    </w:p>
    <w:p w14:paraId="70845FD9" w14:textId="77777777" w:rsidR="00F103C3" w:rsidRDefault="00F103C3" w:rsidP="00FB13BD">
      <w:pPr>
        <w:ind w:left="567" w:hanging="720"/>
      </w:pPr>
      <w:r>
        <w:t xml:space="preserve">Higgins, J. P. T., Savović, J., Page, M. J., Elbers, R. G., &amp; Sterne, J. A. C. (2019). Assessing risk of bias in a randomized trial. In J. P. T. Higgins, J. Thomas, J. Chandler, M. Cumpston, T. Li, M. Page, &amp; V. Welch (Eds.), Cochrane handbook for systematic reviews of interventions. </w:t>
      </w:r>
      <w:hyperlink r:id="rId40" w:history="1">
        <w:r w:rsidRPr="00482948">
          <w:rPr>
            <w:rStyle w:val="Hipervnculo"/>
          </w:rPr>
          <w:t>https://doi.org/10.1002/9781119536604.ch8</w:t>
        </w:r>
      </w:hyperlink>
      <w:r>
        <w:t xml:space="preserve">  </w:t>
      </w:r>
    </w:p>
    <w:p w14:paraId="215DFCCC" w14:textId="77777777" w:rsidR="00F103C3" w:rsidRDefault="00F103C3" w:rsidP="00FB13BD">
      <w:pPr>
        <w:ind w:left="567" w:hanging="720"/>
      </w:pPr>
      <w:r>
        <w:t xml:space="preserve">Kim, C., Barnard, S., Neilson, J. P., Hickey, M., Vazquez, J. C., &amp; Dou, L. (2017). Medical treatments for incomplete miscarriage. Cochrane Database Syst Rev, 1(1), Cd007223. </w:t>
      </w:r>
      <w:hyperlink r:id="rId41" w:history="1">
        <w:r w:rsidRPr="00482948">
          <w:rPr>
            <w:rStyle w:val="Hipervnculo"/>
          </w:rPr>
          <w:t>https://doi.org/10.1002/14651858.CD007223.pub4</w:t>
        </w:r>
      </w:hyperlink>
      <w:r>
        <w:t xml:space="preserve"> </w:t>
      </w:r>
    </w:p>
    <w:p w14:paraId="2DB7E66B" w14:textId="77777777" w:rsidR="00F103C3" w:rsidRDefault="00F103C3" w:rsidP="00FB13BD">
      <w:pPr>
        <w:ind w:left="567" w:hanging="720"/>
      </w:pPr>
      <w:r>
        <w:t xml:space="preserve">Lemmers, M., Verschoor, M. A., Oude Rengerink, K., Naaktgeboren, C., Opmeer, B. C., Bossuyt, P. M., Huirne, J. A., Janssen, C. A., Radder, C., Klinkert, E. R., Langenveld, J., Catshoek, R., Van der Voet, L., Siemens, F., Geomini, P., Van Hooff, M. H., Van der Ploeg, J. M., Coppus, S. F., Ankum, W. M., &amp; Mol, B. W. (2016). MisoREST: surgical versus expectant management in women with an incomplete evacuation of the uterus after misoprostol treatment for miscarriage: a randomized controlled trial. Hum Reprod, 31(11), 2421-2427. </w:t>
      </w:r>
      <w:hyperlink r:id="rId42" w:history="1">
        <w:r w:rsidRPr="00482948">
          <w:rPr>
            <w:rStyle w:val="Hipervnculo"/>
          </w:rPr>
          <w:t>https://doi.org/10.1093/humrep/dew221</w:t>
        </w:r>
      </w:hyperlink>
      <w:r>
        <w:t xml:space="preserve">  </w:t>
      </w:r>
    </w:p>
    <w:p w14:paraId="030F5537" w14:textId="77777777" w:rsidR="00F103C3" w:rsidRDefault="00F103C3" w:rsidP="00FB13BD">
      <w:pPr>
        <w:ind w:left="567" w:hanging="720"/>
      </w:pPr>
      <w:r>
        <w:t xml:space="preserve">Machado, L. O., &amp; Taquette, S. R. (2022). The use of misoprostol in the termination of pregnancy: a review of studies carried. Cien Saude Colet, 27(8), 3079-3090. </w:t>
      </w:r>
      <w:hyperlink r:id="rId43" w:history="1">
        <w:r w:rsidRPr="00482948">
          <w:rPr>
            <w:rStyle w:val="Hipervnculo"/>
          </w:rPr>
          <w:t>https://doi.org/10.1590/1413-81232022278.03102022</w:t>
        </w:r>
      </w:hyperlink>
      <w:r>
        <w:t xml:space="preserve"> </w:t>
      </w:r>
    </w:p>
    <w:p w14:paraId="7E44D740" w14:textId="77777777" w:rsidR="00F103C3" w:rsidRDefault="00F103C3" w:rsidP="00FB13BD">
      <w:pPr>
        <w:ind w:left="567" w:hanging="720"/>
      </w:pPr>
      <w:r>
        <w:t xml:space="preserve">Martínez Zambrano, J. V. (2017). Necesidad de legrado instrumental en pacientes con aborto espontáneo menor de 12 semanas de edad gestacional tratado con misoprostol, en el servicio de ginecología y obstetricia, en el período de mayo </w:t>
      </w:r>
      <w:r>
        <w:lastRenderedPageBreak/>
        <w:t xml:space="preserve">del 2016 a mayo del 2017, en el Hospital General del IESS Ibarra. </w:t>
      </w:r>
      <w:hyperlink r:id="rId44" w:history="1">
        <w:r w:rsidRPr="00482948">
          <w:rPr>
            <w:rStyle w:val="Hipervnculo"/>
          </w:rPr>
          <w:t>https://repositorio.puce.edu.ec/handle/123456789/30947</w:t>
        </w:r>
      </w:hyperlink>
      <w:r>
        <w:t xml:space="preserve"> </w:t>
      </w:r>
    </w:p>
    <w:p w14:paraId="32029BE7" w14:textId="56CD1430" w:rsidR="00F103C3" w:rsidRDefault="00F103C3" w:rsidP="00FB13BD">
      <w:pPr>
        <w:ind w:left="567" w:hanging="720"/>
      </w:pPr>
      <w:r>
        <w:t>Martínez-Rodas, O. R., Gonzáles-Castro, G. M., Carrasco-Cerrato, D. A., &amp; Parodi-Turcios, K. I. (202</w:t>
      </w:r>
      <w:r w:rsidR="001A0A3A">
        <w:t>0</w:t>
      </w:r>
      <w:r>
        <w:t xml:space="preserve">). Eficacia del misoprostol como tratamiento en abortos menores a 12 semanas en un Hospital Materno Infantil de Honduras, 2019. Revista Internacional de Salud Materno Fetal, 6(1), 11-17. </w:t>
      </w:r>
      <w:hyperlink r:id="rId45" w:history="1">
        <w:r w:rsidRPr="00482948">
          <w:rPr>
            <w:rStyle w:val="Hipervnculo"/>
          </w:rPr>
          <w:t>https://ojs.revistamaternofetal.com/index.php/RISMF/article/view/147</w:t>
        </w:r>
      </w:hyperlink>
      <w:r>
        <w:t xml:space="preserve"> </w:t>
      </w:r>
    </w:p>
    <w:p w14:paraId="2923BBD2" w14:textId="77777777" w:rsidR="00F103C3" w:rsidRDefault="00F103C3" w:rsidP="00FB13BD">
      <w:pPr>
        <w:ind w:left="567" w:hanging="720"/>
      </w:pPr>
      <w:r>
        <w:t xml:space="preserve">Marzullo González, L (2005). Comparación de 3 métodos de tratamiento del aborto espontaneo incompleto no complicado en embarazos iguales o menores de 13 semanas de gestación (Doctoral dissertation, Universidad de Málaga). </w:t>
      </w:r>
      <w:hyperlink r:id="rId46" w:history="1">
        <w:r w:rsidRPr="00482948">
          <w:rPr>
            <w:rStyle w:val="Hipervnculo"/>
          </w:rPr>
          <w:t>https://produccioncientifica.ucm.es/documentos/638aa57cb9a4980a75683e65</w:t>
        </w:r>
      </w:hyperlink>
      <w:r>
        <w:t xml:space="preserve"> </w:t>
      </w:r>
    </w:p>
    <w:p w14:paraId="5AE92507" w14:textId="77777777" w:rsidR="00F103C3" w:rsidRDefault="00F103C3" w:rsidP="00FB13BD">
      <w:pPr>
        <w:ind w:left="567" w:hanging="720"/>
      </w:pPr>
      <w:r>
        <w:t xml:space="preserve">Mehra, V. M., Farooqi, S., Sriram, P., &amp; Tunde-Byass, M. (2024). Diagnosis and management of early pregnancy loss. CMAJ : Canadian Medical Association journal = journal de l'Association medicale canadienne, 196(34), E1162–E1168. </w:t>
      </w:r>
      <w:hyperlink r:id="rId47" w:history="1">
        <w:r w:rsidRPr="00482948">
          <w:rPr>
            <w:rStyle w:val="Hipervnculo"/>
          </w:rPr>
          <w:t>https://doi.org/10.1503/cmaj.231489</w:t>
        </w:r>
      </w:hyperlink>
      <w:r>
        <w:t xml:space="preserve">  </w:t>
      </w:r>
    </w:p>
    <w:p w14:paraId="3D3E7128" w14:textId="77777777" w:rsidR="00F103C3" w:rsidRDefault="00F103C3" w:rsidP="00FB13BD">
      <w:pPr>
        <w:ind w:left="567" w:hanging="720"/>
      </w:pPr>
      <w:r>
        <w:t xml:space="preserve">Menezes da Silva, T., Araujo, M. A. G., Simões, A. C. Z., Oliveira, R., Medeiros, K. S., Sarmento, A. C., Medeiros, R. D., Costa, A. P. F., &amp; Gonçalves, A. K. (2023). Efficacy, Safety, and Acceptability of Misoprostol in the Treatment of Incomplete Miscarriage: A Systematic Review and Meta-analysis. Rev Bras Ginecol Obstet, 45(12), e808-e817. </w:t>
      </w:r>
      <w:hyperlink r:id="rId48" w:history="1">
        <w:r w:rsidRPr="00482948">
          <w:rPr>
            <w:rStyle w:val="Hipervnculo"/>
          </w:rPr>
          <w:t>https://doi.org/10.1055/s-0043-1776029</w:t>
        </w:r>
      </w:hyperlink>
      <w:r>
        <w:t xml:space="preserve"> </w:t>
      </w:r>
    </w:p>
    <w:p w14:paraId="1F87EFCA" w14:textId="77777777" w:rsidR="00F103C3" w:rsidRDefault="00F103C3" w:rsidP="00FB13BD">
      <w:pPr>
        <w:ind w:left="567" w:hanging="720"/>
      </w:pPr>
      <w:r>
        <w:t xml:space="preserve">Montenegro, A., &amp; Molina, S. (2015). Abordaje en el manejo del aborto incompleto en pacientes atendidas en hospital Alemán Nicaragüense y Hospital Regional Asunción de Juigalpa durante el periodo de enero a junio 2013 (Doctoral dissertation, Tesis Monográfica para optar al Título de Doctor en Medicina y Cirugía.[Tesis]). </w:t>
      </w:r>
      <w:hyperlink r:id="rId49" w:history="1">
        <w:r w:rsidRPr="00482948">
          <w:rPr>
            <w:rStyle w:val="Hipervnculo"/>
          </w:rPr>
          <w:t>https://repositorio.unan.edu.ni/id/eprint/1366/1/56943.pdf</w:t>
        </w:r>
      </w:hyperlink>
      <w:r>
        <w:t xml:space="preserve">  </w:t>
      </w:r>
    </w:p>
    <w:p w14:paraId="3D06CD35" w14:textId="77777777" w:rsidR="00F103C3" w:rsidRDefault="00F103C3" w:rsidP="00FB13BD">
      <w:pPr>
        <w:ind w:left="567" w:hanging="720"/>
      </w:pPr>
      <w:r>
        <w:t xml:space="preserve">Montesinos, R., Durocher, J., León, W., Arellano, M., Peña, M., Pinto, E., &amp; Winikoff, B. (2011). Oral misoprostol for the management of incomplete abortion in Ecuador. International journal of gynaecology and obstetrics: the official organ </w:t>
      </w:r>
      <w:r>
        <w:lastRenderedPageBreak/>
        <w:t xml:space="preserve">of the International Federation of Gynaecology and Obstetrics, 115(2), 135–139. </w:t>
      </w:r>
      <w:hyperlink r:id="rId50" w:history="1">
        <w:r w:rsidRPr="00482948">
          <w:rPr>
            <w:rStyle w:val="Hipervnculo"/>
          </w:rPr>
          <w:t>https://doi.org/10.1016/j.ijgo.2011.06.015</w:t>
        </w:r>
      </w:hyperlink>
      <w:r>
        <w:t xml:space="preserve"> </w:t>
      </w:r>
    </w:p>
    <w:p w14:paraId="48FB4644" w14:textId="77777777" w:rsidR="00F103C3" w:rsidRDefault="00F103C3" w:rsidP="00FB13BD">
      <w:pPr>
        <w:ind w:left="567" w:hanging="720"/>
      </w:pPr>
      <w:r>
        <w:t xml:space="preserve">Moreira, M. S. (2022). Dosagem mais baixa de misoprostol para preparo cervical no aborto espontâneo no primeiro trimestre (MISO200): um ensaio clínico randomizado. </w:t>
      </w:r>
      <w:hyperlink r:id="rId51" w:history="1">
        <w:r w:rsidRPr="00482948">
          <w:rPr>
            <w:rStyle w:val="Hipervnculo"/>
          </w:rPr>
          <w:t>http://hdl.handle.net/10183/234601</w:t>
        </w:r>
      </w:hyperlink>
      <w:r>
        <w:t xml:space="preserve"> </w:t>
      </w:r>
    </w:p>
    <w:p w14:paraId="6AC37AA3" w14:textId="77777777" w:rsidR="00F103C3" w:rsidRDefault="00F103C3" w:rsidP="00FB13BD">
      <w:pPr>
        <w:ind w:left="567" w:hanging="720"/>
      </w:pPr>
      <w:r>
        <w:t xml:space="preserve">Morice Chamorro, K., &amp; Zúniga González, G. (2013). Ensayo clínico de eficacia y seguridad del uso de misoprostol versus legrado por aspiración endouterina (LUA) para el manejo del huevo muerto retenido y embarazo anembrionico menor o igual a 12 semanas de gestación en mujeres que asistieron al servicio de la emergencia del Hospital Bertha Calderón Roque de la Ciudad de Managua, de Septiembre del 2012 a Enero del año 2013 Universidad Nacional Autónoma de Nicaragua (UNAN Managua)]. Managua, Nicaragua. </w:t>
      </w:r>
      <w:hyperlink r:id="rId52" w:history="1">
        <w:r w:rsidRPr="00482948">
          <w:rPr>
            <w:rStyle w:val="Hipervnculo"/>
          </w:rPr>
          <w:t>https://repositorio.unan.edu.ni/id/eprint/2692/1/Monografia%20Ultima%20-Kaiu-Gema%202013.pdf</w:t>
        </w:r>
      </w:hyperlink>
      <w:r>
        <w:t xml:space="preserve"> </w:t>
      </w:r>
    </w:p>
    <w:p w14:paraId="6844BA8B" w14:textId="77777777" w:rsidR="00F103C3" w:rsidRDefault="00F103C3" w:rsidP="00FB13BD">
      <w:pPr>
        <w:ind w:left="567" w:hanging="720"/>
      </w:pPr>
      <w:r>
        <w:t xml:space="preserve">Moseson, H., Jayaweera, R., Baum, S. E., &amp; Gerdts, C. (2024). How Effective Is Misoprostol Alone for Medication Abortion? NEJM Evid, 3(6), EVIDccon2300129. </w:t>
      </w:r>
      <w:hyperlink r:id="rId53" w:history="1">
        <w:r w:rsidRPr="00482948">
          <w:rPr>
            <w:rStyle w:val="Hipervnculo"/>
          </w:rPr>
          <w:t>https://doi.org/10.1056/EVIDccon2300129</w:t>
        </w:r>
      </w:hyperlink>
      <w:r>
        <w:t xml:space="preserve"> </w:t>
      </w:r>
    </w:p>
    <w:p w14:paraId="2FB565F3" w14:textId="77777777" w:rsidR="00F103C3" w:rsidRDefault="00F103C3" w:rsidP="00FB13BD">
      <w:pPr>
        <w:ind w:left="567" w:hanging="720"/>
      </w:pPr>
      <w:r>
        <w:t xml:space="preserve">Nejadghaderi, S. A., Balibegloo, M., &amp; Rezaei, N. (2024). The Cochrane risk of bias assessment tool 2 (RoB 2) versus the original RoB: A perspective on the pros and cons. Health science reports, 7(6), e2165. </w:t>
      </w:r>
      <w:hyperlink r:id="rId54" w:history="1">
        <w:r w:rsidRPr="00482948">
          <w:rPr>
            <w:rStyle w:val="Hipervnculo"/>
          </w:rPr>
          <w:t>https://doi.org/10.1002/hsr2.2165</w:t>
        </w:r>
      </w:hyperlink>
      <w:r>
        <w:t xml:space="preserve"> </w:t>
      </w:r>
    </w:p>
    <w:p w14:paraId="5D14F3FE" w14:textId="77777777" w:rsidR="00F103C3" w:rsidRDefault="00F103C3" w:rsidP="00FB13BD">
      <w:pPr>
        <w:ind w:left="567" w:hanging="720"/>
      </w:pPr>
      <w:r>
        <w:t xml:space="preserve">Obando Hebber, K. L. (2020). Efectividad y seguridad del uso del Misoprostol sublingual vs Aspiración Manual Endouterina para el manejo del Huevo Muerto Retenido en mujeres con embarazo menor de 10 semanas de gestación, atendidas en el Nuevo Hospital Monte España del 01 de Enero del 2017 al 31 de Julio del 2019 Universidad Nacional Autónoma de Nicaragua (UNAN Managua)]. Managua, Nicaragua. </w:t>
      </w:r>
      <w:hyperlink r:id="rId55" w:history="1">
        <w:r w:rsidRPr="00482948">
          <w:rPr>
            <w:rStyle w:val="Hipervnculo"/>
          </w:rPr>
          <w:t>https://repositorio.unan.edu.ni/id/eprint/16754/1/16754.pdf</w:t>
        </w:r>
      </w:hyperlink>
      <w:r>
        <w:t xml:space="preserve"> </w:t>
      </w:r>
    </w:p>
    <w:p w14:paraId="07E13384" w14:textId="77777777" w:rsidR="00F103C3" w:rsidRDefault="00F103C3" w:rsidP="00FB13BD">
      <w:pPr>
        <w:ind w:left="567" w:hanging="720"/>
      </w:pPr>
      <w:r>
        <w:lastRenderedPageBreak/>
        <w:t xml:space="preserve">Page, M. J., McKenzie, J. E., Bossuyt, P. M., Boutron, I., Hoffmann, T. C., Mulrow, C. D., Shamseer, L., Tetzlaff, J. M., Akl, E. A., Brennan, S. E., Chou, R., Glanville, J., Grimshaw, J. M., Hróbjartsson, A., Lalu, M. M., Li, T., Loder, E. W., Mayo-Wilson, E., McDonald, S., McGuinness, L. A., … Moher, D. (2021). The PRISMA 2020 statement: an updated guideline for reporting systematic reviews. BMJ (Clinical research ed.), 372, n71. </w:t>
      </w:r>
      <w:hyperlink r:id="rId56" w:history="1">
        <w:r w:rsidRPr="00482948">
          <w:rPr>
            <w:rStyle w:val="Hipervnculo"/>
          </w:rPr>
          <w:t>https://doi.org/10.1136/bmj.n71</w:t>
        </w:r>
      </w:hyperlink>
      <w:r>
        <w:t xml:space="preserve"> </w:t>
      </w:r>
    </w:p>
    <w:p w14:paraId="6581F311" w14:textId="77777777" w:rsidR="00F103C3" w:rsidRDefault="00F103C3" w:rsidP="00FB13BD">
      <w:pPr>
        <w:ind w:left="567" w:hanging="720"/>
      </w:pPr>
      <w:r>
        <w:t xml:space="preserve">Raghavan, S., &amp; Bynum, J. (2009). Misoprostol for treatment of incomplete abortion: An introductory guidebook. New York: Gynuity. </w:t>
      </w:r>
      <w:hyperlink r:id="rId57" w:history="1">
        <w:r w:rsidRPr="00482948">
          <w:rPr>
            <w:rStyle w:val="Hipervnculo"/>
          </w:rPr>
          <w:t>https://gynuity.org/assets/resources/clinguide_pacguide_en.pdf</w:t>
        </w:r>
      </w:hyperlink>
      <w:r>
        <w:t xml:space="preserve"> </w:t>
      </w:r>
    </w:p>
    <w:p w14:paraId="4556C225" w14:textId="77777777" w:rsidR="00F103C3" w:rsidRDefault="00F103C3" w:rsidP="00FB13BD">
      <w:pPr>
        <w:ind w:left="567" w:hanging="720"/>
      </w:pPr>
      <w:r>
        <w:t xml:space="preserve">Raymond, E. G., Harrison, M. S., &amp; Weaver, M. A. (2019). Efficacy of Misoprostol Alone for First-Trimester Medical Abortion: A Systematic Review. Obstet Gynecol, 133(1), 137-147. </w:t>
      </w:r>
      <w:hyperlink r:id="rId58" w:history="1">
        <w:r w:rsidRPr="00482948">
          <w:rPr>
            <w:rStyle w:val="Hipervnculo"/>
          </w:rPr>
          <w:t>https://doi.org/10.1097/aog.0000000000003017</w:t>
        </w:r>
      </w:hyperlink>
      <w:r>
        <w:t xml:space="preserve">  </w:t>
      </w:r>
    </w:p>
    <w:p w14:paraId="2C62DFA8" w14:textId="77777777" w:rsidR="00F103C3" w:rsidRDefault="00F103C3" w:rsidP="00FB13BD">
      <w:pPr>
        <w:ind w:left="567" w:hanging="720"/>
      </w:pPr>
      <w:r>
        <w:t xml:space="preserve">Raymond, E. G., Weaver, M. A., &amp; Shochet, T. (2023). Effectiveness and safety of misoprostol-only for first-trimester medication abortion: An updated systematic review and meta-analysis. Contraception, 127, 110132. </w:t>
      </w:r>
      <w:hyperlink r:id="rId59" w:history="1">
        <w:r w:rsidRPr="00482948">
          <w:rPr>
            <w:rStyle w:val="Hipervnculo"/>
          </w:rPr>
          <w:t>https://doi.org/10.1016/j.contraception.2023.110132</w:t>
        </w:r>
      </w:hyperlink>
      <w:r>
        <w:t xml:space="preserve"> </w:t>
      </w:r>
    </w:p>
    <w:p w14:paraId="682AFE2E" w14:textId="77777777" w:rsidR="00F103C3" w:rsidRPr="00F103C3" w:rsidRDefault="00F103C3" w:rsidP="00FB13BD">
      <w:pPr>
        <w:ind w:left="567" w:hanging="720"/>
        <w:rPr>
          <w:rFonts w:cs="Arial"/>
          <w:szCs w:val="24"/>
        </w:rPr>
      </w:pPr>
      <w:r>
        <w:t xml:space="preserve">Rueda, S. (2022). Factores asociados al éxito del manejo médico con misoprostol en el aborto espontáneo: Una cohorte prospectiva. [Universidad Autónoma de Bucaramanga UNAB. Especialización en Ginecología y Obstetricia]. </w:t>
      </w:r>
      <w:r w:rsidRPr="00F103C3">
        <w:rPr>
          <w:rFonts w:cs="Arial"/>
          <w:szCs w:val="24"/>
        </w:rPr>
        <w:t xml:space="preserve">Repositorio Institucional UNAB </w:t>
      </w:r>
      <w:hyperlink r:id="rId60" w:history="1">
        <w:r w:rsidRPr="00F103C3">
          <w:rPr>
            <w:rStyle w:val="Hipervnculo"/>
            <w:rFonts w:cs="Arial"/>
            <w:szCs w:val="24"/>
          </w:rPr>
          <w:t>http://hdl.handle.net/20.500.12749/16708</w:t>
        </w:r>
      </w:hyperlink>
      <w:r w:rsidRPr="00F103C3">
        <w:rPr>
          <w:rFonts w:cs="Arial"/>
          <w:szCs w:val="24"/>
        </w:rPr>
        <w:t xml:space="preserve"> </w:t>
      </w:r>
    </w:p>
    <w:p w14:paraId="546615DC" w14:textId="77777777" w:rsidR="00F103C3" w:rsidRPr="00F103C3" w:rsidRDefault="00F103C3" w:rsidP="00FB13BD">
      <w:pPr>
        <w:ind w:left="567" w:hanging="720"/>
        <w:rPr>
          <w:rFonts w:cs="Arial"/>
          <w:szCs w:val="24"/>
        </w:rPr>
      </w:pPr>
      <w:r w:rsidRPr="00F103C3">
        <w:rPr>
          <w:rFonts w:cs="Arial"/>
          <w:szCs w:val="24"/>
        </w:rPr>
        <w:t xml:space="preserve">Sakharwade, R., Bhalerao, A., Joshi, S., &amp; Bhalerao, K. (2023). Misoprostol versus Suction Evacuation in the Management of Patients with Incomplete Abortion: A Scoping Review. Journal of Datta Meghe Institute of Medical Sciences University, 18(4), 827-831. </w:t>
      </w:r>
      <w:hyperlink r:id="rId61" w:history="1">
        <w:r w:rsidRPr="00F103C3">
          <w:rPr>
            <w:rStyle w:val="Hipervnculo"/>
            <w:rFonts w:cs="Arial"/>
            <w:szCs w:val="24"/>
          </w:rPr>
          <w:t>https://doi.org/</w:t>
        </w:r>
        <w:r w:rsidRPr="00F103C3">
          <w:rPr>
            <w:rStyle w:val="Hipervnculo"/>
            <w:rFonts w:cs="Arial"/>
            <w:szCs w:val="24"/>
            <w:shd w:val="clear" w:color="auto" w:fill="FFFFFF"/>
          </w:rPr>
          <w:t>10.4103/jdmimsu.jdmimsu_642_22</w:t>
        </w:r>
      </w:hyperlink>
      <w:r w:rsidRPr="00F103C3">
        <w:rPr>
          <w:rFonts w:cs="Arial"/>
          <w:color w:val="353535"/>
          <w:szCs w:val="24"/>
          <w:shd w:val="clear" w:color="auto" w:fill="FFFFFF"/>
        </w:rPr>
        <w:t xml:space="preserve"> </w:t>
      </w:r>
    </w:p>
    <w:p w14:paraId="6B616905" w14:textId="77777777" w:rsidR="00F103C3" w:rsidRDefault="00F103C3" w:rsidP="00FB13BD">
      <w:pPr>
        <w:ind w:left="567" w:hanging="720"/>
      </w:pPr>
      <w:r>
        <w:t xml:space="preserve">Sepúlveda Rivera, C. M., Miranda Araujo, O., Mora Galván, J. A., Ruiz Beltrán, A. M., González Vásquez, D. A., &amp; León Domínguez, J. A. (2019). Effectiveness of the FIGO protocol for medical management of first-trimester abortion. Rev. peru. ginecol. obstet.(En línea), 305-308. </w:t>
      </w:r>
      <w:hyperlink r:id="rId62" w:history="1">
        <w:r w:rsidRPr="00482948">
          <w:rPr>
            <w:rStyle w:val="Hipervnculo"/>
          </w:rPr>
          <w:t>https://doi.org/10.31403/rpgo.v66i2186</w:t>
        </w:r>
      </w:hyperlink>
      <w:r>
        <w:t xml:space="preserve"> </w:t>
      </w:r>
    </w:p>
    <w:p w14:paraId="1306C554" w14:textId="77777777" w:rsidR="00F103C3" w:rsidRDefault="00F103C3" w:rsidP="00FB13BD">
      <w:pPr>
        <w:ind w:left="567" w:hanging="720"/>
      </w:pPr>
      <w:r>
        <w:lastRenderedPageBreak/>
        <w:t xml:space="preserve">Sterne, J. A. C., Savović, J., Page, M. J., Elbers, R. G., Blencowe, N. S., Boutron, I., Cates, C. J., Cheng, H. Y., Corbett, M. S., Eldridge, S. M., Emberson, J. R., Hernán, M. A., Hopewell, S., Hróbjartsson, A., Junqueira, D. R., Jüni, P., Kirkham, J. J., Lasserson, T., Li, T., … Higgins, J. P. T. (2019). RoB 2: A revised tool for assessing risk of bias in randomised trials. BMJ, 366, l4898. </w:t>
      </w:r>
      <w:hyperlink r:id="rId63" w:history="1">
        <w:r w:rsidRPr="00482948">
          <w:rPr>
            <w:rStyle w:val="Hipervnculo"/>
          </w:rPr>
          <w:t>https://doi.org/10.1136/bmj.l4898</w:t>
        </w:r>
      </w:hyperlink>
      <w:r>
        <w:t xml:space="preserve"> </w:t>
      </w:r>
    </w:p>
    <w:p w14:paraId="05CCD932" w14:textId="77777777" w:rsidR="00F103C3" w:rsidRDefault="00F103C3" w:rsidP="00FB13BD">
      <w:pPr>
        <w:ind w:left="567" w:hanging="720"/>
      </w:pPr>
      <w:r>
        <w:t xml:space="preserve">Tang, O. S., Gemzell-Danielsson, K., &amp; Ho, P. C. (2007). Misoprostol: pharmacokinetic profiles, effects on the uterus and side-effects. Int J Gynaecol Obstet, 99 Suppl 2, S160-167. </w:t>
      </w:r>
      <w:hyperlink r:id="rId64" w:history="1">
        <w:r w:rsidRPr="00482948">
          <w:rPr>
            <w:rStyle w:val="Hipervnculo"/>
          </w:rPr>
          <w:t>https://doi.org/10.1016/j.ijgo.2007.09.004</w:t>
        </w:r>
      </w:hyperlink>
      <w:r>
        <w:t xml:space="preserve"> </w:t>
      </w:r>
    </w:p>
    <w:p w14:paraId="1EB5170D" w14:textId="77777777" w:rsidR="00F103C3" w:rsidRDefault="00F103C3" w:rsidP="00FB13BD">
      <w:pPr>
        <w:ind w:left="567" w:hanging="720"/>
      </w:pPr>
      <w:r>
        <w:t xml:space="preserve">Valle Rojas, D. (2022). Comparación de la eficacia y efectos adversos de la terapia con misoprostol vs misoprostol+ mifepristona en el manejo de aborto espontáneo en pacientes del Hospital General De Naucalpan durante el periodo enero 2018 a enero 2020. </w:t>
      </w:r>
      <w:hyperlink r:id="rId65" w:history="1">
        <w:r w:rsidRPr="00482948">
          <w:rPr>
            <w:rStyle w:val="Hipervnculo"/>
          </w:rPr>
          <w:t>http://ri.uaemex.mx/bitstream/handle/20.500.11799/137036/VALLE%20ROJAS%20DENISSE-TESIS.pdf?sequence=1</w:t>
        </w:r>
      </w:hyperlink>
      <w:r>
        <w:t xml:space="preserve"> </w:t>
      </w:r>
    </w:p>
    <w:p w14:paraId="244216EE" w14:textId="77777777" w:rsidR="00F103C3" w:rsidRDefault="00F103C3" w:rsidP="00FB13BD">
      <w:pPr>
        <w:ind w:left="567" w:hanging="720"/>
      </w:pPr>
      <w:r>
        <w:t xml:space="preserve">Valles Jáquez, Z. K. (2024). Manejo médico de aborto del primer trimestre en el Hospital Central del Estado, durante el año 2023 (Doctoral dissertation, Universidad Autónoma de Chihuahua). </w:t>
      </w:r>
      <w:hyperlink r:id="rId66" w:history="1">
        <w:r w:rsidRPr="00482948">
          <w:rPr>
            <w:rStyle w:val="Hipervnculo"/>
          </w:rPr>
          <w:t>http://repositorio.uach.mx/id/eprint/708</w:t>
        </w:r>
      </w:hyperlink>
      <w:r>
        <w:t xml:space="preserve"> </w:t>
      </w:r>
    </w:p>
    <w:p w14:paraId="16766DB3" w14:textId="77777777" w:rsidR="00F103C3" w:rsidRDefault="00F103C3" w:rsidP="00FB13BD">
      <w:pPr>
        <w:ind w:left="567" w:hanging="720"/>
      </w:pPr>
      <w:r>
        <w:t xml:space="preserve">Van Poucke, E., Dewilde, K., &amp; Van den Bosch, T. (2025). Medical versus expectant management for retained products of conception after initial treatment for early pregnancy loss or induced abortion, a systematic review. Journal of Endometriosis and Uterine Disorders, 12, 100134. </w:t>
      </w:r>
      <w:hyperlink r:id="rId67" w:history="1">
        <w:r w:rsidRPr="00482948">
          <w:rPr>
            <w:rStyle w:val="Hipervnculo"/>
          </w:rPr>
          <w:t>https://doi.org/10.1016/j.jeud.2025.100134</w:t>
        </w:r>
      </w:hyperlink>
      <w:r>
        <w:t xml:space="preserve"> </w:t>
      </w:r>
    </w:p>
    <w:p w14:paraId="585B1935" w14:textId="77777777" w:rsidR="00F103C3" w:rsidRDefault="00F103C3" w:rsidP="00FB13BD">
      <w:pPr>
        <w:ind w:left="567" w:hanging="720"/>
      </w:pPr>
      <w:r>
        <w:t xml:space="preserve">Verma, M., Thakur, V., &amp; Awasiya, P. (2016). A comparative study of misoprostol versus surgical management of incomplete and missed miscarriage. International Journal of Reproduction, Contraception, Obstetrics and Gynecology, 5(11), 3654-3659. </w:t>
      </w:r>
      <w:hyperlink r:id="rId68" w:history="1">
        <w:r w:rsidRPr="00482948">
          <w:rPr>
            <w:rStyle w:val="Hipervnculo"/>
          </w:rPr>
          <w:t>http://dx.doi.org/10.18203/2320-1770.ijrcog20163506</w:t>
        </w:r>
      </w:hyperlink>
      <w:r>
        <w:t xml:space="preserve"> </w:t>
      </w:r>
    </w:p>
    <w:p w14:paraId="39E2F466" w14:textId="77777777" w:rsidR="00F103C3" w:rsidRDefault="00F103C3" w:rsidP="00FB13BD">
      <w:pPr>
        <w:ind w:left="567" w:hanging="720"/>
      </w:pPr>
      <w:r>
        <w:lastRenderedPageBreak/>
        <w:t xml:space="preserve">Wu, H. L., Marwah, S., Wang, P., Wang, Q. M., &amp; Chen, X. W. (2017). Misoprostol for medical treatment of missed abortion: a systematic review and network meta-analysis. Sci Rep, 7(1), 1664. </w:t>
      </w:r>
      <w:hyperlink r:id="rId69" w:history="1">
        <w:r w:rsidRPr="00482948">
          <w:rPr>
            <w:rStyle w:val="Hipervnculo"/>
          </w:rPr>
          <w:t>https://doi.org/10.1038/s41598-017-01892-0</w:t>
        </w:r>
      </w:hyperlink>
      <w:r>
        <w:t xml:space="preserve">  </w:t>
      </w:r>
    </w:p>
    <w:p w14:paraId="47AAFD87" w14:textId="52C6C758" w:rsidR="00B8712F" w:rsidRDefault="00B8712F" w:rsidP="000A75D2">
      <w:pPr>
        <w:ind w:left="720" w:hanging="720"/>
        <w:rPr>
          <w:lang w:val="es-NI"/>
        </w:rPr>
      </w:pPr>
      <w:r w:rsidRPr="00B8712F">
        <w:rPr>
          <w:lang w:val="es-NI"/>
        </w:rPr>
        <w:t xml:space="preserve"> </w:t>
      </w:r>
    </w:p>
    <w:p w14:paraId="2EDA5017" w14:textId="083F4306" w:rsidR="00F103C3" w:rsidRDefault="00F103C3" w:rsidP="000A75D2">
      <w:pPr>
        <w:ind w:left="720" w:hanging="720"/>
        <w:rPr>
          <w:lang w:val="es-NI"/>
        </w:rPr>
      </w:pPr>
    </w:p>
    <w:p w14:paraId="7DFAE749" w14:textId="764EE567" w:rsidR="00F103C3" w:rsidRDefault="00F103C3" w:rsidP="000A75D2">
      <w:pPr>
        <w:ind w:left="720" w:hanging="720"/>
        <w:rPr>
          <w:lang w:val="es-NI"/>
        </w:rPr>
      </w:pPr>
    </w:p>
    <w:p w14:paraId="4BC3A09F" w14:textId="422AB3C2" w:rsidR="00F103C3" w:rsidRDefault="00F103C3" w:rsidP="000A75D2">
      <w:pPr>
        <w:ind w:left="720" w:hanging="720"/>
        <w:rPr>
          <w:lang w:val="es-NI"/>
        </w:rPr>
      </w:pPr>
    </w:p>
    <w:p w14:paraId="7B3EF8EF" w14:textId="3BA0A343" w:rsidR="00F103C3" w:rsidRDefault="00F103C3" w:rsidP="000A75D2">
      <w:pPr>
        <w:ind w:left="720" w:hanging="720"/>
        <w:rPr>
          <w:lang w:val="es-NI"/>
        </w:rPr>
      </w:pPr>
    </w:p>
    <w:p w14:paraId="1CA40D65" w14:textId="32C35776" w:rsidR="00F103C3" w:rsidRDefault="00F103C3" w:rsidP="000A75D2">
      <w:pPr>
        <w:ind w:left="720" w:hanging="720"/>
        <w:rPr>
          <w:lang w:val="es-NI"/>
        </w:rPr>
      </w:pPr>
    </w:p>
    <w:p w14:paraId="0AFF2462" w14:textId="68EC281C" w:rsidR="00F103C3" w:rsidRDefault="00F103C3" w:rsidP="000A75D2">
      <w:pPr>
        <w:ind w:left="720" w:hanging="720"/>
        <w:rPr>
          <w:lang w:val="es-NI"/>
        </w:rPr>
      </w:pPr>
    </w:p>
    <w:p w14:paraId="46CB9A88" w14:textId="0531B94E" w:rsidR="00F103C3" w:rsidRDefault="00F103C3" w:rsidP="000A75D2">
      <w:pPr>
        <w:ind w:left="720" w:hanging="720"/>
        <w:rPr>
          <w:lang w:val="es-NI"/>
        </w:rPr>
      </w:pPr>
    </w:p>
    <w:p w14:paraId="5F9E8B40" w14:textId="7A2402F5" w:rsidR="00F103C3" w:rsidRDefault="00F103C3" w:rsidP="000A75D2">
      <w:pPr>
        <w:ind w:left="720" w:hanging="720"/>
        <w:rPr>
          <w:lang w:val="es-NI"/>
        </w:rPr>
      </w:pPr>
    </w:p>
    <w:p w14:paraId="52927AB9" w14:textId="2592772B" w:rsidR="00F103C3" w:rsidRDefault="00F103C3" w:rsidP="000A75D2">
      <w:pPr>
        <w:ind w:left="720" w:hanging="720"/>
        <w:rPr>
          <w:lang w:val="es-NI"/>
        </w:rPr>
      </w:pPr>
    </w:p>
    <w:p w14:paraId="7EF2864F" w14:textId="1E9F6B80" w:rsidR="00F103C3" w:rsidRDefault="00F103C3" w:rsidP="000A75D2">
      <w:pPr>
        <w:ind w:left="720" w:hanging="720"/>
        <w:rPr>
          <w:lang w:val="es-NI"/>
        </w:rPr>
      </w:pPr>
    </w:p>
    <w:p w14:paraId="64EBE04B" w14:textId="2634453E" w:rsidR="00F103C3" w:rsidRDefault="00F103C3" w:rsidP="000A75D2">
      <w:pPr>
        <w:ind w:left="720" w:hanging="720"/>
        <w:rPr>
          <w:lang w:val="es-NI"/>
        </w:rPr>
      </w:pPr>
    </w:p>
    <w:p w14:paraId="3E51190A" w14:textId="786C81C5" w:rsidR="00F103C3" w:rsidRDefault="00F103C3" w:rsidP="000A75D2">
      <w:pPr>
        <w:ind w:left="720" w:hanging="720"/>
        <w:rPr>
          <w:lang w:val="es-NI"/>
        </w:rPr>
      </w:pPr>
    </w:p>
    <w:p w14:paraId="75BB4924" w14:textId="32B535DD" w:rsidR="00F103C3" w:rsidRDefault="00F103C3" w:rsidP="000A75D2">
      <w:pPr>
        <w:ind w:left="720" w:hanging="720"/>
        <w:rPr>
          <w:lang w:val="es-NI"/>
        </w:rPr>
      </w:pPr>
    </w:p>
    <w:p w14:paraId="6CE0366D" w14:textId="41D9D1BE" w:rsidR="00F103C3" w:rsidRDefault="00F103C3" w:rsidP="000A75D2">
      <w:pPr>
        <w:ind w:left="720" w:hanging="720"/>
        <w:rPr>
          <w:lang w:val="es-NI"/>
        </w:rPr>
      </w:pPr>
    </w:p>
    <w:p w14:paraId="5C503C31" w14:textId="332EC8FB" w:rsidR="00F103C3" w:rsidRDefault="00F103C3" w:rsidP="000A75D2">
      <w:pPr>
        <w:ind w:left="720" w:hanging="720"/>
        <w:rPr>
          <w:lang w:val="es-NI"/>
        </w:rPr>
      </w:pPr>
    </w:p>
    <w:p w14:paraId="24E1241F" w14:textId="2906D495" w:rsidR="00F103C3" w:rsidRDefault="00F103C3" w:rsidP="000A75D2">
      <w:pPr>
        <w:ind w:left="720" w:hanging="720"/>
        <w:rPr>
          <w:lang w:val="es-NI"/>
        </w:rPr>
      </w:pPr>
    </w:p>
    <w:p w14:paraId="06162190" w14:textId="48C5590A" w:rsidR="00F103C3" w:rsidRDefault="00F103C3" w:rsidP="000A75D2">
      <w:pPr>
        <w:ind w:left="720" w:hanging="720"/>
        <w:rPr>
          <w:lang w:val="es-NI"/>
        </w:rPr>
      </w:pPr>
    </w:p>
    <w:p w14:paraId="55F5A45B" w14:textId="77777777" w:rsidR="00F103C3" w:rsidRPr="00B8712F" w:rsidRDefault="00F103C3" w:rsidP="000A75D2">
      <w:pPr>
        <w:ind w:left="720" w:hanging="720"/>
        <w:rPr>
          <w:lang w:val="es-NI"/>
        </w:rPr>
      </w:pPr>
    </w:p>
    <w:p w14:paraId="5CE14554" w14:textId="69652F2D" w:rsidR="00251968" w:rsidRPr="00B8712F" w:rsidRDefault="00251968" w:rsidP="00251968">
      <w:pPr>
        <w:pStyle w:val="Ttulo1"/>
        <w:rPr>
          <w:lang w:val="es-NI"/>
        </w:rPr>
      </w:pPr>
      <w:bookmarkStart w:id="76" w:name="_Toc232987027"/>
      <w:r w:rsidRPr="00B8712F">
        <w:rPr>
          <w:lang w:val="es-NI"/>
        </w:rPr>
        <w:lastRenderedPageBreak/>
        <w:t>Anexos</w:t>
      </w:r>
      <w:bookmarkEnd w:id="76"/>
    </w:p>
    <w:p w14:paraId="6EE7782C" w14:textId="68CDC6EC" w:rsidR="00251968" w:rsidRDefault="00251968" w:rsidP="00EC41BF">
      <w:pPr>
        <w:pStyle w:val="Ttulo2"/>
        <w:rPr>
          <w:lang w:val="es-NI"/>
        </w:rPr>
      </w:pPr>
      <w:bookmarkStart w:id="77" w:name="_Toc232987028"/>
      <w:r w:rsidRPr="00B8712F">
        <w:rPr>
          <w:lang w:val="es-NI"/>
        </w:rPr>
        <w:t>Anexo 1. Estrategia de búsqueda</w:t>
      </w:r>
      <w:bookmarkEnd w:id="77"/>
      <w:r w:rsidRPr="00B8712F">
        <w:rPr>
          <w:lang w:val="es-NI"/>
        </w:rPr>
        <w:t xml:space="preserve"> </w:t>
      </w:r>
    </w:p>
    <w:p w14:paraId="75EC0DF1" w14:textId="47235DE4" w:rsidR="00EC41BF" w:rsidRPr="00EC41BF" w:rsidRDefault="00EC41BF" w:rsidP="00EC41BF">
      <w:pPr>
        <w:spacing w:after="0"/>
        <w:rPr>
          <w:u w:val="single"/>
        </w:rPr>
      </w:pPr>
      <w:r w:rsidRPr="00EC41BF">
        <w:rPr>
          <w:u w:val="single"/>
        </w:rPr>
        <w:t>BASE 1 - PUBMED</w:t>
      </w:r>
    </w:p>
    <w:p w14:paraId="7BDFDC4B" w14:textId="77777777" w:rsidR="00EC41BF" w:rsidRDefault="00EC41BF" w:rsidP="00EC41BF">
      <w:pPr>
        <w:rPr>
          <w:rFonts w:cs="Arial"/>
        </w:rPr>
      </w:pPr>
      <w:r w:rsidRPr="00976D57">
        <w:t>("Misoprostol"[Mesh] OR misoprostol) AND ("Abortion, Spontaneous"[Mesh] OR miscarriage OR "spontaneous abortion" OR "incomplete abortion") AND ("first trimester")</w:t>
      </w:r>
      <w:r>
        <w:rPr>
          <w:rFonts w:cs="Arial"/>
        </w:rPr>
        <w:t>AND (“Caribbean” OR “Central America” OR “Latin America” OR “South America” OR “West Indies” OR “Anguilla” OR “Antigua and Barbuda” OR “Argentina” OR “Aruba” OR “Bahamas” OR “Barbados” OR “Bolivia” OR “Belice” OR “Belize” OR “Brasil” OR “Brazil” OR “British Virgin Islands” OR “Cayman Islands” OR “Chile” OR “Colombia” OR “Costa Rica” OR “Cuba” OR “Dominica” OR “Dominican Republic” OR “Republica Dominicana” OR “Ecuador” OR “El Salvador” OR “French Guiana” OR “Grenada” OR “Guadalupe” OR “Guatemala” OR “Guiana” OR “Guyana” OR “Haiti” OR “Honduras” OR “Leeward Islands” OR “Jamaica” OR “Martinique” OR “Mexico” OR “Montserrat” OR “Netherlands Antilles” OR “Nicaragua” OR “Panama” OR “Paraguay” OR “Peru” OR “Puerto Rico” OR “Saint Kitts and Nevis” OR “Saint Lucia” OR “Saint Vincent and the Grenadines” OR “Suriname” OR “Surinam” OR “Trinidad and Tobago” OR “Turks and Caicos Islands” OR “Uruguay” OR “Venezuela” OR “Virgin Islands of the United States” OR “Windward Islands”)</w:t>
      </w:r>
    </w:p>
    <w:p w14:paraId="5613324A" w14:textId="4CF5852D" w:rsidR="00EC41BF" w:rsidRDefault="00EC41BF" w:rsidP="00EC41BF">
      <w:r>
        <w:t>Límite: 1 de enero 2010 al 31 de mayo del 2026</w:t>
      </w:r>
    </w:p>
    <w:p w14:paraId="397D2344" w14:textId="77777777" w:rsidR="00EC41BF" w:rsidRDefault="00EC41BF" w:rsidP="00EC41BF">
      <w:r>
        <w:t>Resultados 9</w:t>
      </w:r>
    </w:p>
    <w:p w14:paraId="10BEAE24" w14:textId="77777777" w:rsidR="00EC41BF" w:rsidRDefault="00EC41BF" w:rsidP="00EC41BF"/>
    <w:p w14:paraId="7E2B44A9" w14:textId="7411B666" w:rsidR="00EC41BF" w:rsidRPr="00EC41BF" w:rsidRDefault="00EC41BF" w:rsidP="00EC41BF">
      <w:pPr>
        <w:rPr>
          <w:u w:val="single"/>
        </w:rPr>
      </w:pPr>
      <w:r w:rsidRPr="00EC41BF">
        <w:rPr>
          <w:u w:val="single"/>
        </w:rPr>
        <w:t>BASE 2 - LILACS Plus</w:t>
      </w:r>
    </w:p>
    <w:p w14:paraId="5CF60054" w14:textId="77777777" w:rsidR="00EC41BF" w:rsidRDefault="00EC41BF" w:rsidP="00EC41BF">
      <w:r w:rsidRPr="002757CB">
        <w:t>(misoprostol) AND ("aborto espontáneo" OR "aborto incompleto" OR miscarriage OR "spontaneous abortion" OR "incomplete abortion" OR "abortamento espontâneo" OR "abortamento incompleto") AND ("primer trimestre" OR "first trimester" OR "primeiro trimestre")</w:t>
      </w:r>
    </w:p>
    <w:p w14:paraId="647776F2" w14:textId="650D2AFB" w:rsidR="00EC41BF" w:rsidRDefault="00EC41BF" w:rsidP="00EC41BF">
      <w:r>
        <w:t>Límite: 1 de enero 2010 al 31 de mayo del 2026</w:t>
      </w:r>
    </w:p>
    <w:p w14:paraId="561B1959" w14:textId="77777777" w:rsidR="00EC41BF" w:rsidRDefault="00EC41BF" w:rsidP="00EC41BF">
      <w:r>
        <w:t>Resultados 15</w:t>
      </w:r>
    </w:p>
    <w:p w14:paraId="1D861739" w14:textId="05CB0469" w:rsidR="00EC41BF" w:rsidRPr="00EC41BF" w:rsidRDefault="00EC41BF" w:rsidP="00EC41BF">
      <w:pPr>
        <w:rPr>
          <w:u w:val="single"/>
        </w:rPr>
      </w:pPr>
      <w:r w:rsidRPr="00EC41BF">
        <w:rPr>
          <w:u w:val="single"/>
        </w:rPr>
        <w:lastRenderedPageBreak/>
        <w:t>BASE 3 - SCIELO</w:t>
      </w:r>
    </w:p>
    <w:p w14:paraId="3C35AE77" w14:textId="77777777" w:rsidR="00EC41BF" w:rsidRDefault="00EC41BF" w:rsidP="00EC41BF">
      <w:r w:rsidRPr="002757CB">
        <w:t>(misoprostol) AND ("aborto incompleto" OR "incomplete abortion" OR "abortamento incompleto" OR "aborto espontáneo" OR "spontaneous abortion" OR "abortamento espontâneo")</w:t>
      </w:r>
    </w:p>
    <w:p w14:paraId="7272CD04" w14:textId="175E5BA9" w:rsidR="00EC41BF" w:rsidRDefault="00EC41BF" w:rsidP="00EC41BF">
      <w:r>
        <w:t>Límite: 1 de enero 2010 al 31 de mayo del 2026</w:t>
      </w:r>
    </w:p>
    <w:p w14:paraId="392FFEBA" w14:textId="77777777" w:rsidR="00EC41BF" w:rsidRDefault="00EC41BF" w:rsidP="00EC41BF">
      <w:r>
        <w:t>Resultados: 14</w:t>
      </w:r>
    </w:p>
    <w:p w14:paraId="014BEB2F" w14:textId="77777777" w:rsidR="00EC41BF" w:rsidRDefault="00EC41BF" w:rsidP="00EC41BF"/>
    <w:p w14:paraId="588A13BC" w14:textId="327C28B9" w:rsidR="00EC41BF" w:rsidRPr="00EC41BF" w:rsidRDefault="00EC41BF" w:rsidP="00EC41BF">
      <w:pPr>
        <w:rPr>
          <w:u w:val="single"/>
        </w:rPr>
      </w:pPr>
      <w:r w:rsidRPr="00EC41BF">
        <w:rPr>
          <w:u w:val="single"/>
        </w:rPr>
        <w:t>BASE 4 - REDALYC</w:t>
      </w:r>
    </w:p>
    <w:p w14:paraId="4423ECD6" w14:textId="77777777" w:rsidR="00EC41BF" w:rsidRDefault="00EC41BF" w:rsidP="00EC41BF">
      <w:r w:rsidRPr="002757CB">
        <w:t>misoprostol AND ("aborto incompleto" OR "aborto espontáneo" OR "incomplete abortion" OR "spontaneous abortion" OR "abortamento incompleto" OR "abortamento espontâneo")</w:t>
      </w:r>
    </w:p>
    <w:p w14:paraId="3141B55F" w14:textId="2045F3B4" w:rsidR="00EC41BF" w:rsidRDefault="00EC41BF" w:rsidP="00EC41BF">
      <w:r>
        <w:t>Límite: 1 de enero 2010 al 31 de mayo del 2026</w:t>
      </w:r>
    </w:p>
    <w:p w14:paraId="40D7B901" w14:textId="77777777" w:rsidR="00EC41BF" w:rsidRDefault="00EC41BF" w:rsidP="00EC41BF">
      <w:r>
        <w:t>Resultados: 74</w:t>
      </w:r>
    </w:p>
    <w:p w14:paraId="2EE13DBF" w14:textId="77777777" w:rsidR="00EC41BF" w:rsidRDefault="00EC41BF" w:rsidP="00EC41BF"/>
    <w:p w14:paraId="120A8ED3" w14:textId="0393AC2B" w:rsidR="00EC41BF" w:rsidRPr="00EC41BF" w:rsidRDefault="00EC41BF" w:rsidP="00EC41BF">
      <w:pPr>
        <w:rPr>
          <w:u w:val="single"/>
        </w:rPr>
      </w:pPr>
      <w:r w:rsidRPr="00EC41BF">
        <w:rPr>
          <w:u w:val="single"/>
        </w:rPr>
        <w:t>BASE 5 - Scholar</w:t>
      </w:r>
    </w:p>
    <w:p w14:paraId="3A15DE3D" w14:textId="77777777" w:rsidR="00EC41BF" w:rsidRDefault="00EC41BF" w:rsidP="00EC41BF">
      <w:r w:rsidRPr="00EA25D9">
        <w:t>misoprostol ("aborto incompleto" OR "incomplete abortion" OR "aborto espontáneo" OR "spontaneous abortion") ("tesis" OR "trabajo de titulación" OR "trabajo de grado" OR "disertación" OR thesis OR dissertation) ("América Latina" OR Latinoamérica OR "Latin America" OR México OR Mexico OR Guatemala OR Honduras OR "El Salvador" OR Nicaragua OR "Costa Rica" OR Panamá OR Panama OR Cuba OR "República Dominicana" OR "Dominican Republic" OR Haití OR Haiti OR Puerto Rico OR Colombia OR Venezuela OR Ecuador OR Perú OR Peru OR Bolivia OR Chile OR Argentina OR Uruguay OR Paraguay OR Brasil OR Brazil)</w:t>
      </w:r>
    </w:p>
    <w:p w14:paraId="16B89238" w14:textId="77777777" w:rsidR="00EC41BF" w:rsidRDefault="00EC41BF" w:rsidP="00EC41BF">
      <w:r>
        <w:t>Límite: 1 de enero 2010 al 31 de mayo del 2026</w:t>
      </w:r>
    </w:p>
    <w:p w14:paraId="41CE318E" w14:textId="77777777" w:rsidR="00EC41BF" w:rsidRDefault="00EC41BF" w:rsidP="00EC41BF">
      <w:r>
        <w:t>Resultados: 850</w:t>
      </w:r>
    </w:p>
    <w:p w14:paraId="3652695F" w14:textId="40FA2446" w:rsidR="00EC41BF" w:rsidRPr="00EC41BF" w:rsidRDefault="00EC41BF" w:rsidP="00EC41BF">
      <w:pPr>
        <w:rPr>
          <w:lang w:val="es-NI"/>
        </w:rPr>
        <w:sectPr w:rsidR="00EC41BF" w:rsidRPr="00EC41BF" w:rsidSect="00610CC4">
          <w:pgSz w:w="12240" w:h="15840"/>
          <w:pgMar w:top="1417" w:right="1701" w:bottom="1417" w:left="1701" w:header="708" w:footer="708" w:gutter="0"/>
          <w:cols w:space="708"/>
          <w:docGrid w:linePitch="360"/>
        </w:sectPr>
      </w:pPr>
    </w:p>
    <w:p w14:paraId="08FE3EEE" w14:textId="6A1E7041" w:rsidR="00251968" w:rsidRDefault="00251968" w:rsidP="00251968">
      <w:pPr>
        <w:pStyle w:val="Ttulo2"/>
        <w:rPr>
          <w:lang w:val="es-NI"/>
        </w:rPr>
      </w:pPr>
      <w:bookmarkStart w:id="78" w:name="_Toc232987029"/>
      <w:r w:rsidRPr="00B8712F">
        <w:rPr>
          <w:lang w:val="es-NI"/>
        </w:rPr>
        <w:lastRenderedPageBreak/>
        <w:t>Anexo 2. Matri</w:t>
      </w:r>
      <w:r w:rsidR="006537B1">
        <w:rPr>
          <w:lang w:val="es-NI"/>
        </w:rPr>
        <w:t xml:space="preserve">ces </w:t>
      </w:r>
      <w:r w:rsidRPr="00B8712F">
        <w:rPr>
          <w:lang w:val="es-NI"/>
        </w:rPr>
        <w:t>de extracción de datos</w:t>
      </w:r>
      <w:bookmarkEnd w:id="78"/>
    </w:p>
    <w:p w14:paraId="1647DC92" w14:textId="0CBE498A" w:rsidR="006537B1" w:rsidRDefault="00AD7EE1" w:rsidP="00AD7EE1">
      <w:pPr>
        <w:pStyle w:val="Descripcin"/>
      </w:pPr>
      <w:bookmarkStart w:id="79" w:name="_Toc232972491"/>
      <w:r w:rsidRPr="00C5001F">
        <w:rPr>
          <w:b/>
          <w:bCs/>
        </w:rPr>
        <w:t xml:space="preserve">Matriz </w:t>
      </w:r>
      <w:r w:rsidRPr="00C5001F">
        <w:rPr>
          <w:b/>
          <w:bCs/>
        </w:rPr>
        <w:fldChar w:fldCharType="begin"/>
      </w:r>
      <w:r w:rsidRPr="00C5001F">
        <w:rPr>
          <w:b/>
          <w:bCs/>
        </w:rPr>
        <w:instrText xml:space="preserve"> SEQ Matriz \* ARABIC </w:instrText>
      </w:r>
      <w:r w:rsidRPr="00C5001F">
        <w:rPr>
          <w:b/>
          <w:bCs/>
        </w:rPr>
        <w:fldChar w:fldCharType="separate"/>
      </w:r>
      <w:r w:rsidR="00C5001F">
        <w:rPr>
          <w:b/>
          <w:bCs/>
          <w:noProof/>
        </w:rPr>
        <w:t>1</w:t>
      </w:r>
      <w:r w:rsidRPr="00C5001F">
        <w:rPr>
          <w:b/>
          <w:bCs/>
        </w:rPr>
        <w:fldChar w:fldCharType="end"/>
      </w:r>
      <w:r w:rsidRPr="00C5001F">
        <w:rPr>
          <w:b/>
          <w:bCs/>
        </w:rPr>
        <w:t>.</w:t>
      </w:r>
      <w:r>
        <w:t xml:space="preserve"> </w:t>
      </w:r>
      <w:r w:rsidR="006537B1">
        <w:t xml:space="preserve">Matriz de extracción de </w:t>
      </w:r>
      <w:r w:rsidR="00C5001F">
        <w:t xml:space="preserve">información sobre </w:t>
      </w:r>
      <w:r w:rsidR="006537B1">
        <w:t>características generales de los estudios incluidos</w:t>
      </w:r>
      <w:bookmarkEnd w:id="79"/>
    </w:p>
    <w:tbl>
      <w:tblPr>
        <w:tblStyle w:val="Tablaconcuadrcula"/>
        <w:tblW w:w="0" w:type="auto"/>
        <w:tblLook w:val="04A0" w:firstRow="1" w:lastRow="0" w:firstColumn="1" w:lastColumn="0" w:noHBand="0" w:noVBand="1"/>
      </w:tblPr>
      <w:tblGrid>
        <w:gridCol w:w="517"/>
        <w:gridCol w:w="1076"/>
        <w:gridCol w:w="669"/>
        <w:gridCol w:w="1476"/>
        <w:gridCol w:w="1807"/>
        <w:gridCol w:w="1074"/>
        <w:gridCol w:w="1916"/>
        <w:gridCol w:w="1647"/>
        <w:gridCol w:w="1357"/>
        <w:gridCol w:w="1455"/>
      </w:tblGrid>
      <w:tr w:rsidR="006537B1" w:rsidRPr="006537B1" w14:paraId="16225DDE" w14:textId="77777777" w:rsidTr="000A215B">
        <w:tc>
          <w:tcPr>
            <w:tcW w:w="0" w:type="auto"/>
            <w:shd w:val="clear" w:color="auto" w:fill="F2F2F2" w:themeFill="background1" w:themeFillShade="F2"/>
            <w:hideMark/>
          </w:tcPr>
          <w:p w14:paraId="3368F11F" w14:textId="77777777" w:rsidR="006537B1" w:rsidRPr="006537B1" w:rsidRDefault="006537B1" w:rsidP="000A215B">
            <w:pPr>
              <w:jc w:val="right"/>
              <w:rPr>
                <w:rFonts w:eastAsia="Times New Roman" w:cs="Arial"/>
                <w:b/>
                <w:bCs/>
                <w:sz w:val="22"/>
                <w:szCs w:val="20"/>
                <w:lang w:eastAsia="es-ES"/>
              </w:rPr>
            </w:pPr>
            <w:r w:rsidRPr="006537B1">
              <w:rPr>
                <w:rFonts w:eastAsia="Times New Roman" w:cs="Arial"/>
                <w:b/>
                <w:bCs/>
                <w:sz w:val="22"/>
                <w:szCs w:val="20"/>
                <w:lang w:eastAsia="es-ES"/>
              </w:rPr>
              <w:t>N.º</w:t>
            </w:r>
          </w:p>
        </w:tc>
        <w:tc>
          <w:tcPr>
            <w:tcW w:w="0" w:type="auto"/>
            <w:shd w:val="clear" w:color="auto" w:fill="F2F2F2" w:themeFill="background1" w:themeFillShade="F2"/>
            <w:hideMark/>
          </w:tcPr>
          <w:p w14:paraId="5BF6EF2D"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Autores y año</w:t>
            </w:r>
          </w:p>
        </w:tc>
        <w:tc>
          <w:tcPr>
            <w:tcW w:w="0" w:type="auto"/>
            <w:shd w:val="clear" w:color="auto" w:fill="F2F2F2" w:themeFill="background1" w:themeFillShade="F2"/>
            <w:hideMark/>
          </w:tcPr>
          <w:p w14:paraId="2B42850A"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País</w:t>
            </w:r>
          </w:p>
        </w:tc>
        <w:tc>
          <w:tcPr>
            <w:tcW w:w="0" w:type="auto"/>
            <w:shd w:val="clear" w:color="auto" w:fill="F2F2F2" w:themeFill="background1" w:themeFillShade="F2"/>
            <w:hideMark/>
          </w:tcPr>
          <w:p w14:paraId="31F6957E"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Tipo de publicación</w:t>
            </w:r>
          </w:p>
        </w:tc>
        <w:tc>
          <w:tcPr>
            <w:tcW w:w="0" w:type="auto"/>
            <w:shd w:val="clear" w:color="auto" w:fill="F2F2F2" w:themeFill="background1" w:themeFillShade="F2"/>
            <w:hideMark/>
          </w:tcPr>
          <w:p w14:paraId="5BD1D9D7"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Objetivo o comparación relevante para la revisión sistemática</w:t>
            </w:r>
          </w:p>
        </w:tc>
        <w:tc>
          <w:tcPr>
            <w:tcW w:w="0" w:type="auto"/>
            <w:shd w:val="clear" w:color="auto" w:fill="F2F2F2" w:themeFill="background1" w:themeFillShade="F2"/>
            <w:hideMark/>
          </w:tcPr>
          <w:p w14:paraId="1C9EE97F"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Tipo de estudio / diseño</w:t>
            </w:r>
          </w:p>
        </w:tc>
        <w:tc>
          <w:tcPr>
            <w:tcW w:w="0" w:type="auto"/>
            <w:shd w:val="clear" w:color="auto" w:fill="F2F2F2" w:themeFill="background1" w:themeFillShade="F2"/>
            <w:hideMark/>
          </w:tcPr>
          <w:p w14:paraId="17705F31"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Características de la población de estudio</w:t>
            </w:r>
          </w:p>
        </w:tc>
        <w:tc>
          <w:tcPr>
            <w:tcW w:w="0" w:type="auto"/>
            <w:shd w:val="clear" w:color="auto" w:fill="F2F2F2" w:themeFill="background1" w:themeFillShade="F2"/>
            <w:hideMark/>
          </w:tcPr>
          <w:p w14:paraId="4D009B2A"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Muestra, grupo de estudio y grupo comparador</w:t>
            </w:r>
          </w:p>
        </w:tc>
        <w:tc>
          <w:tcPr>
            <w:tcW w:w="0" w:type="auto"/>
            <w:shd w:val="clear" w:color="auto" w:fill="F2F2F2" w:themeFill="background1" w:themeFillShade="F2"/>
            <w:hideMark/>
          </w:tcPr>
          <w:p w14:paraId="2B4D7539"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Resultado clínico evaluado</w:t>
            </w:r>
          </w:p>
        </w:tc>
        <w:tc>
          <w:tcPr>
            <w:tcW w:w="0" w:type="auto"/>
            <w:shd w:val="clear" w:color="auto" w:fill="F2F2F2" w:themeFill="background1" w:themeFillShade="F2"/>
            <w:hideMark/>
          </w:tcPr>
          <w:p w14:paraId="5596D2D0" w14:textId="77777777" w:rsidR="006537B1" w:rsidRPr="006537B1" w:rsidRDefault="006537B1" w:rsidP="000A215B">
            <w:pPr>
              <w:jc w:val="center"/>
              <w:rPr>
                <w:rFonts w:eastAsia="Times New Roman" w:cs="Arial"/>
                <w:b/>
                <w:bCs/>
                <w:sz w:val="22"/>
                <w:szCs w:val="20"/>
                <w:lang w:eastAsia="es-ES"/>
              </w:rPr>
            </w:pPr>
            <w:r w:rsidRPr="006537B1">
              <w:rPr>
                <w:rFonts w:eastAsia="Times New Roman" w:cs="Arial"/>
                <w:b/>
                <w:bCs/>
                <w:sz w:val="22"/>
                <w:szCs w:val="20"/>
                <w:lang w:eastAsia="es-ES"/>
              </w:rPr>
              <w:t>Resultados principales</w:t>
            </w:r>
          </w:p>
        </w:tc>
      </w:tr>
      <w:tr w:rsidR="006537B1" w:rsidRPr="006537B1" w14:paraId="2716BD65" w14:textId="77777777" w:rsidTr="006537B1">
        <w:tc>
          <w:tcPr>
            <w:tcW w:w="0" w:type="auto"/>
          </w:tcPr>
          <w:p w14:paraId="3F77BB21" w14:textId="7BE8F555" w:rsidR="006537B1" w:rsidRPr="006537B1" w:rsidRDefault="006537B1" w:rsidP="000A215B">
            <w:pPr>
              <w:jc w:val="right"/>
              <w:rPr>
                <w:rFonts w:eastAsia="Times New Roman" w:cs="Arial"/>
                <w:sz w:val="22"/>
                <w:szCs w:val="20"/>
                <w:lang w:eastAsia="es-ES"/>
              </w:rPr>
            </w:pPr>
          </w:p>
        </w:tc>
        <w:tc>
          <w:tcPr>
            <w:tcW w:w="0" w:type="auto"/>
          </w:tcPr>
          <w:p w14:paraId="6F52C4A4" w14:textId="41CD4BFD" w:rsidR="006537B1" w:rsidRPr="006537B1" w:rsidRDefault="006537B1" w:rsidP="000A215B">
            <w:pPr>
              <w:rPr>
                <w:rFonts w:eastAsia="Times New Roman" w:cs="Arial"/>
                <w:sz w:val="22"/>
                <w:szCs w:val="20"/>
                <w:lang w:eastAsia="es-ES"/>
              </w:rPr>
            </w:pPr>
          </w:p>
        </w:tc>
        <w:tc>
          <w:tcPr>
            <w:tcW w:w="0" w:type="auto"/>
          </w:tcPr>
          <w:p w14:paraId="554EB7BF" w14:textId="40A62B06" w:rsidR="006537B1" w:rsidRPr="006537B1" w:rsidRDefault="006537B1" w:rsidP="000A215B">
            <w:pPr>
              <w:rPr>
                <w:rFonts w:eastAsia="Times New Roman" w:cs="Arial"/>
                <w:sz w:val="22"/>
                <w:szCs w:val="20"/>
                <w:lang w:eastAsia="es-ES"/>
              </w:rPr>
            </w:pPr>
          </w:p>
        </w:tc>
        <w:tc>
          <w:tcPr>
            <w:tcW w:w="0" w:type="auto"/>
          </w:tcPr>
          <w:p w14:paraId="47EBF114" w14:textId="035DCDA0" w:rsidR="006537B1" w:rsidRPr="006537B1" w:rsidRDefault="006537B1" w:rsidP="000A215B">
            <w:pPr>
              <w:rPr>
                <w:rFonts w:eastAsia="Times New Roman" w:cs="Arial"/>
                <w:sz w:val="22"/>
                <w:szCs w:val="20"/>
                <w:lang w:eastAsia="es-ES"/>
              </w:rPr>
            </w:pPr>
          </w:p>
        </w:tc>
        <w:tc>
          <w:tcPr>
            <w:tcW w:w="0" w:type="auto"/>
          </w:tcPr>
          <w:p w14:paraId="418C6C2D" w14:textId="663B133C" w:rsidR="006537B1" w:rsidRPr="006537B1" w:rsidRDefault="006537B1" w:rsidP="000A215B">
            <w:pPr>
              <w:rPr>
                <w:rFonts w:eastAsia="Times New Roman" w:cs="Arial"/>
                <w:sz w:val="22"/>
                <w:szCs w:val="20"/>
                <w:lang w:eastAsia="es-ES"/>
              </w:rPr>
            </w:pPr>
          </w:p>
        </w:tc>
        <w:tc>
          <w:tcPr>
            <w:tcW w:w="0" w:type="auto"/>
          </w:tcPr>
          <w:p w14:paraId="431EC101" w14:textId="7D2DEF1C" w:rsidR="006537B1" w:rsidRPr="006537B1" w:rsidRDefault="006537B1" w:rsidP="000A215B">
            <w:pPr>
              <w:rPr>
                <w:rFonts w:eastAsia="Times New Roman" w:cs="Arial"/>
                <w:sz w:val="22"/>
                <w:szCs w:val="20"/>
                <w:lang w:eastAsia="es-ES"/>
              </w:rPr>
            </w:pPr>
          </w:p>
        </w:tc>
        <w:tc>
          <w:tcPr>
            <w:tcW w:w="0" w:type="auto"/>
          </w:tcPr>
          <w:p w14:paraId="0DDF2838" w14:textId="3FB77C72" w:rsidR="006537B1" w:rsidRPr="006537B1" w:rsidRDefault="006537B1" w:rsidP="000A215B">
            <w:pPr>
              <w:rPr>
                <w:rFonts w:eastAsia="Times New Roman" w:cs="Arial"/>
                <w:sz w:val="22"/>
                <w:szCs w:val="20"/>
                <w:lang w:eastAsia="es-ES"/>
              </w:rPr>
            </w:pPr>
          </w:p>
        </w:tc>
        <w:tc>
          <w:tcPr>
            <w:tcW w:w="0" w:type="auto"/>
          </w:tcPr>
          <w:p w14:paraId="4516B28D" w14:textId="49398BDD" w:rsidR="006537B1" w:rsidRPr="006537B1" w:rsidRDefault="006537B1" w:rsidP="000A215B">
            <w:pPr>
              <w:rPr>
                <w:rFonts w:eastAsia="Times New Roman" w:cs="Arial"/>
                <w:sz w:val="22"/>
                <w:szCs w:val="20"/>
                <w:lang w:eastAsia="es-ES"/>
              </w:rPr>
            </w:pPr>
          </w:p>
        </w:tc>
        <w:tc>
          <w:tcPr>
            <w:tcW w:w="0" w:type="auto"/>
          </w:tcPr>
          <w:p w14:paraId="12CCACA2" w14:textId="6938F5C6" w:rsidR="006537B1" w:rsidRPr="006537B1" w:rsidRDefault="006537B1" w:rsidP="000A215B">
            <w:pPr>
              <w:rPr>
                <w:rFonts w:eastAsia="Times New Roman" w:cs="Arial"/>
                <w:sz w:val="22"/>
                <w:szCs w:val="20"/>
                <w:lang w:eastAsia="es-ES"/>
              </w:rPr>
            </w:pPr>
          </w:p>
        </w:tc>
        <w:tc>
          <w:tcPr>
            <w:tcW w:w="0" w:type="auto"/>
          </w:tcPr>
          <w:p w14:paraId="51077B6C" w14:textId="780EC217" w:rsidR="006537B1" w:rsidRPr="006537B1" w:rsidRDefault="006537B1" w:rsidP="000A215B">
            <w:pPr>
              <w:rPr>
                <w:rFonts w:eastAsia="Times New Roman" w:cs="Arial"/>
                <w:sz w:val="22"/>
                <w:szCs w:val="20"/>
                <w:lang w:eastAsia="es-ES"/>
              </w:rPr>
            </w:pPr>
          </w:p>
        </w:tc>
      </w:tr>
      <w:tr w:rsidR="006537B1" w:rsidRPr="006537B1" w14:paraId="65905969" w14:textId="77777777" w:rsidTr="006537B1">
        <w:tc>
          <w:tcPr>
            <w:tcW w:w="0" w:type="auto"/>
          </w:tcPr>
          <w:p w14:paraId="7FFFB1AE" w14:textId="77777777" w:rsidR="006537B1" w:rsidRPr="006537B1" w:rsidRDefault="006537B1" w:rsidP="000A215B">
            <w:pPr>
              <w:jc w:val="right"/>
              <w:rPr>
                <w:rFonts w:eastAsia="Times New Roman" w:cs="Arial"/>
                <w:sz w:val="22"/>
                <w:szCs w:val="20"/>
                <w:lang w:eastAsia="es-ES"/>
              </w:rPr>
            </w:pPr>
          </w:p>
        </w:tc>
        <w:tc>
          <w:tcPr>
            <w:tcW w:w="0" w:type="auto"/>
          </w:tcPr>
          <w:p w14:paraId="0F5065F6" w14:textId="77777777" w:rsidR="006537B1" w:rsidRPr="006537B1" w:rsidRDefault="006537B1" w:rsidP="000A215B">
            <w:pPr>
              <w:rPr>
                <w:rFonts w:eastAsia="Times New Roman" w:cs="Arial"/>
                <w:sz w:val="22"/>
                <w:szCs w:val="20"/>
                <w:lang w:eastAsia="es-ES"/>
              </w:rPr>
            </w:pPr>
          </w:p>
        </w:tc>
        <w:tc>
          <w:tcPr>
            <w:tcW w:w="0" w:type="auto"/>
          </w:tcPr>
          <w:p w14:paraId="1A644AB0" w14:textId="77777777" w:rsidR="006537B1" w:rsidRPr="006537B1" w:rsidRDefault="006537B1" w:rsidP="000A215B">
            <w:pPr>
              <w:rPr>
                <w:rFonts w:eastAsia="Times New Roman" w:cs="Arial"/>
                <w:sz w:val="22"/>
                <w:szCs w:val="20"/>
                <w:lang w:eastAsia="es-ES"/>
              </w:rPr>
            </w:pPr>
          </w:p>
        </w:tc>
        <w:tc>
          <w:tcPr>
            <w:tcW w:w="0" w:type="auto"/>
          </w:tcPr>
          <w:p w14:paraId="1491FDE2" w14:textId="77777777" w:rsidR="006537B1" w:rsidRPr="006537B1" w:rsidRDefault="006537B1" w:rsidP="000A215B">
            <w:pPr>
              <w:rPr>
                <w:rFonts w:eastAsia="Times New Roman" w:cs="Arial"/>
                <w:sz w:val="22"/>
                <w:szCs w:val="20"/>
                <w:lang w:eastAsia="es-ES"/>
              </w:rPr>
            </w:pPr>
          </w:p>
        </w:tc>
        <w:tc>
          <w:tcPr>
            <w:tcW w:w="0" w:type="auto"/>
          </w:tcPr>
          <w:p w14:paraId="3FC58691" w14:textId="77777777" w:rsidR="006537B1" w:rsidRPr="006537B1" w:rsidRDefault="006537B1" w:rsidP="000A215B">
            <w:pPr>
              <w:rPr>
                <w:rFonts w:eastAsia="Times New Roman" w:cs="Arial"/>
                <w:sz w:val="22"/>
                <w:szCs w:val="20"/>
                <w:lang w:eastAsia="es-ES"/>
              </w:rPr>
            </w:pPr>
          </w:p>
        </w:tc>
        <w:tc>
          <w:tcPr>
            <w:tcW w:w="0" w:type="auto"/>
          </w:tcPr>
          <w:p w14:paraId="17C83CC0" w14:textId="77777777" w:rsidR="006537B1" w:rsidRPr="006537B1" w:rsidRDefault="006537B1" w:rsidP="000A215B">
            <w:pPr>
              <w:rPr>
                <w:rFonts w:eastAsia="Times New Roman" w:cs="Arial"/>
                <w:sz w:val="22"/>
                <w:szCs w:val="20"/>
                <w:lang w:eastAsia="es-ES"/>
              </w:rPr>
            </w:pPr>
          </w:p>
        </w:tc>
        <w:tc>
          <w:tcPr>
            <w:tcW w:w="0" w:type="auto"/>
          </w:tcPr>
          <w:p w14:paraId="77CF3D94" w14:textId="77777777" w:rsidR="006537B1" w:rsidRPr="006537B1" w:rsidRDefault="006537B1" w:rsidP="000A215B">
            <w:pPr>
              <w:rPr>
                <w:rFonts w:eastAsia="Times New Roman" w:cs="Arial"/>
                <w:sz w:val="22"/>
                <w:szCs w:val="20"/>
                <w:lang w:eastAsia="es-ES"/>
              </w:rPr>
            </w:pPr>
          </w:p>
        </w:tc>
        <w:tc>
          <w:tcPr>
            <w:tcW w:w="0" w:type="auto"/>
          </w:tcPr>
          <w:p w14:paraId="647A60EE" w14:textId="77777777" w:rsidR="006537B1" w:rsidRPr="006537B1" w:rsidRDefault="006537B1" w:rsidP="000A215B">
            <w:pPr>
              <w:rPr>
                <w:rFonts w:eastAsia="Times New Roman" w:cs="Arial"/>
                <w:sz w:val="22"/>
                <w:szCs w:val="20"/>
                <w:lang w:eastAsia="es-ES"/>
              </w:rPr>
            </w:pPr>
          </w:p>
        </w:tc>
        <w:tc>
          <w:tcPr>
            <w:tcW w:w="0" w:type="auto"/>
          </w:tcPr>
          <w:p w14:paraId="45E58891" w14:textId="77777777" w:rsidR="006537B1" w:rsidRPr="006537B1" w:rsidRDefault="006537B1" w:rsidP="000A215B">
            <w:pPr>
              <w:rPr>
                <w:rFonts w:eastAsia="Times New Roman" w:cs="Arial"/>
                <w:sz w:val="22"/>
                <w:szCs w:val="20"/>
                <w:lang w:eastAsia="es-ES"/>
              </w:rPr>
            </w:pPr>
          </w:p>
        </w:tc>
        <w:tc>
          <w:tcPr>
            <w:tcW w:w="0" w:type="auto"/>
          </w:tcPr>
          <w:p w14:paraId="11B4F10E" w14:textId="77777777" w:rsidR="006537B1" w:rsidRPr="006537B1" w:rsidRDefault="006537B1" w:rsidP="000A215B">
            <w:pPr>
              <w:rPr>
                <w:rFonts w:eastAsia="Times New Roman" w:cs="Arial"/>
                <w:sz w:val="22"/>
                <w:szCs w:val="20"/>
                <w:lang w:eastAsia="es-ES"/>
              </w:rPr>
            </w:pPr>
          </w:p>
        </w:tc>
      </w:tr>
      <w:tr w:rsidR="006537B1" w:rsidRPr="006537B1" w14:paraId="28E9AE21" w14:textId="77777777" w:rsidTr="006537B1">
        <w:tc>
          <w:tcPr>
            <w:tcW w:w="0" w:type="auto"/>
          </w:tcPr>
          <w:p w14:paraId="0D06B9AE" w14:textId="77777777" w:rsidR="006537B1" w:rsidRPr="006537B1" w:rsidRDefault="006537B1" w:rsidP="000A215B">
            <w:pPr>
              <w:jc w:val="right"/>
              <w:rPr>
                <w:rFonts w:eastAsia="Times New Roman" w:cs="Arial"/>
                <w:sz w:val="22"/>
                <w:szCs w:val="20"/>
                <w:lang w:eastAsia="es-ES"/>
              </w:rPr>
            </w:pPr>
          </w:p>
        </w:tc>
        <w:tc>
          <w:tcPr>
            <w:tcW w:w="0" w:type="auto"/>
          </w:tcPr>
          <w:p w14:paraId="560DF937" w14:textId="77777777" w:rsidR="006537B1" w:rsidRPr="006537B1" w:rsidRDefault="006537B1" w:rsidP="000A215B">
            <w:pPr>
              <w:rPr>
                <w:rFonts w:eastAsia="Times New Roman" w:cs="Arial"/>
                <w:sz w:val="22"/>
                <w:szCs w:val="20"/>
                <w:lang w:eastAsia="es-ES"/>
              </w:rPr>
            </w:pPr>
          </w:p>
        </w:tc>
        <w:tc>
          <w:tcPr>
            <w:tcW w:w="0" w:type="auto"/>
          </w:tcPr>
          <w:p w14:paraId="711E84E0" w14:textId="77777777" w:rsidR="006537B1" w:rsidRPr="006537B1" w:rsidRDefault="006537B1" w:rsidP="000A215B">
            <w:pPr>
              <w:rPr>
                <w:rFonts w:eastAsia="Times New Roman" w:cs="Arial"/>
                <w:sz w:val="22"/>
                <w:szCs w:val="20"/>
                <w:lang w:eastAsia="es-ES"/>
              </w:rPr>
            </w:pPr>
          </w:p>
        </w:tc>
        <w:tc>
          <w:tcPr>
            <w:tcW w:w="0" w:type="auto"/>
          </w:tcPr>
          <w:p w14:paraId="3ADC73AC" w14:textId="77777777" w:rsidR="006537B1" w:rsidRPr="006537B1" w:rsidRDefault="006537B1" w:rsidP="000A215B">
            <w:pPr>
              <w:rPr>
                <w:rFonts w:eastAsia="Times New Roman" w:cs="Arial"/>
                <w:sz w:val="22"/>
                <w:szCs w:val="20"/>
                <w:lang w:eastAsia="es-ES"/>
              </w:rPr>
            </w:pPr>
          </w:p>
        </w:tc>
        <w:tc>
          <w:tcPr>
            <w:tcW w:w="0" w:type="auto"/>
          </w:tcPr>
          <w:p w14:paraId="364E4F59" w14:textId="77777777" w:rsidR="006537B1" w:rsidRPr="006537B1" w:rsidRDefault="006537B1" w:rsidP="000A215B">
            <w:pPr>
              <w:rPr>
                <w:rFonts w:eastAsia="Times New Roman" w:cs="Arial"/>
                <w:sz w:val="22"/>
                <w:szCs w:val="20"/>
                <w:lang w:eastAsia="es-ES"/>
              </w:rPr>
            </w:pPr>
          </w:p>
        </w:tc>
        <w:tc>
          <w:tcPr>
            <w:tcW w:w="0" w:type="auto"/>
          </w:tcPr>
          <w:p w14:paraId="7546D635" w14:textId="77777777" w:rsidR="006537B1" w:rsidRPr="006537B1" w:rsidRDefault="006537B1" w:rsidP="000A215B">
            <w:pPr>
              <w:rPr>
                <w:rFonts w:eastAsia="Times New Roman" w:cs="Arial"/>
                <w:sz w:val="22"/>
                <w:szCs w:val="20"/>
                <w:lang w:eastAsia="es-ES"/>
              </w:rPr>
            </w:pPr>
          </w:p>
        </w:tc>
        <w:tc>
          <w:tcPr>
            <w:tcW w:w="0" w:type="auto"/>
          </w:tcPr>
          <w:p w14:paraId="39949708" w14:textId="77777777" w:rsidR="006537B1" w:rsidRPr="006537B1" w:rsidRDefault="006537B1" w:rsidP="000A215B">
            <w:pPr>
              <w:rPr>
                <w:rFonts w:eastAsia="Times New Roman" w:cs="Arial"/>
                <w:sz w:val="22"/>
                <w:szCs w:val="20"/>
                <w:lang w:eastAsia="es-ES"/>
              </w:rPr>
            </w:pPr>
          </w:p>
        </w:tc>
        <w:tc>
          <w:tcPr>
            <w:tcW w:w="0" w:type="auto"/>
          </w:tcPr>
          <w:p w14:paraId="1472D76A" w14:textId="77777777" w:rsidR="006537B1" w:rsidRPr="006537B1" w:rsidRDefault="006537B1" w:rsidP="000A215B">
            <w:pPr>
              <w:rPr>
                <w:rFonts w:eastAsia="Times New Roman" w:cs="Arial"/>
                <w:sz w:val="22"/>
                <w:szCs w:val="20"/>
                <w:lang w:eastAsia="es-ES"/>
              </w:rPr>
            </w:pPr>
          </w:p>
        </w:tc>
        <w:tc>
          <w:tcPr>
            <w:tcW w:w="0" w:type="auto"/>
          </w:tcPr>
          <w:p w14:paraId="14BEB841" w14:textId="77777777" w:rsidR="006537B1" w:rsidRPr="006537B1" w:rsidRDefault="006537B1" w:rsidP="000A215B">
            <w:pPr>
              <w:rPr>
                <w:rFonts w:eastAsia="Times New Roman" w:cs="Arial"/>
                <w:sz w:val="22"/>
                <w:szCs w:val="20"/>
                <w:lang w:eastAsia="es-ES"/>
              </w:rPr>
            </w:pPr>
          </w:p>
        </w:tc>
        <w:tc>
          <w:tcPr>
            <w:tcW w:w="0" w:type="auto"/>
          </w:tcPr>
          <w:p w14:paraId="73AF58AC" w14:textId="77777777" w:rsidR="006537B1" w:rsidRPr="006537B1" w:rsidRDefault="006537B1" w:rsidP="000A215B">
            <w:pPr>
              <w:rPr>
                <w:rFonts w:eastAsia="Times New Roman" w:cs="Arial"/>
                <w:sz w:val="22"/>
                <w:szCs w:val="20"/>
                <w:lang w:eastAsia="es-ES"/>
              </w:rPr>
            </w:pPr>
          </w:p>
        </w:tc>
      </w:tr>
    </w:tbl>
    <w:p w14:paraId="6C2D5B27" w14:textId="230EDB16" w:rsidR="006537B1" w:rsidRDefault="006537B1" w:rsidP="002101D1">
      <w:pPr>
        <w:rPr>
          <w:lang w:val="es-NI"/>
        </w:rPr>
      </w:pPr>
    </w:p>
    <w:p w14:paraId="7F3FFDAD" w14:textId="1AB61F0A" w:rsidR="00C9695C" w:rsidRDefault="00C9695C" w:rsidP="00C9695C">
      <w:pPr>
        <w:pStyle w:val="Ttulo2"/>
        <w:rPr>
          <w:lang w:val="es-NI"/>
        </w:rPr>
      </w:pPr>
      <w:bookmarkStart w:id="80" w:name="_Toc232987030"/>
      <w:r w:rsidRPr="00B8712F">
        <w:rPr>
          <w:lang w:val="es-NI"/>
        </w:rPr>
        <w:t>Anexo 3. Matri</w:t>
      </w:r>
      <w:r w:rsidR="00AD7EE1">
        <w:rPr>
          <w:lang w:val="es-NI"/>
        </w:rPr>
        <w:t>ces</w:t>
      </w:r>
      <w:r w:rsidRPr="00B8712F">
        <w:rPr>
          <w:lang w:val="es-NI"/>
        </w:rPr>
        <w:t xml:space="preserve"> de evaluación del sesgo</w:t>
      </w:r>
      <w:bookmarkEnd w:id="80"/>
    </w:p>
    <w:p w14:paraId="3CD101FE" w14:textId="7EF366B5" w:rsidR="00EC41BF" w:rsidRDefault="00AD7EE1" w:rsidP="00AD7EE1">
      <w:pPr>
        <w:pStyle w:val="Descripcin"/>
      </w:pPr>
      <w:bookmarkStart w:id="81" w:name="_Toc232972492"/>
      <w:r w:rsidRPr="00C5001F">
        <w:rPr>
          <w:b/>
          <w:bCs/>
        </w:rPr>
        <w:t xml:space="preserve">Matriz </w:t>
      </w:r>
      <w:r w:rsidRPr="00C5001F">
        <w:rPr>
          <w:b/>
          <w:bCs/>
        </w:rPr>
        <w:fldChar w:fldCharType="begin"/>
      </w:r>
      <w:r w:rsidRPr="00C5001F">
        <w:rPr>
          <w:b/>
          <w:bCs/>
        </w:rPr>
        <w:instrText xml:space="preserve"> SEQ Matriz \* ARABIC </w:instrText>
      </w:r>
      <w:r w:rsidRPr="00C5001F">
        <w:rPr>
          <w:b/>
          <w:bCs/>
        </w:rPr>
        <w:fldChar w:fldCharType="separate"/>
      </w:r>
      <w:r w:rsidR="00C5001F">
        <w:rPr>
          <w:b/>
          <w:bCs/>
          <w:noProof/>
        </w:rPr>
        <w:t>2</w:t>
      </w:r>
      <w:r w:rsidRPr="00C5001F">
        <w:rPr>
          <w:b/>
          <w:bCs/>
        </w:rPr>
        <w:fldChar w:fldCharType="end"/>
      </w:r>
      <w:r w:rsidRPr="00C5001F">
        <w:rPr>
          <w:b/>
          <w:bCs/>
        </w:rPr>
        <w:t>.</w:t>
      </w:r>
      <w:r>
        <w:t xml:space="preserve"> </w:t>
      </w:r>
      <w:r w:rsidR="00C5001F">
        <w:t>Matriz de e</w:t>
      </w:r>
      <w:r w:rsidR="006537B1" w:rsidRPr="006537B1">
        <w:t>valuación del riesgo de sesgo del ensayo clínico aleatorizado incluido mediante Cochrane Risk of Bias 2</w:t>
      </w:r>
      <w:bookmarkEnd w:id="81"/>
    </w:p>
    <w:tbl>
      <w:tblPr>
        <w:tblStyle w:val="Tablaconcuadrcula"/>
        <w:tblW w:w="5000" w:type="pct"/>
        <w:tblLook w:val="04A0" w:firstRow="1" w:lastRow="0" w:firstColumn="1" w:lastColumn="0" w:noHBand="0" w:noVBand="1"/>
      </w:tblPr>
      <w:tblGrid>
        <w:gridCol w:w="6213"/>
        <w:gridCol w:w="4886"/>
        <w:gridCol w:w="1895"/>
      </w:tblGrid>
      <w:tr w:rsidR="006537B1" w:rsidRPr="006537B1" w14:paraId="00773FA4" w14:textId="77777777" w:rsidTr="00AD7EE1">
        <w:tc>
          <w:tcPr>
            <w:tcW w:w="2391" w:type="pct"/>
            <w:shd w:val="clear" w:color="auto" w:fill="D9D9D9" w:themeFill="background1" w:themeFillShade="D9"/>
            <w:hideMark/>
          </w:tcPr>
          <w:p w14:paraId="338C7FC4" w14:textId="77777777" w:rsidR="006537B1" w:rsidRPr="00AD7EE1" w:rsidRDefault="006537B1" w:rsidP="006537B1">
            <w:pPr>
              <w:rPr>
                <w:rFonts w:cs="Arial"/>
                <w:b/>
                <w:bCs/>
                <w:lang w:eastAsia="es-ES"/>
              </w:rPr>
            </w:pPr>
            <w:r w:rsidRPr="00AD7EE1">
              <w:rPr>
                <w:rFonts w:cs="Arial"/>
                <w:b/>
                <w:bCs/>
                <w:lang w:eastAsia="es-ES"/>
              </w:rPr>
              <w:t>Dominio evaluado</w:t>
            </w:r>
          </w:p>
        </w:tc>
        <w:tc>
          <w:tcPr>
            <w:tcW w:w="1880" w:type="pct"/>
            <w:shd w:val="clear" w:color="auto" w:fill="D9D9D9" w:themeFill="background1" w:themeFillShade="D9"/>
            <w:hideMark/>
          </w:tcPr>
          <w:p w14:paraId="300E5CA5" w14:textId="19EE5C83" w:rsidR="006537B1" w:rsidRPr="00AD7EE1" w:rsidRDefault="00AD7EE1" w:rsidP="006537B1">
            <w:pPr>
              <w:rPr>
                <w:rFonts w:cs="Arial"/>
                <w:b/>
                <w:bCs/>
                <w:lang w:eastAsia="es-ES"/>
              </w:rPr>
            </w:pPr>
            <w:r w:rsidRPr="00AD7EE1">
              <w:rPr>
                <w:rFonts w:cs="Arial"/>
                <w:b/>
                <w:bCs/>
                <w:lang w:eastAsia="es-ES"/>
              </w:rPr>
              <w:t>Estudio evaluado</w:t>
            </w:r>
          </w:p>
        </w:tc>
        <w:tc>
          <w:tcPr>
            <w:tcW w:w="730" w:type="pct"/>
            <w:shd w:val="clear" w:color="auto" w:fill="D9D9D9" w:themeFill="background1" w:themeFillShade="D9"/>
            <w:hideMark/>
          </w:tcPr>
          <w:p w14:paraId="3204E2A2" w14:textId="77777777" w:rsidR="006537B1" w:rsidRPr="00AD7EE1" w:rsidRDefault="006537B1" w:rsidP="006537B1">
            <w:pPr>
              <w:rPr>
                <w:rFonts w:cs="Arial"/>
                <w:b/>
                <w:bCs/>
                <w:lang w:eastAsia="es-ES"/>
              </w:rPr>
            </w:pPr>
            <w:r w:rsidRPr="00AD7EE1">
              <w:rPr>
                <w:rFonts w:cs="Arial"/>
                <w:b/>
                <w:bCs/>
                <w:lang w:eastAsia="es-ES"/>
              </w:rPr>
              <w:t>Justificación</w:t>
            </w:r>
          </w:p>
        </w:tc>
      </w:tr>
      <w:tr w:rsidR="006537B1" w:rsidRPr="006537B1" w14:paraId="781D8282" w14:textId="77777777" w:rsidTr="00AD7EE1">
        <w:tc>
          <w:tcPr>
            <w:tcW w:w="2391" w:type="pct"/>
            <w:hideMark/>
          </w:tcPr>
          <w:p w14:paraId="79D1216F" w14:textId="77777777" w:rsidR="006537B1" w:rsidRPr="006537B1" w:rsidRDefault="006537B1" w:rsidP="006537B1">
            <w:pPr>
              <w:rPr>
                <w:rFonts w:cs="Arial"/>
                <w:lang w:eastAsia="es-ES"/>
              </w:rPr>
            </w:pPr>
            <w:r w:rsidRPr="006537B1">
              <w:rPr>
                <w:rFonts w:cs="Arial"/>
                <w:lang w:eastAsia="es-ES"/>
              </w:rPr>
              <w:t>Proceso de aleatorización</w:t>
            </w:r>
          </w:p>
        </w:tc>
        <w:tc>
          <w:tcPr>
            <w:tcW w:w="1880" w:type="pct"/>
          </w:tcPr>
          <w:p w14:paraId="66FC9BA1" w14:textId="178BEB8A" w:rsidR="006537B1" w:rsidRPr="006537B1" w:rsidRDefault="006537B1" w:rsidP="006537B1">
            <w:pPr>
              <w:rPr>
                <w:rFonts w:cs="Arial"/>
                <w:lang w:eastAsia="es-ES"/>
              </w:rPr>
            </w:pPr>
          </w:p>
        </w:tc>
        <w:tc>
          <w:tcPr>
            <w:tcW w:w="730" w:type="pct"/>
          </w:tcPr>
          <w:p w14:paraId="03EB620F" w14:textId="0A0FB47E" w:rsidR="006537B1" w:rsidRPr="006537B1" w:rsidRDefault="006537B1" w:rsidP="006537B1">
            <w:pPr>
              <w:rPr>
                <w:rFonts w:cs="Arial"/>
                <w:lang w:eastAsia="es-ES"/>
              </w:rPr>
            </w:pPr>
          </w:p>
        </w:tc>
      </w:tr>
      <w:tr w:rsidR="006537B1" w:rsidRPr="006537B1" w14:paraId="353930CA" w14:textId="77777777" w:rsidTr="00AD7EE1">
        <w:tc>
          <w:tcPr>
            <w:tcW w:w="2391" w:type="pct"/>
            <w:hideMark/>
          </w:tcPr>
          <w:p w14:paraId="1F24A3C0" w14:textId="77777777" w:rsidR="006537B1" w:rsidRPr="006537B1" w:rsidRDefault="006537B1" w:rsidP="006537B1">
            <w:pPr>
              <w:rPr>
                <w:rFonts w:cs="Arial"/>
                <w:lang w:eastAsia="es-ES"/>
              </w:rPr>
            </w:pPr>
            <w:r w:rsidRPr="006537B1">
              <w:rPr>
                <w:rFonts w:cs="Arial"/>
                <w:lang w:eastAsia="es-ES"/>
              </w:rPr>
              <w:t>Desviaciones de las intervenciones previstas</w:t>
            </w:r>
          </w:p>
        </w:tc>
        <w:tc>
          <w:tcPr>
            <w:tcW w:w="1880" w:type="pct"/>
          </w:tcPr>
          <w:p w14:paraId="5BAAAD3A" w14:textId="0C29CE23" w:rsidR="006537B1" w:rsidRPr="006537B1" w:rsidRDefault="006537B1" w:rsidP="006537B1">
            <w:pPr>
              <w:rPr>
                <w:rFonts w:cs="Arial"/>
                <w:lang w:eastAsia="es-ES"/>
              </w:rPr>
            </w:pPr>
          </w:p>
        </w:tc>
        <w:tc>
          <w:tcPr>
            <w:tcW w:w="730" w:type="pct"/>
          </w:tcPr>
          <w:p w14:paraId="3DC477EA" w14:textId="6DD7D596" w:rsidR="006537B1" w:rsidRPr="006537B1" w:rsidRDefault="006537B1" w:rsidP="006537B1">
            <w:pPr>
              <w:rPr>
                <w:rFonts w:cs="Arial"/>
                <w:lang w:eastAsia="es-ES"/>
              </w:rPr>
            </w:pPr>
          </w:p>
        </w:tc>
      </w:tr>
      <w:tr w:rsidR="006537B1" w:rsidRPr="006537B1" w14:paraId="5994379A" w14:textId="77777777" w:rsidTr="00AD7EE1">
        <w:tc>
          <w:tcPr>
            <w:tcW w:w="2391" w:type="pct"/>
            <w:hideMark/>
          </w:tcPr>
          <w:p w14:paraId="6E11749F" w14:textId="77777777" w:rsidR="006537B1" w:rsidRPr="006537B1" w:rsidRDefault="006537B1" w:rsidP="006537B1">
            <w:pPr>
              <w:rPr>
                <w:rFonts w:cs="Arial"/>
                <w:lang w:eastAsia="es-ES"/>
              </w:rPr>
            </w:pPr>
            <w:r w:rsidRPr="006537B1">
              <w:rPr>
                <w:rFonts w:cs="Arial"/>
                <w:lang w:eastAsia="es-ES"/>
              </w:rPr>
              <w:t>Datos faltantes del desenlace</w:t>
            </w:r>
          </w:p>
        </w:tc>
        <w:tc>
          <w:tcPr>
            <w:tcW w:w="1880" w:type="pct"/>
          </w:tcPr>
          <w:p w14:paraId="2EB3DD4A" w14:textId="35EF572A" w:rsidR="006537B1" w:rsidRPr="006537B1" w:rsidRDefault="006537B1" w:rsidP="006537B1">
            <w:pPr>
              <w:rPr>
                <w:rFonts w:cs="Arial"/>
                <w:lang w:eastAsia="es-ES"/>
              </w:rPr>
            </w:pPr>
          </w:p>
        </w:tc>
        <w:tc>
          <w:tcPr>
            <w:tcW w:w="730" w:type="pct"/>
          </w:tcPr>
          <w:p w14:paraId="453D3E84" w14:textId="3AD5C4E5" w:rsidR="006537B1" w:rsidRPr="006537B1" w:rsidRDefault="006537B1" w:rsidP="006537B1">
            <w:pPr>
              <w:rPr>
                <w:rFonts w:cs="Arial"/>
                <w:lang w:eastAsia="es-ES"/>
              </w:rPr>
            </w:pPr>
          </w:p>
        </w:tc>
      </w:tr>
      <w:tr w:rsidR="006537B1" w:rsidRPr="006537B1" w14:paraId="3BBCFB49" w14:textId="77777777" w:rsidTr="00AD7EE1">
        <w:tc>
          <w:tcPr>
            <w:tcW w:w="2391" w:type="pct"/>
            <w:hideMark/>
          </w:tcPr>
          <w:p w14:paraId="2625ED22" w14:textId="77777777" w:rsidR="006537B1" w:rsidRPr="006537B1" w:rsidRDefault="006537B1" w:rsidP="006537B1">
            <w:pPr>
              <w:rPr>
                <w:rFonts w:cs="Arial"/>
                <w:lang w:eastAsia="es-ES"/>
              </w:rPr>
            </w:pPr>
            <w:r w:rsidRPr="006537B1">
              <w:rPr>
                <w:rFonts w:cs="Arial"/>
                <w:lang w:eastAsia="es-ES"/>
              </w:rPr>
              <w:t>Medición del desenlace</w:t>
            </w:r>
          </w:p>
        </w:tc>
        <w:tc>
          <w:tcPr>
            <w:tcW w:w="1880" w:type="pct"/>
          </w:tcPr>
          <w:p w14:paraId="1806F131" w14:textId="3C05A3A3" w:rsidR="006537B1" w:rsidRPr="006537B1" w:rsidRDefault="006537B1" w:rsidP="006537B1">
            <w:pPr>
              <w:rPr>
                <w:rFonts w:cs="Arial"/>
                <w:lang w:eastAsia="es-ES"/>
              </w:rPr>
            </w:pPr>
          </w:p>
        </w:tc>
        <w:tc>
          <w:tcPr>
            <w:tcW w:w="730" w:type="pct"/>
          </w:tcPr>
          <w:p w14:paraId="5D5FB559" w14:textId="39EFB528" w:rsidR="006537B1" w:rsidRPr="006537B1" w:rsidRDefault="006537B1" w:rsidP="006537B1">
            <w:pPr>
              <w:rPr>
                <w:rFonts w:cs="Arial"/>
                <w:lang w:eastAsia="es-ES"/>
              </w:rPr>
            </w:pPr>
          </w:p>
        </w:tc>
      </w:tr>
      <w:tr w:rsidR="006537B1" w:rsidRPr="006537B1" w14:paraId="44EF7A6F" w14:textId="77777777" w:rsidTr="00AD7EE1">
        <w:tc>
          <w:tcPr>
            <w:tcW w:w="2391" w:type="pct"/>
            <w:hideMark/>
          </w:tcPr>
          <w:p w14:paraId="5C010532" w14:textId="77777777" w:rsidR="006537B1" w:rsidRPr="006537B1" w:rsidRDefault="006537B1" w:rsidP="006537B1">
            <w:pPr>
              <w:rPr>
                <w:rFonts w:cs="Arial"/>
                <w:lang w:eastAsia="es-ES"/>
              </w:rPr>
            </w:pPr>
            <w:r w:rsidRPr="006537B1">
              <w:rPr>
                <w:rFonts w:cs="Arial"/>
                <w:lang w:eastAsia="es-ES"/>
              </w:rPr>
              <w:t>Selección del resultado reportado</w:t>
            </w:r>
          </w:p>
        </w:tc>
        <w:tc>
          <w:tcPr>
            <w:tcW w:w="1880" w:type="pct"/>
          </w:tcPr>
          <w:p w14:paraId="2E313BA9" w14:textId="6504C67C" w:rsidR="006537B1" w:rsidRPr="006537B1" w:rsidRDefault="006537B1" w:rsidP="006537B1">
            <w:pPr>
              <w:rPr>
                <w:rFonts w:cs="Arial"/>
                <w:lang w:eastAsia="es-ES"/>
              </w:rPr>
            </w:pPr>
          </w:p>
        </w:tc>
        <w:tc>
          <w:tcPr>
            <w:tcW w:w="730" w:type="pct"/>
          </w:tcPr>
          <w:p w14:paraId="31CA9CD6" w14:textId="3F637177" w:rsidR="006537B1" w:rsidRPr="006537B1" w:rsidRDefault="006537B1" w:rsidP="006537B1">
            <w:pPr>
              <w:rPr>
                <w:rFonts w:cs="Arial"/>
                <w:lang w:eastAsia="es-ES"/>
              </w:rPr>
            </w:pPr>
          </w:p>
        </w:tc>
      </w:tr>
      <w:tr w:rsidR="006537B1" w:rsidRPr="006537B1" w14:paraId="70A4BFCD" w14:textId="77777777" w:rsidTr="00AD7EE1">
        <w:tc>
          <w:tcPr>
            <w:tcW w:w="2391" w:type="pct"/>
            <w:hideMark/>
          </w:tcPr>
          <w:p w14:paraId="3238D31C" w14:textId="77777777" w:rsidR="006537B1" w:rsidRPr="006537B1" w:rsidRDefault="006537B1" w:rsidP="006537B1">
            <w:pPr>
              <w:rPr>
                <w:rFonts w:cs="Arial"/>
                <w:lang w:eastAsia="es-ES"/>
              </w:rPr>
            </w:pPr>
            <w:r w:rsidRPr="006537B1">
              <w:rPr>
                <w:rFonts w:cs="Arial"/>
                <w:lang w:eastAsia="es-ES"/>
              </w:rPr>
              <w:t>Juicio global</w:t>
            </w:r>
          </w:p>
        </w:tc>
        <w:tc>
          <w:tcPr>
            <w:tcW w:w="1880" w:type="pct"/>
          </w:tcPr>
          <w:p w14:paraId="4907AA65" w14:textId="310EFFCF" w:rsidR="006537B1" w:rsidRPr="006537B1" w:rsidRDefault="006537B1" w:rsidP="006537B1">
            <w:pPr>
              <w:rPr>
                <w:rFonts w:cs="Arial"/>
                <w:lang w:eastAsia="es-ES"/>
              </w:rPr>
            </w:pPr>
          </w:p>
        </w:tc>
        <w:tc>
          <w:tcPr>
            <w:tcW w:w="730" w:type="pct"/>
          </w:tcPr>
          <w:p w14:paraId="4620BAA2" w14:textId="033F5E3D" w:rsidR="006537B1" w:rsidRPr="006537B1" w:rsidRDefault="006537B1" w:rsidP="006537B1">
            <w:pPr>
              <w:rPr>
                <w:rFonts w:cs="Arial"/>
                <w:lang w:eastAsia="es-ES"/>
              </w:rPr>
            </w:pPr>
          </w:p>
        </w:tc>
      </w:tr>
    </w:tbl>
    <w:p w14:paraId="45063710" w14:textId="18854F96" w:rsidR="00AD7EE1" w:rsidRPr="00AD7EE1" w:rsidRDefault="00C5001F" w:rsidP="00C5001F">
      <w:pPr>
        <w:pStyle w:val="Descripcin"/>
        <w:rPr>
          <w:lang w:eastAsia="es-ES"/>
        </w:rPr>
      </w:pPr>
      <w:bookmarkStart w:id="82" w:name="_Toc232972493"/>
      <w:r w:rsidRPr="00C5001F">
        <w:rPr>
          <w:b/>
          <w:bCs/>
        </w:rPr>
        <w:lastRenderedPageBreak/>
        <w:t xml:space="preserve">Matriz </w:t>
      </w:r>
      <w:r w:rsidRPr="00C5001F">
        <w:rPr>
          <w:b/>
          <w:bCs/>
        </w:rPr>
        <w:fldChar w:fldCharType="begin"/>
      </w:r>
      <w:r w:rsidRPr="00C5001F">
        <w:rPr>
          <w:b/>
          <w:bCs/>
        </w:rPr>
        <w:instrText xml:space="preserve"> SEQ Matriz \* ARABIC </w:instrText>
      </w:r>
      <w:r w:rsidRPr="00C5001F">
        <w:rPr>
          <w:b/>
          <w:bCs/>
        </w:rPr>
        <w:fldChar w:fldCharType="separate"/>
      </w:r>
      <w:r w:rsidRPr="00C5001F">
        <w:rPr>
          <w:b/>
          <w:bCs/>
          <w:noProof/>
        </w:rPr>
        <w:t>3</w:t>
      </w:r>
      <w:r w:rsidRPr="00C5001F">
        <w:rPr>
          <w:b/>
          <w:bCs/>
        </w:rPr>
        <w:fldChar w:fldCharType="end"/>
      </w:r>
      <w:r w:rsidRPr="00C5001F">
        <w:rPr>
          <w:b/>
          <w:bCs/>
        </w:rPr>
        <w:t>.</w:t>
      </w:r>
      <w:r>
        <w:t xml:space="preserve"> </w:t>
      </w:r>
      <w:r w:rsidR="00AD7EE1" w:rsidRPr="00AD7EE1">
        <w:rPr>
          <w:lang w:eastAsia="es-ES"/>
        </w:rPr>
        <w:t>Evaluación de la calidad metodológica de los estudios observacionales mediante Newcastle-Ottawa Scale adaptada</w:t>
      </w:r>
      <w:bookmarkEnd w:id="82"/>
    </w:p>
    <w:tbl>
      <w:tblPr>
        <w:tblStyle w:val="Tablaconcuadrcula"/>
        <w:tblW w:w="0" w:type="auto"/>
        <w:tblLook w:val="04A0" w:firstRow="1" w:lastRow="0" w:firstColumn="1" w:lastColumn="0" w:noHBand="0" w:noVBand="1"/>
      </w:tblPr>
      <w:tblGrid>
        <w:gridCol w:w="1023"/>
        <w:gridCol w:w="950"/>
        <w:gridCol w:w="1737"/>
        <w:gridCol w:w="2027"/>
        <w:gridCol w:w="1782"/>
        <w:gridCol w:w="1620"/>
        <w:gridCol w:w="1647"/>
        <w:gridCol w:w="2208"/>
      </w:tblGrid>
      <w:tr w:rsidR="00AD7EE1" w:rsidRPr="00AD7EE1" w14:paraId="55DE9728" w14:textId="77777777" w:rsidTr="00AD7EE1">
        <w:tc>
          <w:tcPr>
            <w:tcW w:w="0" w:type="auto"/>
            <w:shd w:val="clear" w:color="auto" w:fill="D9D9D9" w:themeFill="background1" w:themeFillShade="D9"/>
            <w:hideMark/>
          </w:tcPr>
          <w:p w14:paraId="1A7B3E53"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Estudio</w:t>
            </w:r>
          </w:p>
        </w:tc>
        <w:tc>
          <w:tcPr>
            <w:tcW w:w="0" w:type="auto"/>
            <w:shd w:val="clear" w:color="auto" w:fill="D9D9D9" w:themeFill="background1" w:themeFillShade="D9"/>
            <w:hideMark/>
          </w:tcPr>
          <w:p w14:paraId="0512C402"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Diseño</w:t>
            </w:r>
          </w:p>
        </w:tc>
        <w:tc>
          <w:tcPr>
            <w:tcW w:w="0" w:type="auto"/>
            <w:shd w:val="clear" w:color="auto" w:fill="D9D9D9" w:themeFill="background1" w:themeFillShade="D9"/>
            <w:hideMark/>
          </w:tcPr>
          <w:p w14:paraId="3BF629A3"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Selección de la población, 0–4</w:t>
            </w:r>
          </w:p>
        </w:tc>
        <w:tc>
          <w:tcPr>
            <w:tcW w:w="0" w:type="auto"/>
            <w:shd w:val="clear" w:color="auto" w:fill="D9D9D9" w:themeFill="background1" w:themeFillShade="D9"/>
            <w:hideMark/>
          </w:tcPr>
          <w:p w14:paraId="6DA832CC"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Comparabilidad, 0–2</w:t>
            </w:r>
          </w:p>
        </w:tc>
        <w:tc>
          <w:tcPr>
            <w:tcW w:w="0" w:type="auto"/>
            <w:shd w:val="clear" w:color="auto" w:fill="D9D9D9" w:themeFill="background1" w:themeFillShade="D9"/>
            <w:hideMark/>
          </w:tcPr>
          <w:p w14:paraId="68B19B1E"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Evaluación del desenlace, 0–3</w:t>
            </w:r>
          </w:p>
        </w:tc>
        <w:tc>
          <w:tcPr>
            <w:tcW w:w="0" w:type="auto"/>
            <w:shd w:val="clear" w:color="auto" w:fill="D9D9D9" w:themeFill="background1" w:themeFillShade="D9"/>
            <w:hideMark/>
          </w:tcPr>
          <w:p w14:paraId="0098B408"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Puntuación total, 0–9</w:t>
            </w:r>
          </w:p>
        </w:tc>
        <w:tc>
          <w:tcPr>
            <w:tcW w:w="1597" w:type="dxa"/>
            <w:shd w:val="clear" w:color="auto" w:fill="D9D9D9" w:themeFill="background1" w:themeFillShade="D9"/>
            <w:hideMark/>
          </w:tcPr>
          <w:p w14:paraId="7D3F3A1F"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Calidad metodológica</w:t>
            </w:r>
          </w:p>
        </w:tc>
        <w:tc>
          <w:tcPr>
            <w:tcW w:w="2208" w:type="dxa"/>
            <w:shd w:val="clear" w:color="auto" w:fill="D9D9D9" w:themeFill="background1" w:themeFillShade="D9"/>
            <w:hideMark/>
          </w:tcPr>
          <w:p w14:paraId="7DA59F56" w14:textId="77777777" w:rsidR="00AD7EE1" w:rsidRPr="00AD7EE1" w:rsidRDefault="00AD7EE1" w:rsidP="00AD7EE1">
            <w:pPr>
              <w:jc w:val="center"/>
              <w:rPr>
                <w:rFonts w:eastAsia="Times New Roman" w:cs="Arial"/>
                <w:b/>
                <w:bCs/>
                <w:sz w:val="22"/>
                <w:szCs w:val="20"/>
                <w:lang w:eastAsia="es-ES"/>
              </w:rPr>
            </w:pPr>
            <w:r w:rsidRPr="00AD7EE1">
              <w:rPr>
                <w:rFonts w:eastAsia="Times New Roman" w:cs="Arial"/>
                <w:b/>
                <w:bCs/>
                <w:sz w:val="22"/>
                <w:szCs w:val="20"/>
                <w:lang w:eastAsia="es-ES"/>
              </w:rPr>
              <w:t>Comentario sobre calidad metodológica y riesgo de sesgo</w:t>
            </w:r>
          </w:p>
        </w:tc>
      </w:tr>
      <w:tr w:rsidR="00AD7EE1" w:rsidRPr="00AD7EE1" w14:paraId="32481F07" w14:textId="77777777" w:rsidTr="00AD7EE1">
        <w:tc>
          <w:tcPr>
            <w:tcW w:w="0" w:type="auto"/>
          </w:tcPr>
          <w:p w14:paraId="5759CF8B" w14:textId="017FC193" w:rsidR="00AD7EE1" w:rsidRPr="00AD7EE1" w:rsidRDefault="00AD7EE1" w:rsidP="000A215B">
            <w:pPr>
              <w:rPr>
                <w:rFonts w:eastAsia="Times New Roman" w:cs="Arial"/>
                <w:lang w:eastAsia="es-ES"/>
              </w:rPr>
            </w:pPr>
          </w:p>
        </w:tc>
        <w:tc>
          <w:tcPr>
            <w:tcW w:w="0" w:type="auto"/>
          </w:tcPr>
          <w:p w14:paraId="2B7BE48F" w14:textId="5D14C96A" w:rsidR="00AD7EE1" w:rsidRPr="00AD7EE1" w:rsidRDefault="00AD7EE1" w:rsidP="000A215B">
            <w:pPr>
              <w:rPr>
                <w:rFonts w:eastAsia="Times New Roman" w:cs="Arial"/>
                <w:lang w:eastAsia="es-ES"/>
              </w:rPr>
            </w:pPr>
          </w:p>
        </w:tc>
        <w:tc>
          <w:tcPr>
            <w:tcW w:w="0" w:type="auto"/>
          </w:tcPr>
          <w:p w14:paraId="4AFC0C5A" w14:textId="26F6973D" w:rsidR="00AD7EE1" w:rsidRPr="00AD7EE1" w:rsidRDefault="00AD7EE1" w:rsidP="000A215B">
            <w:pPr>
              <w:jc w:val="right"/>
              <w:rPr>
                <w:rFonts w:eastAsia="Times New Roman" w:cs="Arial"/>
                <w:lang w:eastAsia="es-ES"/>
              </w:rPr>
            </w:pPr>
          </w:p>
        </w:tc>
        <w:tc>
          <w:tcPr>
            <w:tcW w:w="0" w:type="auto"/>
          </w:tcPr>
          <w:p w14:paraId="4272C0B2" w14:textId="1EA12434" w:rsidR="00AD7EE1" w:rsidRPr="00AD7EE1" w:rsidRDefault="00AD7EE1" w:rsidP="000A215B">
            <w:pPr>
              <w:jc w:val="right"/>
              <w:rPr>
                <w:rFonts w:eastAsia="Times New Roman" w:cs="Arial"/>
                <w:lang w:eastAsia="es-ES"/>
              </w:rPr>
            </w:pPr>
          </w:p>
        </w:tc>
        <w:tc>
          <w:tcPr>
            <w:tcW w:w="0" w:type="auto"/>
          </w:tcPr>
          <w:p w14:paraId="47574B00" w14:textId="067A587B" w:rsidR="00AD7EE1" w:rsidRPr="00AD7EE1" w:rsidRDefault="00AD7EE1" w:rsidP="000A215B">
            <w:pPr>
              <w:jc w:val="right"/>
              <w:rPr>
                <w:rFonts w:eastAsia="Times New Roman" w:cs="Arial"/>
                <w:lang w:eastAsia="es-ES"/>
              </w:rPr>
            </w:pPr>
          </w:p>
        </w:tc>
        <w:tc>
          <w:tcPr>
            <w:tcW w:w="0" w:type="auto"/>
          </w:tcPr>
          <w:p w14:paraId="7AE50CC6" w14:textId="5D2F9BD6" w:rsidR="00AD7EE1" w:rsidRPr="00AD7EE1" w:rsidRDefault="00AD7EE1" w:rsidP="000A215B">
            <w:pPr>
              <w:jc w:val="right"/>
              <w:rPr>
                <w:rFonts w:eastAsia="Times New Roman" w:cs="Arial"/>
                <w:lang w:eastAsia="es-ES"/>
              </w:rPr>
            </w:pPr>
          </w:p>
        </w:tc>
        <w:tc>
          <w:tcPr>
            <w:tcW w:w="1597" w:type="dxa"/>
          </w:tcPr>
          <w:p w14:paraId="4027F699" w14:textId="4215E644" w:rsidR="00AD7EE1" w:rsidRPr="00AD7EE1" w:rsidRDefault="00AD7EE1" w:rsidP="000A215B">
            <w:pPr>
              <w:rPr>
                <w:rFonts w:eastAsia="Times New Roman" w:cs="Arial"/>
                <w:lang w:eastAsia="es-ES"/>
              </w:rPr>
            </w:pPr>
          </w:p>
        </w:tc>
        <w:tc>
          <w:tcPr>
            <w:tcW w:w="2208" w:type="dxa"/>
          </w:tcPr>
          <w:p w14:paraId="582C305C" w14:textId="7240FC24" w:rsidR="00AD7EE1" w:rsidRPr="00AD7EE1" w:rsidRDefault="00AD7EE1" w:rsidP="000A215B">
            <w:pPr>
              <w:rPr>
                <w:rFonts w:eastAsia="Times New Roman" w:cs="Arial"/>
                <w:lang w:eastAsia="es-ES"/>
              </w:rPr>
            </w:pPr>
          </w:p>
        </w:tc>
      </w:tr>
      <w:tr w:rsidR="00AD7EE1" w:rsidRPr="00AD7EE1" w14:paraId="3D298888" w14:textId="77777777" w:rsidTr="00AD7EE1">
        <w:tc>
          <w:tcPr>
            <w:tcW w:w="0" w:type="auto"/>
          </w:tcPr>
          <w:p w14:paraId="252367F1" w14:textId="77777777" w:rsidR="00AD7EE1" w:rsidRPr="00AD7EE1" w:rsidRDefault="00AD7EE1" w:rsidP="000A215B">
            <w:pPr>
              <w:rPr>
                <w:rFonts w:eastAsia="Times New Roman" w:cs="Arial"/>
                <w:lang w:eastAsia="es-ES"/>
              </w:rPr>
            </w:pPr>
          </w:p>
        </w:tc>
        <w:tc>
          <w:tcPr>
            <w:tcW w:w="0" w:type="auto"/>
          </w:tcPr>
          <w:p w14:paraId="5A575AAC" w14:textId="77777777" w:rsidR="00AD7EE1" w:rsidRPr="00AD7EE1" w:rsidRDefault="00AD7EE1" w:rsidP="000A215B">
            <w:pPr>
              <w:rPr>
                <w:rFonts w:eastAsia="Times New Roman" w:cs="Arial"/>
                <w:lang w:eastAsia="es-ES"/>
              </w:rPr>
            </w:pPr>
          </w:p>
        </w:tc>
        <w:tc>
          <w:tcPr>
            <w:tcW w:w="0" w:type="auto"/>
          </w:tcPr>
          <w:p w14:paraId="643E5552" w14:textId="77777777" w:rsidR="00AD7EE1" w:rsidRPr="00AD7EE1" w:rsidRDefault="00AD7EE1" w:rsidP="000A215B">
            <w:pPr>
              <w:jc w:val="right"/>
              <w:rPr>
                <w:rFonts w:eastAsia="Times New Roman" w:cs="Arial"/>
                <w:lang w:eastAsia="es-ES"/>
              </w:rPr>
            </w:pPr>
          </w:p>
        </w:tc>
        <w:tc>
          <w:tcPr>
            <w:tcW w:w="0" w:type="auto"/>
          </w:tcPr>
          <w:p w14:paraId="465C06A7" w14:textId="77777777" w:rsidR="00AD7EE1" w:rsidRPr="00AD7EE1" w:rsidRDefault="00AD7EE1" w:rsidP="000A215B">
            <w:pPr>
              <w:jc w:val="right"/>
              <w:rPr>
                <w:rFonts w:eastAsia="Times New Roman" w:cs="Arial"/>
                <w:lang w:eastAsia="es-ES"/>
              </w:rPr>
            </w:pPr>
          </w:p>
        </w:tc>
        <w:tc>
          <w:tcPr>
            <w:tcW w:w="0" w:type="auto"/>
          </w:tcPr>
          <w:p w14:paraId="537802AB" w14:textId="77777777" w:rsidR="00AD7EE1" w:rsidRPr="00AD7EE1" w:rsidRDefault="00AD7EE1" w:rsidP="000A215B">
            <w:pPr>
              <w:jc w:val="right"/>
              <w:rPr>
                <w:rFonts w:eastAsia="Times New Roman" w:cs="Arial"/>
                <w:lang w:eastAsia="es-ES"/>
              </w:rPr>
            </w:pPr>
          </w:p>
        </w:tc>
        <w:tc>
          <w:tcPr>
            <w:tcW w:w="0" w:type="auto"/>
          </w:tcPr>
          <w:p w14:paraId="3E0B3755" w14:textId="77777777" w:rsidR="00AD7EE1" w:rsidRPr="00AD7EE1" w:rsidRDefault="00AD7EE1" w:rsidP="000A215B">
            <w:pPr>
              <w:jc w:val="right"/>
              <w:rPr>
                <w:rFonts w:eastAsia="Times New Roman" w:cs="Arial"/>
                <w:lang w:eastAsia="es-ES"/>
              </w:rPr>
            </w:pPr>
          </w:p>
        </w:tc>
        <w:tc>
          <w:tcPr>
            <w:tcW w:w="1597" w:type="dxa"/>
          </w:tcPr>
          <w:p w14:paraId="4F569038" w14:textId="77777777" w:rsidR="00AD7EE1" w:rsidRPr="00AD7EE1" w:rsidRDefault="00AD7EE1" w:rsidP="000A215B">
            <w:pPr>
              <w:rPr>
                <w:rFonts w:eastAsia="Times New Roman" w:cs="Arial"/>
                <w:lang w:eastAsia="es-ES"/>
              </w:rPr>
            </w:pPr>
          </w:p>
        </w:tc>
        <w:tc>
          <w:tcPr>
            <w:tcW w:w="2208" w:type="dxa"/>
          </w:tcPr>
          <w:p w14:paraId="46E7941A" w14:textId="77777777" w:rsidR="00AD7EE1" w:rsidRPr="00AD7EE1" w:rsidRDefault="00AD7EE1" w:rsidP="000A215B">
            <w:pPr>
              <w:rPr>
                <w:rFonts w:eastAsia="Times New Roman" w:cs="Arial"/>
                <w:lang w:eastAsia="es-ES"/>
              </w:rPr>
            </w:pPr>
          </w:p>
        </w:tc>
      </w:tr>
      <w:tr w:rsidR="00AD7EE1" w:rsidRPr="00AD7EE1" w14:paraId="4E7AB263" w14:textId="77777777" w:rsidTr="00AD7EE1">
        <w:tc>
          <w:tcPr>
            <w:tcW w:w="0" w:type="auto"/>
          </w:tcPr>
          <w:p w14:paraId="0076DB7B" w14:textId="77777777" w:rsidR="00AD7EE1" w:rsidRPr="00AD7EE1" w:rsidRDefault="00AD7EE1" w:rsidP="000A215B">
            <w:pPr>
              <w:rPr>
                <w:rFonts w:eastAsia="Times New Roman" w:cs="Arial"/>
                <w:lang w:eastAsia="es-ES"/>
              </w:rPr>
            </w:pPr>
          </w:p>
        </w:tc>
        <w:tc>
          <w:tcPr>
            <w:tcW w:w="0" w:type="auto"/>
          </w:tcPr>
          <w:p w14:paraId="6ACEAEFC" w14:textId="77777777" w:rsidR="00AD7EE1" w:rsidRPr="00AD7EE1" w:rsidRDefault="00AD7EE1" w:rsidP="000A215B">
            <w:pPr>
              <w:rPr>
                <w:rFonts w:eastAsia="Times New Roman" w:cs="Arial"/>
                <w:lang w:eastAsia="es-ES"/>
              </w:rPr>
            </w:pPr>
          </w:p>
        </w:tc>
        <w:tc>
          <w:tcPr>
            <w:tcW w:w="0" w:type="auto"/>
          </w:tcPr>
          <w:p w14:paraId="161BE752" w14:textId="77777777" w:rsidR="00AD7EE1" w:rsidRPr="00AD7EE1" w:rsidRDefault="00AD7EE1" w:rsidP="000A215B">
            <w:pPr>
              <w:jc w:val="right"/>
              <w:rPr>
                <w:rFonts w:eastAsia="Times New Roman" w:cs="Arial"/>
                <w:lang w:eastAsia="es-ES"/>
              </w:rPr>
            </w:pPr>
          </w:p>
        </w:tc>
        <w:tc>
          <w:tcPr>
            <w:tcW w:w="0" w:type="auto"/>
          </w:tcPr>
          <w:p w14:paraId="4785F7DA" w14:textId="77777777" w:rsidR="00AD7EE1" w:rsidRPr="00AD7EE1" w:rsidRDefault="00AD7EE1" w:rsidP="000A215B">
            <w:pPr>
              <w:jc w:val="right"/>
              <w:rPr>
                <w:rFonts w:eastAsia="Times New Roman" w:cs="Arial"/>
                <w:lang w:eastAsia="es-ES"/>
              </w:rPr>
            </w:pPr>
          </w:p>
        </w:tc>
        <w:tc>
          <w:tcPr>
            <w:tcW w:w="0" w:type="auto"/>
          </w:tcPr>
          <w:p w14:paraId="79822F79" w14:textId="77777777" w:rsidR="00AD7EE1" w:rsidRPr="00AD7EE1" w:rsidRDefault="00AD7EE1" w:rsidP="000A215B">
            <w:pPr>
              <w:jc w:val="right"/>
              <w:rPr>
                <w:rFonts w:eastAsia="Times New Roman" w:cs="Arial"/>
                <w:lang w:eastAsia="es-ES"/>
              </w:rPr>
            </w:pPr>
          </w:p>
        </w:tc>
        <w:tc>
          <w:tcPr>
            <w:tcW w:w="0" w:type="auto"/>
          </w:tcPr>
          <w:p w14:paraId="12642787" w14:textId="77777777" w:rsidR="00AD7EE1" w:rsidRPr="00AD7EE1" w:rsidRDefault="00AD7EE1" w:rsidP="000A215B">
            <w:pPr>
              <w:jc w:val="right"/>
              <w:rPr>
                <w:rFonts w:eastAsia="Times New Roman" w:cs="Arial"/>
                <w:lang w:eastAsia="es-ES"/>
              </w:rPr>
            </w:pPr>
          </w:p>
        </w:tc>
        <w:tc>
          <w:tcPr>
            <w:tcW w:w="1597" w:type="dxa"/>
          </w:tcPr>
          <w:p w14:paraId="274D0F2E" w14:textId="77777777" w:rsidR="00AD7EE1" w:rsidRPr="00AD7EE1" w:rsidRDefault="00AD7EE1" w:rsidP="000A215B">
            <w:pPr>
              <w:rPr>
                <w:rFonts w:eastAsia="Times New Roman" w:cs="Arial"/>
                <w:lang w:eastAsia="es-ES"/>
              </w:rPr>
            </w:pPr>
          </w:p>
        </w:tc>
        <w:tc>
          <w:tcPr>
            <w:tcW w:w="2208" w:type="dxa"/>
          </w:tcPr>
          <w:p w14:paraId="524C26D6" w14:textId="77777777" w:rsidR="00AD7EE1" w:rsidRPr="00AD7EE1" w:rsidRDefault="00AD7EE1" w:rsidP="000A215B">
            <w:pPr>
              <w:rPr>
                <w:rFonts w:eastAsia="Times New Roman" w:cs="Arial"/>
                <w:lang w:eastAsia="es-ES"/>
              </w:rPr>
            </w:pPr>
          </w:p>
        </w:tc>
      </w:tr>
      <w:tr w:rsidR="00AD7EE1" w:rsidRPr="00AD7EE1" w14:paraId="6D4879F0" w14:textId="77777777" w:rsidTr="00AD7EE1">
        <w:tc>
          <w:tcPr>
            <w:tcW w:w="0" w:type="auto"/>
          </w:tcPr>
          <w:p w14:paraId="1EFDFEAA" w14:textId="77777777" w:rsidR="00AD7EE1" w:rsidRPr="00AD7EE1" w:rsidRDefault="00AD7EE1" w:rsidP="000A215B">
            <w:pPr>
              <w:rPr>
                <w:rFonts w:eastAsia="Times New Roman" w:cs="Arial"/>
                <w:lang w:eastAsia="es-ES"/>
              </w:rPr>
            </w:pPr>
          </w:p>
        </w:tc>
        <w:tc>
          <w:tcPr>
            <w:tcW w:w="0" w:type="auto"/>
          </w:tcPr>
          <w:p w14:paraId="111F8884" w14:textId="77777777" w:rsidR="00AD7EE1" w:rsidRPr="00AD7EE1" w:rsidRDefault="00AD7EE1" w:rsidP="000A215B">
            <w:pPr>
              <w:rPr>
                <w:rFonts w:eastAsia="Times New Roman" w:cs="Arial"/>
                <w:lang w:eastAsia="es-ES"/>
              </w:rPr>
            </w:pPr>
          </w:p>
        </w:tc>
        <w:tc>
          <w:tcPr>
            <w:tcW w:w="0" w:type="auto"/>
          </w:tcPr>
          <w:p w14:paraId="01C4F1BF" w14:textId="77777777" w:rsidR="00AD7EE1" w:rsidRPr="00AD7EE1" w:rsidRDefault="00AD7EE1" w:rsidP="000A215B">
            <w:pPr>
              <w:jc w:val="right"/>
              <w:rPr>
                <w:rFonts w:eastAsia="Times New Roman" w:cs="Arial"/>
                <w:lang w:eastAsia="es-ES"/>
              </w:rPr>
            </w:pPr>
          </w:p>
        </w:tc>
        <w:tc>
          <w:tcPr>
            <w:tcW w:w="0" w:type="auto"/>
          </w:tcPr>
          <w:p w14:paraId="7B7ACBEE" w14:textId="77777777" w:rsidR="00AD7EE1" w:rsidRPr="00AD7EE1" w:rsidRDefault="00AD7EE1" w:rsidP="000A215B">
            <w:pPr>
              <w:jc w:val="right"/>
              <w:rPr>
                <w:rFonts w:eastAsia="Times New Roman" w:cs="Arial"/>
                <w:lang w:eastAsia="es-ES"/>
              </w:rPr>
            </w:pPr>
          </w:p>
        </w:tc>
        <w:tc>
          <w:tcPr>
            <w:tcW w:w="0" w:type="auto"/>
          </w:tcPr>
          <w:p w14:paraId="30EE555C" w14:textId="77777777" w:rsidR="00AD7EE1" w:rsidRPr="00AD7EE1" w:rsidRDefault="00AD7EE1" w:rsidP="000A215B">
            <w:pPr>
              <w:jc w:val="right"/>
              <w:rPr>
                <w:rFonts w:eastAsia="Times New Roman" w:cs="Arial"/>
                <w:lang w:eastAsia="es-ES"/>
              </w:rPr>
            </w:pPr>
          </w:p>
        </w:tc>
        <w:tc>
          <w:tcPr>
            <w:tcW w:w="0" w:type="auto"/>
          </w:tcPr>
          <w:p w14:paraId="424D8A8E" w14:textId="77777777" w:rsidR="00AD7EE1" w:rsidRPr="00AD7EE1" w:rsidRDefault="00AD7EE1" w:rsidP="000A215B">
            <w:pPr>
              <w:jc w:val="right"/>
              <w:rPr>
                <w:rFonts w:eastAsia="Times New Roman" w:cs="Arial"/>
                <w:lang w:eastAsia="es-ES"/>
              </w:rPr>
            </w:pPr>
          </w:p>
        </w:tc>
        <w:tc>
          <w:tcPr>
            <w:tcW w:w="1597" w:type="dxa"/>
          </w:tcPr>
          <w:p w14:paraId="33C94526" w14:textId="77777777" w:rsidR="00AD7EE1" w:rsidRPr="00AD7EE1" w:rsidRDefault="00AD7EE1" w:rsidP="000A215B">
            <w:pPr>
              <w:rPr>
                <w:rFonts w:eastAsia="Times New Roman" w:cs="Arial"/>
                <w:lang w:eastAsia="es-ES"/>
              </w:rPr>
            </w:pPr>
          </w:p>
        </w:tc>
        <w:tc>
          <w:tcPr>
            <w:tcW w:w="2208" w:type="dxa"/>
          </w:tcPr>
          <w:p w14:paraId="4B6E9B4B" w14:textId="77777777" w:rsidR="00AD7EE1" w:rsidRPr="00AD7EE1" w:rsidRDefault="00AD7EE1" w:rsidP="000A215B">
            <w:pPr>
              <w:rPr>
                <w:rFonts w:eastAsia="Times New Roman" w:cs="Arial"/>
                <w:lang w:eastAsia="es-ES"/>
              </w:rPr>
            </w:pPr>
          </w:p>
        </w:tc>
      </w:tr>
      <w:tr w:rsidR="00AD7EE1" w:rsidRPr="00AD7EE1" w14:paraId="27EFFE41" w14:textId="77777777" w:rsidTr="00AD7EE1">
        <w:tc>
          <w:tcPr>
            <w:tcW w:w="0" w:type="auto"/>
          </w:tcPr>
          <w:p w14:paraId="586827D4" w14:textId="77777777" w:rsidR="00AD7EE1" w:rsidRPr="00AD7EE1" w:rsidRDefault="00AD7EE1" w:rsidP="000A215B">
            <w:pPr>
              <w:rPr>
                <w:rFonts w:eastAsia="Times New Roman" w:cs="Arial"/>
                <w:lang w:eastAsia="es-ES"/>
              </w:rPr>
            </w:pPr>
          </w:p>
        </w:tc>
        <w:tc>
          <w:tcPr>
            <w:tcW w:w="0" w:type="auto"/>
          </w:tcPr>
          <w:p w14:paraId="2ECCD5EB" w14:textId="77777777" w:rsidR="00AD7EE1" w:rsidRPr="00AD7EE1" w:rsidRDefault="00AD7EE1" w:rsidP="000A215B">
            <w:pPr>
              <w:rPr>
                <w:rFonts w:eastAsia="Times New Roman" w:cs="Arial"/>
                <w:lang w:eastAsia="es-ES"/>
              </w:rPr>
            </w:pPr>
          </w:p>
        </w:tc>
        <w:tc>
          <w:tcPr>
            <w:tcW w:w="0" w:type="auto"/>
          </w:tcPr>
          <w:p w14:paraId="0337736A" w14:textId="77777777" w:rsidR="00AD7EE1" w:rsidRPr="00AD7EE1" w:rsidRDefault="00AD7EE1" w:rsidP="000A215B">
            <w:pPr>
              <w:jc w:val="right"/>
              <w:rPr>
                <w:rFonts w:eastAsia="Times New Roman" w:cs="Arial"/>
                <w:lang w:eastAsia="es-ES"/>
              </w:rPr>
            </w:pPr>
          </w:p>
        </w:tc>
        <w:tc>
          <w:tcPr>
            <w:tcW w:w="0" w:type="auto"/>
          </w:tcPr>
          <w:p w14:paraId="01535139" w14:textId="77777777" w:rsidR="00AD7EE1" w:rsidRPr="00AD7EE1" w:rsidRDefault="00AD7EE1" w:rsidP="000A215B">
            <w:pPr>
              <w:jc w:val="right"/>
              <w:rPr>
                <w:rFonts w:eastAsia="Times New Roman" w:cs="Arial"/>
                <w:lang w:eastAsia="es-ES"/>
              </w:rPr>
            </w:pPr>
          </w:p>
        </w:tc>
        <w:tc>
          <w:tcPr>
            <w:tcW w:w="0" w:type="auto"/>
          </w:tcPr>
          <w:p w14:paraId="745FB586" w14:textId="77777777" w:rsidR="00AD7EE1" w:rsidRPr="00AD7EE1" w:rsidRDefault="00AD7EE1" w:rsidP="000A215B">
            <w:pPr>
              <w:jc w:val="right"/>
              <w:rPr>
                <w:rFonts w:eastAsia="Times New Roman" w:cs="Arial"/>
                <w:lang w:eastAsia="es-ES"/>
              </w:rPr>
            </w:pPr>
          </w:p>
        </w:tc>
        <w:tc>
          <w:tcPr>
            <w:tcW w:w="0" w:type="auto"/>
          </w:tcPr>
          <w:p w14:paraId="16C3C0E6" w14:textId="77777777" w:rsidR="00AD7EE1" w:rsidRPr="00AD7EE1" w:rsidRDefault="00AD7EE1" w:rsidP="000A215B">
            <w:pPr>
              <w:jc w:val="right"/>
              <w:rPr>
                <w:rFonts w:eastAsia="Times New Roman" w:cs="Arial"/>
                <w:lang w:eastAsia="es-ES"/>
              </w:rPr>
            </w:pPr>
          </w:p>
        </w:tc>
        <w:tc>
          <w:tcPr>
            <w:tcW w:w="1597" w:type="dxa"/>
          </w:tcPr>
          <w:p w14:paraId="6ECBFB83" w14:textId="77777777" w:rsidR="00AD7EE1" w:rsidRPr="00AD7EE1" w:rsidRDefault="00AD7EE1" w:rsidP="000A215B">
            <w:pPr>
              <w:rPr>
                <w:rFonts w:eastAsia="Times New Roman" w:cs="Arial"/>
                <w:lang w:eastAsia="es-ES"/>
              </w:rPr>
            </w:pPr>
          </w:p>
        </w:tc>
        <w:tc>
          <w:tcPr>
            <w:tcW w:w="2208" w:type="dxa"/>
          </w:tcPr>
          <w:p w14:paraId="227CC721" w14:textId="77777777" w:rsidR="00AD7EE1" w:rsidRPr="00AD7EE1" w:rsidRDefault="00AD7EE1" w:rsidP="000A215B">
            <w:pPr>
              <w:rPr>
                <w:rFonts w:eastAsia="Times New Roman" w:cs="Arial"/>
                <w:lang w:eastAsia="es-ES"/>
              </w:rPr>
            </w:pPr>
          </w:p>
        </w:tc>
      </w:tr>
    </w:tbl>
    <w:p w14:paraId="6E336619" w14:textId="4D4AE64A" w:rsidR="00AD7EE1" w:rsidRDefault="00AD7EE1" w:rsidP="002101D1">
      <w:pPr>
        <w:rPr>
          <w:lang w:val="es-NI"/>
        </w:rPr>
      </w:pPr>
    </w:p>
    <w:p w14:paraId="4D717295" w14:textId="0C957C5E" w:rsidR="00C5001F" w:rsidRDefault="00C5001F" w:rsidP="002101D1">
      <w:pPr>
        <w:rPr>
          <w:lang w:val="es-NI"/>
        </w:rPr>
      </w:pPr>
    </w:p>
    <w:p w14:paraId="5DD0E8F4" w14:textId="3285CB6F" w:rsidR="00C5001F" w:rsidRDefault="00C5001F" w:rsidP="002101D1">
      <w:pPr>
        <w:rPr>
          <w:lang w:val="es-NI"/>
        </w:rPr>
      </w:pPr>
    </w:p>
    <w:p w14:paraId="51DA1F4A" w14:textId="37EF3C0A" w:rsidR="00C5001F" w:rsidRDefault="00C5001F" w:rsidP="002101D1">
      <w:pPr>
        <w:rPr>
          <w:lang w:val="es-NI"/>
        </w:rPr>
      </w:pPr>
    </w:p>
    <w:p w14:paraId="6FDF2385" w14:textId="5E62A7FD" w:rsidR="00C5001F" w:rsidRDefault="00C5001F" w:rsidP="002101D1">
      <w:pPr>
        <w:rPr>
          <w:lang w:val="es-NI"/>
        </w:rPr>
      </w:pPr>
    </w:p>
    <w:p w14:paraId="09D38CB9" w14:textId="13CA59B2" w:rsidR="00C5001F" w:rsidRDefault="00C5001F" w:rsidP="002101D1">
      <w:pPr>
        <w:rPr>
          <w:lang w:val="es-NI"/>
        </w:rPr>
      </w:pPr>
    </w:p>
    <w:p w14:paraId="54DFB5E3" w14:textId="2551B675" w:rsidR="00C5001F" w:rsidRDefault="00C5001F" w:rsidP="002101D1">
      <w:pPr>
        <w:rPr>
          <w:lang w:val="es-NI"/>
        </w:rPr>
      </w:pPr>
    </w:p>
    <w:p w14:paraId="4AD17D0C" w14:textId="77777777" w:rsidR="00C5001F" w:rsidRDefault="00C5001F" w:rsidP="002101D1">
      <w:pPr>
        <w:rPr>
          <w:lang w:val="es-NI"/>
        </w:rPr>
      </w:pPr>
    </w:p>
    <w:p w14:paraId="7E9AD730" w14:textId="3AF8A36C" w:rsidR="00AD7EE1" w:rsidRPr="002B32F0" w:rsidRDefault="00AD7EE1" w:rsidP="00C5001F">
      <w:pPr>
        <w:pStyle w:val="Ttulo2"/>
        <w:rPr>
          <w:lang w:val="en-US"/>
        </w:rPr>
      </w:pPr>
      <w:bookmarkStart w:id="83" w:name="_Toc232987031"/>
      <w:r>
        <w:rPr>
          <w:lang w:val="es-NI"/>
        </w:rPr>
        <w:lastRenderedPageBreak/>
        <w:t xml:space="preserve">Anexos 3. </w:t>
      </w:r>
      <w:r w:rsidR="002B32F0">
        <w:rPr>
          <w:lang w:val="en-US"/>
        </w:rPr>
        <w:t>Tablas suplementarias</w:t>
      </w:r>
      <w:bookmarkEnd w:id="83"/>
    </w:p>
    <w:p w14:paraId="528A35F4" w14:textId="77777777" w:rsidR="001E57DF" w:rsidRDefault="00665AD2" w:rsidP="001E57DF">
      <w:pPr>
        <w:pStyle w:val="Descripcin"/>
      </w:pPr>
      <w:bookmarkStart w:id="84" w:name="_Toc232987041"/>
      <w:r w:rsidRPr="001E57DF">
        <w:rPr>
          <w:b/>
          <w:bCs/>
        </w:rPr>
        <w:t xml:space="preserve">Tabla S </w:t>
      </w:r>
      <w:r w:rsidRPr="001E57DF">
        <w:rPr>
          <w:b/>
          <w:bCs/>
        </w:rPr>
        <w:fldChar w:fldCharType="begin"/>
      </w:r>
      <w:r w:rsidRPr="001E57DF">
        <w:rPr>
          <w:b/>
          <w:bCs/>
        </w:rPr>
        <w:instrText xml:space="preserve"> SEQ Tabla_S \* ARABIC </w:instrText>
      </w:r>
      <w:r w:rsidRPr="001E57DF">
        <w:rPr>
          <w:b/>
          <w:bCs/>
        </w:rPr>
        <w:fldChar w:fldCharType="separate"/>
      </w:r>
      <w:r w:rsidR="00BE0144" w:rsidRPr="001E57DF">
        <w:rPr>
          <w:b/>
          <w:bCs/>
          <w:noProof/>
        </w:rPr>
        <w:t>1</w:t>
      </w:r>
      <w:r w:rsidRPr="001E57DF">
        <w:rPr>
          <w:b/>
          <w:bCs/>
        </w:rPr>
        <w:fldChar w:fldCharType="end"/>
      </w:r>
      <w:r w:rsidRPr="001E57DF">
        <w:rPr>
          <w:b/>
          <w:bCs/>
        </w:rPr>
        <w:t>.</w:t>
      </w:r>
      <w:r>
        <w:t xml:space="preserve"> </w:t>
      </w:r>
      <w:r>
        <w:rPr>
          <w:lang w:val="es-NI"/>
        </w:rPr>
        <w:t xml:space="preserve">Razón de inclusión y exclusión de </w:t>
      </w:r>
      <w:r w:rsidR="00EC41BF">
        <w:t>tesis revisad</w:t>
      </w:r>
      <w:r>
        <w:t>a</w:t>
      </w:r>
      <w:r w:rsidR="00EC41BF">
        <w:t xml:space="preserve">s para elegibilidad </w:t>
      </w:r>
      <w:r w:rsidR="001E57DF">
        <w:t>para ser incluidos en la revisión</w:t>
      </w:r>
      <w:bookmarkEnd w:id="84"/>
      <w:r w:rsidR="001E57DF">
        <w:t xml:space="preserve"> </w:t>
      </w:r>
    </w:p>
    <w:tbl>
      <w:tblPr>
        <w:tblStyle w:val="Tablaconcuadrcula"/>
        <w:tblW w:w="0" w:type="auto"/>
        <w:tblLook w:val="04A0" w:firstRow="1" w:lastRow="0" w:firstColumn="1" w:lastColumn="0" w:noHBand="0" w:noVBand="1"/>
      </w:tblPr>
      <w:tblGrid>
        <w:gridCol w:w="517"/>
        <w:gridCol w:w="2434"/>
        <w:gridCol w:w="1048"/>
        <w:gridCol w:w="8995"/>
      </w:tblGrid>
      <w:tr w:rsidR="00EC41BF" w:rsidRPr="00F7167C" w14:paraId="529A56E8" w14:textId="77777777" w:rsidTr="000A215B">
        <w:tc>
          <w:tcPr>
            <w:tcW w:w="0" w:type="auto"/>
            <w:hideMark/>
          </w:tcPr>
          <w:p w14:paraId="2CA8BC3D" w14:textId="77777777" w:rsidR="00EC41BF" w:rsidRPr="00F7167C" w:rsidRDefault="00EC41BF" w:rsidP="000A215B">
            <w:pPr>
              <w:jc w:val="right"/>
              <w:rPr>
                <w:rFonts w:eastAsia="Times New Roman" w:cs="Arial"/>
                <w:b/>
                <w:bCs/>
                <w:sz w:val="22"/>
                <w:lang w:eastAsia="es-ES"/>
              </w:rPr>
            </w:pPr>
            <w:r w:rsidRPr="00F7167C">
              <w:rPr>
                <w:rFonts w:eastAsia="Times New Roman" w:cs="Arial"/>
                <w:b/>
                <w:bCs/>
                <w:sz w:val="22"/>
                <w:lang w:eastAsia="es-ES"/>
              </w:rPr>
              <w:t>N.º</w:t>
            </w:r>
          </w:p>
        </w:tc>
        <w:tc>
          <w:tcPr>
            <w:tcW w:w="0" w:type="auto"/>
            <w:hideMark/>
          </w:tcPr>
          <w:p w14:paraId="604A4786" w14:textId="77777777" w:rsidR="00EC41BF" w:rsidRPr="00F7167C" w:rsidRDefault="00EC41BF" w:rsidP="000A215B">
            <w:pPr>
              <w:jc w:val="center"/>
              <w:rPr>
                <w:rFonts w:eastAsia="Times New Roman" w:cs="Arial"/>
                <w:b/>
                <w:bCs/>
                <w:sz w:val="22"/>
                <w:lang w:eastAsia="es-ES"/>
              </w:rPr>
            </w:pPr>
            <w:r w:rsidRPr="00F7167C">
              <w:rPr>
                <w:rFonts w:eastAsia="Times New Roman" w:cs="Arial"/>
                <w:b/>
                <w:bCs/>
                <w:sz w:val="22"/>
                <w:lang w:eastAsia="es-ES"/>
              </w:rPr>
              <w:t>Autor, año y país</w:t>
            </w:r>
          </w:p>
        </w:tc>
        <w:tc>
          <w:tcPr>
            <w:tcW w:w="0" w:type="auto"/>
            <w:hideMark/>
          </w:tcPr>
          <w:p w14:paraId="1CA6D7F1" w14:textId="77777777" w:rsidR="00EC41BF" w:rsidRPr="00F7167C" w:rsidRDefault="00EC41BF" w:rsidP="000A215B">
            <w:pPr>
              <w:jc w:val="center"/>
              <w:rPr>
                <w:rFonts w:eastAsia="Times New Roman" w:cs="Arial"/>
                <w:b/>
                <w:bCs/>
                <w:sz w:val="22"/>
                <w:lang w:eastAsia="es-ES"/>
              </w:rPr>
            </w:pPr>
            <w:r w:rsidRPr="00F7167C">
              <w:rPr>
                <w:rFonts w:eastAsia="Times New Roman" w:cs="Arial"/>
                <w:b/>
                <w:bCs/>
                <w:sz w:val="22"/>
                <w:lang w:eastAsia="es-ES"/>
              </w:rPr>
              <w:t>Estatus</w:t>
            </w:r>
          </w:p>
        </w:tc>
        <w:tc>
          <w:tcPr>
            <w:tcW w:w="0" w:type="auto"/>
            <w:hideMark/>
          </w:tcPr>
          <w:p w14:paraId="47B7007B" w14:textId="77777777" w:rsidR="00EC41BF" w:rsidRPr="00F7167C" w:rsidRDefault="00EC41BF" w:rsidP="000A215B">
            <w:pPr>
              <w:jc w:val="center"/>
              <w:rPr>
                <w:rFonts w:eastAsia="Times New Roman" w:cs="Arial"/>
                <w:b/>
                <w:bCs/>
                <w:sz w:val="22"/>
                <w:lang w:eastAsia="es-ES"/>
              </w:rPr>
            </w:pPr>
            <w:r w:rsidRPr="00F7167C">
              <w:rPr>
                <w:rFonts w:eastAsia="Times New Roman" w:cs="Arial"/>
                <w:b/>
                <w:bCs/>
                <w:sz w:val="22"/>
                <w:lang w:eastAsia="es-ES"/>
              </w:rPr>
              <w:t>Razón de inclusión o exclusión</w:t>
            </w:r>
          </w:p>
        </w:tc>
      </w:tr>
      <w:tr w:rsidR="00EC41BF" w:rsidRPr="00F7167C" w14:paraId="4139AF19" w14:textId="77777777" w:rsidTr="000A215B">
        <w:tc>
          <w:tcPr>
            <w:tcW w:w="0" w:type="auto"/>
            <w:hideMark/>
          </w:tcPr>
          <w:p w14:paraId="0604F586"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1</w:t>
            </w:r>
          </w:p>
        </w:tc>
        <w:tc>
          <w:tcPr>
            <w:tcW w:w="0" w:type="auto"/>
            <w:hideMark/>
          </w:tcPr>
          <w:p w14:paraId="074BD719"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Chérrez Ramos y Arévalo Villanueva, 2021, Ecuador</w:t>
            </w:r>
          </w:p>
        </w:tc>
        <w:tc>
          <w:tcPr>
            <w:tcW w:w="0" w:type="auto"/>
            <w:hideMark/>
          </w:tcPr>
          <w:p w14:paraId="03877D27"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Incluido</w:t>
            </w:r>
          </w:p>
        </w:tc>
        <w:tc>
          <w:tcPr>
            <w:tcW w:w="0" w:type="auto"/>
            <w:hideMark/>
          </w:tcPr>
          <w:p w14:paraId="7FD8F4F1"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Se incluyó porque compara directamente el manejo médico con misoprostol frente al legrado uterino instrumental en pacientes con aborto incompleto. Evalúa desenlaces clínicos relevantes para la revisión, como resolución completa sin procedimiento secundario, fallo del manejo, retención de restos ovulares, sangrado activo y efectos adversos.</w:t>
            </w:r>
          </w:p>
        </w:tc>
      </w:tr>
      <w:tr w:rsidR="00EC41BF" w:rsidRPr="00F7167C" w14:paraId="7E16ABB6" w14:textId="77777777" w:rsidTr="000A215B">
        <w:tc>
          <w:tcPr>
            <w:tcW w:w="0" w:type="auto"/>
            <w:hideMark/>
          </w:tcPr>
          <w:p w14:paraId="5CFF1B23"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2</w:t>
            </w:r>
          </w:p>
        </w:tc>
        <w:tc>
          <w:tcPr>
            <w:tcW w:w="0" w:type="auto"/>
            <w:hideMark/>
          </w:tcPr>
          <w:p w14:paraId="41C0EB60"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Rueda Espinel, 2022, Colombia</w:t>
            </w:r>
          </w:p>
        </w:tc>
        <w:tc>
          <w:tcPr>
            <w:tcW w:w="0" w:type="auto"/>
            <w:hideMark/>
          </w:tcPr>
          <w:p w14:paraId="21129DAA"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Incluido</w:t>
            </w:r>
          </w:p>
        </w:tc>
        <w:tc>
          <w:tcPr>
            <w:tcW w:w="0" w:type="auto"/>
            <w:hideMark/>
          </w:tcPr>
          <w:p w14:paraId="623749CA"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Se incluyó porque evalúa resultados clínicos del manejo médico con misoprostol en aborto espontáneo. Aunque no incluye un comparador terapéutico inicial independiente, presenta una comparación interna entre casos con manejo exitoso y casos que requirieron legrado por fallo del tratamiento.</w:t>
            </w:r>
          </w:p>
        </w:tc>
      </w:tr>
      <w:tr w:rsidR="00EC41BF" w:rsidRPr="00F7167C" w14:paraId="1F349CD3" w14:textId="77777777" w:rsidTr="000A215B">
        <w:tc>
          <w:tcPr>
            <w:tcW w:w="0" w:type="auto"/>
            <w:hideMark/>
          </w:tcPr>
          <w:p w14:paraId="46C66372"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3</w:t>
            </w:r>
          </w:p>
        </w:tc>
        <w:tc>
          <w:tcPr>
            <w:tcW w:w="0" w:type="auto"/>
            <w:hideMark/>
          </w:tcPr>
          <w:p w14:paraId="43E1EFD8"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Valles Jáquez, 2024, México</w:t>
            </w:r>
          </w:p>
        </w:tc>
        <w:tc>
          <w:tcPr>
            <w:tcW w:w="0" w:type="auto"/>
            <w:hideMark/>
          </w:tcPr>
          <w:p w14:paraId="4DBB0CBB"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Incluido</w:t>
            </w:r>
          </w:p>
        </w:tc>
        <w:tc>
          <w:tcPr>
            <w:tcW w:w="0" w:type="auto"/>
            <w:hideMark/>
          </w:tcPr>
          <w:p w14:paraId="1BE444EB"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Se incluyó porque evalúa la tasa de éxito y complicaciones del manejo farmacológico con misoprostol en aborto del primer trimestre. Reporta desenlaces relevantes como expulsión completa sin tratamiento quirúrgico posterior, fallo del manejo médico, necesidad de evacuación quirúrgica posterior y complicaciones.</w:t>
            </w:r>
          </w:p>
        </w:tc>
      </w:tr>
      <w:tr w:rsidR="00EC41BF" w:rsidRPr="00F7167C" w14:paraId="536F516D" w14:textId="77777777" w:rsidTr="000A215B">
        <w:tc>
          <w:tcPr>
            <w:tcW w:w="0" w:type="auto"/>
            <w:hideMark/>
          </w:tcPr>
          <w:p w14:paraId="40711FFF"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4</w:t>
            </w:r>
          </w:p>
        </w:tc>
        <w:tc>
          <w:tcPr>
            <w:tcW w:w="0" w:type="auto"/>
            <w:hideMark/>
          </w:tcPr>
          <w:p w14:paraId="4EE54F34" w14:textId="757511F7" w:rsidR="00EC41BF" w:rsidRPr="00F7167C" w:rsidRDefault="009F5ED8" w:rsidP="000A215B">
            <w:pPr>
              <w:rPr>
                <w:rFonts w:eastAsia="Times New Roman" w:cs="Arial"/>
                <w:sz w:val="22"/>
                <w:lang w:eastAsia="es-ES"/>
              </w:rPr>
            </w:pPr>
            <w:r w:rsidRPr="00F7167C">
              <w:rPr>
                <w:rFonts w:eastAsia="Times New Roman" w:cs="Arial"/>
                <w:sz w:val="22"/>
                <w:lang w:eastAsia="es-ES"/>
              </w:rPr>
              <w:t>Alvarado García y Morales Soza (2020). Nicaragua</w:t>
            </w:r>
          </w:p>
        </w:tc>
        <w:tc>
          <w:tcPr>
            <w:tcW w:w="0" w:type="auto"/>
            <w:hideMark/>
          </w:tcPr>
          <w:p w14:paraId="4E1C685D"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32DC95E5" w14:textId="2A23EEB0" w:rsidR="00EC41BF" w:rsidRPr="00F7167C" w:rsidRDefault="009F5ED8" w:rsidP="000A215B">
            <w:pPr>
              <w:rPr>
                <w:rFonts w:eastAsia="Times New Roman" w:cs="Arial"/>
                <w:sz w:val="22"/>
                <w:lang w:eastAsia="es-ES"/>
              </w:rPr>
            </w:pPr>
            <w:r w:rsidRPr="00F7167C">
              <w:rPr>
                <w:rFonts w:eastAsia="Times New Roman" w:cs="Arial"/>
                <w:sz w:val="22"/>
                <w:lang w:eastAsia="es-ES"/>
              </w:rPr>
              <w:t xml:space="preserve">Fue excluido porque no incluyó grupo comparador y no reportó el desenlace de éxito como número de mujeres con evacuación uterina completa o resolución sin intervención adicional. Sus resultados se centraron en la dosis, vía de administración, intervalo entre dosis, tiempo de evolución, estancia hospitalaria y valoración global de evolución satisfactoria. Aunque informa evolución clínica satisfactoria en todas las pacientes y ausencia de complicaciones atribuidas al fármaco, estos indicadores no permiten calcular </w:t>
            </w:r>
            <w:r w:rsidRPr="00F7167C">
              <w:rPr>
                <w:rFonts w:eastAsia="Times New Roman" w:cs="Arial"/>
                <w:sz w:val="22"/>
                <w:lang w:eastAsia="es-ES"/>
              </w:rPr>
              <w:lastRenderedPageBreak/>
              <w:t>una proporción de éxito clínico comparable con los demás estudios ni evaluar la eficacia frente a otra estrategia de manejo.</w:t>
            </w:r>
          </w:p>
        </w:tc>
      </w:tr>
      <w:tr w:rsidR="00EC41BF" w:rsidRPr="00F7167C" w14:paraId="57B47390" w14:textId="77777777" w:rsidTr="000A215B">
        <w:tc>
          <w:tcPr>
            <w:tcW w:w="0" w:type="auto"/>
            <w:hideMark/>
          </w:tcPr>
          <w:p w14:paraId="70939744"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lastRenderedPageBreak/>
              <w:t>5</w:t>
            </w:r>
          </w:p>
        </w:tc>
        <w:tc>
          <w:tcPr>
            <w:tcW w:w="0" w:type="auto"/>
            <w:hideMark/>
          </w:tcPr>
          <w:p w14:paraId="691EEF48"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Martínez Zambrano, 2017, Ecuador</w:t>
            </w:r>
          </w:p>
        </w:tc>
        <w:tc>
          <w:tcPr>
            <w:tcW w:w="0" w:type="auto"/>
            <w:hideMark/>
          </w:tcPr>
          <w:p w14:paraId="62CE866E"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28080BAB"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Se excluyó porque no incluye un comparador terapéutico formal. Aunque analiza pacientes tratadas con misoprostol y la necesidad posterior de legrado instrumental, el estudio no fue conservado para esta síntesis por no comparar misoprostol frente a otra estrategia de manejo.</w:t>
            </w:r>
          </w:p>
        </w:tc>
      </w:tr>
      <w:tr w:rsidR="00EC41BF" w:rsidRPr="00F7167C" w14:paraId="68B5C77B" w14:textId="77777777" w:rsidTr="000A215B">
        <w:tc>
          <w:tcPr>
            <w:tcW w:w="0" w:type="auto"/>
            <w:hideMark/>
          </w:tcPr>
          <w:p w14:paraId="40C2505A"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6</w:t>
            </w:r>
          </w:p>
        </w:tc>
        <w:tc>
          <w:tcPr>
            <w:tcW w:w="0" w:type="auto"/>
            <w:hideMark/>
          </w:tcPr>
          <w:p w14:paraId="79915BE4" w14:textId="4A09CB79" w:rsidR="00EC41BF" w:rsidRPr="00F7167C" w:rsidRDefault="00F7167C" w:rsidP="000A215B">
            <w:pPr>
              <w:rPr>
                <w:rFonts w:eastAsia="Times New Roman" w:cs="Arial"/>
                <w:sz w:val="22"/>
                <w:lang w:eastAsia="es-ES"/>
              </w:rPr>
            </w:pPr>
            <w:r w:rsidRPr="00F7167C">
              <w:rPr>
                <w:rFonts w:eastAsia="Times New Roman" w:cs="Arial"/>
                <w:sz w:val="22"/>
                <w:lang w:eastAsia="es-ES"/>
              </w:rPr>
              <w:t>Obando Hebbert (2020). Nicaragua</w:t>
            </w:r>
          </w:p>
        </w:tc>
        <w:tc>
          <w:tcPr>
            <w:tcW w:w="0" w:type="auto"/>
            <w:hideMark/>
          </w:tcPr>
          <w:p w14:paraId="587F39CE"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23D976F8" w14:textId="2227905E" w:rsidR="00EC41BF" w:rsidRPr="00F7167C" w:rsidRDefault="009F5ED8" w:rsidP="000A215B">
            <w:pPr>
              <w:rPr>
                <w:rFonts w:eastAsia="Times New Roman" w:cs="Arial"/>
                <w:sz w:val="22"/>
                <w:lang w:eastAsia="es-ES"/>
              </w:rPr>
            </w:pPr>
            <w:r w:rsidRPr="00F7167C">
              <w:rPr>
                <w:rFonts w:eastAsia="Times New Roman" w:cs="Arial"/>
                <w:sz w:val="22"/>
                <w:lang w:eastAsia="es-ES"/>
              </w:rPr>
              <w:t>Los resultados describen la dosis considerada efectiva, el tiempo de expulsión y la ausencia mayoritaria de reacciones adversas o complicaciones; sin embargo, no presentan de manera suficientemente desagregada los casos de éxito y fracaso por grupo, ni una comparación estadística que permita calcular con certeza la eficacia relativa del misoprostol frente a AMEU. Por esta razón, no fue posible integrar sus datos en el análisis comparativo ni estimar de forma robusta la eficacia global del misoprostol.</w:t>
            </w:r>
          </w:p>
        </w:tc>
      </w:tr>
      <w:tr w:rsidR="00EC41BF" w:rsidRPr="00F7167C" w14:paraId="4A196CC2" w14:textId="77777777" w:rsidTr="000A215B">
        <w:tc>
          <w:tcPr>
            <w:tcW w:w="0" w:type="auto"/>
            <w:hideMark/>
          </w:tcPr>
          <w:p w14:paraId="20B2AD26"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7</w:t>
            </w:r>
          </w:p>
        </w:tc>
        <w:tc>
          <w:tcPr>
            <w:tcW w:w="0" w:type="auto"/>
            <w:hideMark/>
          </w:tcPr>
          <w:p w14:paraId="01A96120" w14:textId="4ED9E3A5" w:rsidR="00EC41BF" w:rsidRPr="00F7167C" w:rsidRDefault="00F7167C" w:rsidP="000A215B">
            <w:pPr>
              <w:rPr>
                <w:rFonts w:eastAsia="Times New Roman" w:cs="Arial"/>
                <w:sz w:val="22"/>
                <w:lang w:eastAsia="es-ES"/>
              </w:rPr>
            </w:pPr>
            <w:r w:rsidRPr="00F7167C">
              <w:rPr>
                <w:rFonts w:eastAsia="Times New Roman" w:cs="Arial"/>
                <w:sz w:val="22"/>
                <w:lang w:eastAsia="es-ES"/>
              </w:rPr>
              <w:t>Morice Chamorro y Zúñiga González (2013). Nicaragua</w:t>
            </w:r>
          </w:p>
        </w:tc>
        <w:tc>
          <w:tcPr>
            <w:tcW w:w="0" w:type="auto"/>
            <w:hideMark/>
          </w:tcPr>
          <w:p w14:paraId="59FFC5B1"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444FF291" w14:textId="3EEF7B8E" w:rsidR="00EC41BF" w:rsidRPr="00F7167C" w:rsidRDefault="00F7167C" w:rsidP="000A215B">
            <w:pPr>
              <w:rPr>
                <w:rFonts w:eastAsia="Times New Roman" w:cs="Arial"/>
                <w:sz w:val="22"/>
                <w:lang w:eastAsia="es-ES"/>
              </w:rPr>
            </w:pPr>
            <w:r w:rsidRPr="00F7167C">
              <w:rPr>
                <w:rFonts w:eastAsia="Times New Roman" w:cs="Arial"/>
                <w:sz w:val="22"/>
                <w:lang w:eastAsia="es-ES"/>
              </w:rPr>
              <w:t>Este estudio se excluyó porque, aunque comparó misoprostol vaginal con legrado por aspiración endouterina, no presentó de forma clara el número de mujeres con evacuación uterina completa sin necesidad de intervención adicional en cada grupo. Por ello, no fue posible estimar la eficacia comparativa ni incorporar sus datos al metaanálisis.</w:t>
            </w:r>
          </w:p>
        </w:tc>
      </w:tr>
      <w:tr w:rsidR="00EC41BF" w:rsidRPr="00F7167C" w14:paraId="2AEB1462" w14:textId="77777777" w:rsidTr="000A215B">
        <w:tc>
          <w:tcPr>
            <w:tcW w:w="0" w:type="auto"/>
            <w:hideMark/>
          </w:tcPr>
          <w:p w14:paraId="4C6E1E46"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8</w:t>
            </w:r>
          </w:p>
        </w:tc>
        <w:tc>
          <w:tcPr>
            <w:tcW w:w="0" w:type="auto"/>
            <w:hideMark/>
          </w:tcPr>
          <w:p w14:paraId="378C4E6E"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Montenegro Sánchez y Molina Herrera, 2015, Nicaragua</w:t>
            </w:r>
          </w:p>
        </w:tc>
        <w:tc>
          <w:tcPr>
            <w:tcW w:w="0" w:type="auto"/>
            <w:hideMark/>
          </w:tcPr>
          <w:p w14:paraId="1CA99420"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30A45203"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Se excluyó porque evalúa el abordaje del aborto incompleto según el protocolo nacional de atención, pero no estudia específicamente el misoprostol como intervención principal ni lo compara con otra estrategia terapéutica.</w:t>
            </w:r>
          </w:p>
        </w:tc>
      </w:tr>
      <w:tr w:rsidR="00EC41BF" w:rsidRPr="00665AD2" w14:paraId="24061499" w14:textId="77777777" w:rsidTr="000A215B">
        <w:tc>
          <w:tcPr>
            <w:tcW w:w="0" w:type="auto"/>
            <w:hideMark/>
          </w:tcPr>
          <w:p w14:paraId="1779BE88" w14:textId="77777777" w:rsidR="00EC41BF" w:rsidRPr="00F7167C" w:rsidRDefault="00EC41BF" w:rsidP="000A215B">
            <w:pPr>
              <w:jc w:val="right"/>
              <w:rPr>
                <w:rFonts w:eastAsia="Times New Roman" w:cs="Arial"/>
                <w:sz w:val="22"/>
                <w:lang w:eastAsia="es-ES"/>
              </w:rPr>
            </w:pPr>
            <w:r w:rsidRPr="00F7167C">
              <w:rPr>
                <w:rFonts w:eastAsia="Times New Roman" w:cs="Arial"/>
                <w:sz w:val="22"/>
                <w:lang w:eastAsia="es-ES"/>
              </w:rPr>
              <w:t>9</w:t>
            </w:r>
          </w:p>
        </w:tc>
        <w:tc>
          <w:tcPr>
            <w:tcW w:w="0" w:type="auto"/>
            <w:hideMark/>
          </w:tcPr>
          <w:p w14:paraId="348F3376"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Strelow Moreira, 2022, Brasil</w:t>
            </w:r>
          </w:p>
        </w:tc>
        <w:tc>
          <w:tcPr>
            <w:tcW w:w="0" w:type="auto"/>
            <w:hideMark/>
          </w:tcPr>
          <w:p w14:paraId="74B5F75A" w14:textId="77777777" w:rsidR="00EC41BF" w:rsidRPr="00F7167C" w:rsidRDefault="00EC41BF" w:rsidP="000A215B">
            <w:pPr>
              <w:rPr>
                <w:rFonts w:eastAsia="Times New Roman" w:cs="Arial"/>
                <w:sz w:val="22"/>
                <w:lang w:eastAsia="es-ES"/>
              </w:rPr>
            </w:pPr>
            <w:r w:rsidRPr="00F7167C">
              <w:rPr>
                <w:rFonts w:eastAsia="Times New Roman" w:cs="Arial"/>
                <w:sz w:val="22"/>
                <w:lang w:eastAsia="es-ES"/>
              </w:rPr>
              <w:t>Excluido</w:t>
            </w:r>
          </w:p>
        </w:tc>
        <w:tc>
          <w:tcPr>
            <w:tcW w:w="0" w:type="auto"/>
            <w:hideMark/>
          </w:tcPr>
          <w:p w14:paraId="03DF2E76" w14:textId="77777777" w:rsidR="00EC41BF" w:rsidRPr="00665AD2" w:rsidRDefault="00EC41BF" w:rsidP="000A215B">
            <w:pPr>
              <w:rPr>
                <w:rFonts w:eastAsia="Times New Roman" w:cs="Arial"/>
                <w:sz w:val="22"/>
                <w:lang w:eastAsia="es-ES"/>
              </w:rPr>
            </w:pPr>
            <w:r w:rsidRPr="00F7167C">
              <w:rPr>
                <w:rFonts w:eastAsia="Times New Roman" w:cs="Arial"/>
                <w:sz w:val="22"/>
                <w:lang w:eastAsia="es-ES"/>
              </w:rPr>
              <w:t>Se excluyó porque el misoprostol fue evaluado como preparación cervical previa a aspiración manual intrauterina, no como tratamiento médico definitivo para lograr la resolución completa del aborto espontáneo o incompleto.</w:t>
            </w:r>
          </w:p>
        </w:tc>
      </w:tr>
    </w:tbl>
    <w:p w14:paraId="1851001C" w14:textId="77777777" w:rsidR="00EC41BF" w:rsidRDefault="00EC41BF" w:rsidP="00EC41BF"/>
    <w:p w14:paraId="71F4F3B1" w14:textId="04A665E5" w:rsidR="00665AD2" w:rsidRDefault="00665AD2" w:rsidP="00665AD2">
      <w:pPr>
        <w:pStyle w:val="Descripcin"/>
      </w:pPr>
      <w:bookmarkStart w:id="85" w:name="_Toc232987042"/>
      <w:r w:rsidRPr="001E57DF">
        <w:rPr>
          <w:b/>
          <w:bCs/>
        </w:rPr>
        <w:lastRenderedPageBreak/>
        <w:t xml:space="preserve">Tabla S </w:t>
      </w:r>
      <w:r w:rsidRPr="001E57DF">
        <w:rPr>
          <w:b/>
          <w:bCs/>
        </w:rPr>
        <w:fldChar w:fldCharType="begin"/>
      </w:r>
      <w:r w:rsidRPr="001E57DF">
        <w:rPr>
          <w:b/>
          <w:bCs/>
        </w:rPr>
        <w:instrText xml:space="preserve"> SEQ Tabla_S \* ARABIC </w:instrText>
      </w:r>
      <w:r w:rsidRPr="001E57DF">
        <w:rPr>
          <w:b/>
          <w:bCs/>
        </w:rPr>
        <w:fldChar w:fldCharType="separate"/>
      </w:r>
      <w:r w:rsidR="00BE0144" w:rsidRPr="001E57DF">
        <w:rPr>
          <w:b/>
          <w:bCs/>
          <w:noProof/>
        </w:rPr>
        <w:t>2</w:t>
      </w:r>
      <w:r w:rsidRPr="001E57DF">
        <w:rPr>
          <w:b/>
          <w:bCs/>
        </w:rPr>
        <w:fldChar w:fldCharType="end"/>
      </w:r>
      <w:r w:rsidRPr="001E57DF">
        <w:rPr>
          <w:b/>
          <w:bCs/>
        </w:rPr>
        <w:t>.</w:t>
      </w:r>
      <w:r>
        <w:t xml:space="preserve"> </w:t>
      </w:r>
      <w:r>
        <w:rPr>
          <w:lang w:val="es-NI"/>
        </w:rPr>
        <w:t xml:space="preserve">Razón de inclusión y exclusión de </w:t>
      </w:r>
      <w:r>
        <w:t>artículos revisados para elegibilidad</w:t>
      </w:r>
      <w:r w:rsidR="001E57DF">
        <w:t xml:space="preserve"> para ser incluidos en la revisión</w:t>
      </w:r>
      <w:bookmarkEnd w:id="85"/>
      <w:r w:rsidR="001E57DF">
        <w:t xml:space="preserve"> </w:t>
      </w:r>
    </w:p>
    <w:tbl>
      <w:tblPr>
        <w:tblStyle w:val="Tablaconcuadrcula"/>
        <w:tblW w:w="0" w:type="auto"/>
        <w:tblLook w:val="04A0" w:firstRow="1" w:lastRow="0" w:firstColumn="1" w:lastColumn="0" w:noHBand="0" w:noVBand="1"/>
      </w:tblPr>
      <w:tblGrid>
        <w:gridCol w:w="517"/>
        <w:gridCol w:w="2195"/>
        <w:gridCol w:w="1048"/>
        <w:gridCol w:w="9234"/>
      </w:tblGrid>
      <w:tr w:rsidR="00665AD2" w:rsidRPr="00665AD2" w14:paraId="2893E287" w14:textId="77777777" w:rsidTr="000A215B">
        <w:tc>
          <w:tcPr>
            <w:tcW w:w="0" w:type="auto"/>
            <w:hideMark/>
          </w:tcPr>
          <w:p w14:paraId="5D35CCC1" w14:textId="77777777" w:rsidR="00665AD2" w:rsidRPr="00665AD2" w:rsidRDefault="00665AD2" w:rsidP="000A215B">
            <w:pPr>
              <w:jc w:val="right"/>
              <w:rPr>
                <w:rFonts w:eastAsia="Times New Roman" w:cs="Arial"/>
                <w:b/>
                <w:bCs/>
                <w:sz w:val="22"/>
                <w:lang w:eastAsia="es-ES"/>
              </w:rPr>
            </w:pPr>
            <w:r w:rsidRPr="00665AD2">
              <w:rPr>
                <w:rFonts w:eastAsia="Times New Roman" w:cs="Arial"/>
                <w:b/>
                <w:bCs/>
                <w:sz w:val="22"/>
                <w:lang w:eastAsia="es-ES"/>
              </w:rPr>
              <w:t>N.º</w:t>
            </w:r>
          </w:p>
        </w:tc>
        <w:tc>
          <w:tcPr>
            <w:tcW w:w="0" w:type="auto"/>
            <w:hideMark/>
          </w:tcPr>
          <w:p w14:paraId="73FCE0E7" w14:textId="77777777" w:rsidR="00665AD2" w:rsidRPr="00665AD2" w:rsidRDefault="00665AD2" w:rsidP="000A215B">
            <w:pPr>
              <w:jc w:val="center"/>
              <w:rPr>
                <w:rFonts w:eastAsia="Times New Roman" w:cs="Arial"/>
                <w:b/>
                <w:bCs/>
                <w:sz w:val="22"/>
                <w:lang w:eastAsia="es-ES"/>
              </w:rPr>
            </w:pPr>
            <w:r w:rsidRPr="00665AD2">
              <w:rPr>
                <w:rFonts w:eastAsia="Times New Roman" w:cs="Arial"/>
                <w:b/>
                <w:bCs/>
                <w:sz w:val="22"/>
                <w:lang w:eastAsia="es-ES"/>
              </w:rPr>
              <w:t>Autor, año y país</w:t>
            </w:r>
          </w:p>
        </w:tc>
        <w:tc>
          <w:tcPr>
            <w:tcW w:w="0" w:type="auto"/>
            <w:hideMark/>
          </w:tcPr>
          <w:p w14:paraId="474CE11F" w14:textId="77777777" w:rsidR="00665AD2" w:rsidRPr="00665AD2" w:rsidRDefault="00665AD2" w:rsidP="000A215B">
            <w:pPr>
              <w:jc w:val="center"/>
              <w:rPr>
                <w:rFonts w:eastAsia="Times New Roman" w:cs="Arial"/>
                <w:b/>
                <w:bCs/>
                <w:sz w:val="22"/>
                <w:lang w:eastAsia="es-ES"/>
              </w:rPr>
            </w:pPr>
            <w:r w:rsidRPr="00665AD2">
              <w:rPr>
                <w:rFonts w:eastAsia="Times New Roman" w:cs="Arial"/>
                <w:b/>
                <w:bCs/>
                <w:sz w:val="22"/>
                <w:lang w:eastAsia="es-ES"/>
              </w:rPr>
              <w:t>Estatus</w:t>
            </w:r>
          </w:p>
        </w:tc>
        <w:tc>
          <w:tcPr>
            <w:tcW w:w="0" w:type="auto"/>
            <w:hideMark/>
          </w:tcPr>
          <w:p w14:paraId="6B654EFB" w14:textId="77777777" w:rsidR="00665AD2" w:rsidRPr="00665AD2" w:rsidRDefault="00665AD2" w:rsidP="000A215B">
            <w:pPr>
              <w:jc w:val="center"/>
              <w:rPr>
                <w:rFonts w:eastAsia="Times New Roman" w:cs="Arial"/>
                <w:b/>
                <w:bCs/>
                <w:sz w:val="22"/>
                <w:lang w:eastAsia="es-ES"/>
              </w:rPr>
            </w:pPr>
            <w:r w:rsidRPr="00665AD2">
              <w:rPr>
                <w:rFonts w:eastAsia="Times New Roman" w:cs="Arial"/>
                <w:b/>
                <w:bCs/>
                <w:sz w:val="22"/>
                <w:lang w:eastAsia="es-ES"/>
              </w:rPr>
              <w:t>Razón de inclusión o exclusión</w:t>
            </w:r>
          </w:p>
        </w:tc>
      </w:tr>
      <w:tr w:rsidR="00665AD2" w:rsidRPr="00665AD2" w14:paraId="10BBDC73" w14:textId="77777777" w:rsidTr="000A215B">
        <w:tc>
          <w:tcPr>
            <w:tcW w:w="0" w:type="auto"/>
            <w:hideMark/>
          </w:tcPr>
          <w:p w14:paraId="4C662BE2"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1</w:t>
            </w:r>
          </w:p>
        </w:tc>
        <w:tc>
          <w:tcPr>
            <w:tcW w:w="0" w:type="auto"/>
            <w:hideMark/>
          </w:tcPr>
          <w:p w14:paraId="06AE6AF3"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Sepúlveda Rivera et al., 2019, México</w:t>
            </w:r>
          </w:p>
        </w:tc>
        <w:tc>
          <w:tcPr>
            <w:tcW w:w="0" w:type="auto"/>
            <w:hideMark/>
          </w:tcPr>
          <w:p w14:paraId="6C49AAB1"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Incluido</w:t>
            </w:r>
          </w:p>
        </w:tc>
        <w:tc>
          <w:tcPr>
            <w:tcW w:w="0" w:type="auto"/>
            <w:hideMark/>
          </w:tcPr>
          <w:p w14:paraId="61262DE7"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Estudio sobre manejo médico con misoprostol según el esquema FIGO 2017 en pacientes con aborto espontáneo del primer trimestre. Reporta desenlaces clínicos relevantes para la revisión, incluyendo evacuación uterina completa y efectos adversos asociados al tratamiento. No presenta comparador terapéutico formal.</w:t>
            </w:r>
          </w:p>
        </w:tc>
      </w:tr>
      <w:tr w:rsidR="00665AD2" w:rsidRPr="00665AD2" w14:paraId="0CB77604" w14:textId="77777777" w:rsidTr="000A215B">
        <w:tc>
          <w:tcPr>
            <w:tcW w:w="0" w:type="auto"/>
            <w:hideMark/>
          </w:tcPr>
          <w:p w14:paraId="1204DFFA"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2</w:t>
            </w:r>
          </w:p>
        </w:tc>
        <w:tc>
          <w:tcPr>
            <w:tcW w:w="0" w:type="auto"/>
            <w:hideMark/>
          </w:tcPr>
          <w:p w14:paraId="60113623"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Estrada y Espinal, 2015, Honduras</w:t>
            </w:r>
          </w:p>
        </w:tc>
        <w:tc>
          <w:tcPr>
            <w:tcW w:w="0" w:type="auto"/>
            <w:hideMark/>
          </w:tcPr>
          <w:p w14:paraId="0F56BF06"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Incluido</w:t>
            </w:r>
          </w:p>
        </w:tc>
        <w:tc>
          <w:tcPr>
            <w:tcW w:w="0" w:type="auto"/>
            <w:hideMark/>
          </w:tcPr>
          <w:p w14:paraId="0DEB08A6"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Estudio sobre uso de misoprostol oral en pacientes con diagnóstico de aborto incompleto. Reporta desenlaces clínicos relacionados con éxito terapéutico, fracaso del tratamiento, necesidad posterior de curetaje y complicaciones.</w:t>
            </w:r>
          </w:p>
        </w:tc>
      </w:tr>
      <w:tr w:rsidR="00665AD2" w:rsidRPr="00665AD2" w14:paraId="054E4D5E" w14:textId="77777777" w:rsidTr="000A215B">
        <w:tc>
          <w:tcPr>
            <w:tcW w:w="0" w:type="auto"/>
            <w:hideMark/>
          </w:tcPr>
          <w:p w14:paraId="75372349"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3</w:t>
            </w:r>
          </w:p>
        </w:tc>
        <w:tc>
          <w:tcPr>
            <w:tcW w:w="0" w:type="auto"/>
            <w:hideMark/>
          </w:tcPr>
          <w:p w14:paraId="5F518B53"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Martínez-Rodas et al., 2020, Honduras</w:t>
            </w:r>
          </w:p>
        </w:tc>
        <w:tc>
          <w:tcPr>
            <w:tcW w:w="0" w:type="auto"/>
            <w:hideMark/>
          </w:tcPr>
          <w:p w14:paraId="565AC6E4"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Incluido</w:t>
            </w:r>
          </w:p>
        </w:tc>
        <w:tc>
          <w:tcPr>
            <w:tcW w:w="0" w:type="auto"/>
            <w:hideMark/>
          </w:tcPr>
          <w:p w14:paraId="738D0D90"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Estudio sobre eficacia del misoprostol como tratamiento en abortos menores de 12 semanas. Reporta desenlaces clínicos relacionados con expulsión completa, respuesta al tratamiento, dosis administrada y efectos secundarios. No presenta comparador terapéutico formal.</w:t>
            </w:r>
          </w:p>
        </w:tc>
      </w:tr>
      <w:tr w:rsidR="00665AD2" w:rsidRPr="00665AD2" w14:paraId="7152F9C3" w14:textId="77777777" w:rsidTr="000A215B">
        <w:tc>
          <w:tcPr>
            <w:tcW w:w="0" w:type="auto"/>
            <w:hideMark/>
          </w:tcPr>
          <w:p w14:paraId="27FAD2F6"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4</w:t>
            </w:r>
          </w:p>
        </w:tc>
        <w:tc>
          <w:tcPr>
            <w:tcW w:w="0" w:type="auto"/>
            <w:hideMark/>
          </w:tcPr>
          <w:p w14:paraId="5C7BE99A"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Alvarado-Franco et al., 2025, Perú</w:t>
            </w:r>
          </w:p>
        </w:tc>
        <w:tc>
          <w:tcPr>
            <w:tcW w:w="0" w:type="auto"/>
            <w:hideMark/>
          </w:tcPr>
          <w:p w14:paraId="18BDA8AB"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Incluido</w:t>
            </w:r>
          </w:p>
        </w:tc>
        <w:tc>
          <w:tcPr>
            <w:tcW w:w="0" w:type="auto"/>
            <w:hideMark/>
          </w:tcPr>
          <w:p w14:paraId="3EFC54EE"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Estudio descriptivo del abordaje terapéutico del aborto espontáneo incompleto, incluyendo manejo expectante, tratamiento farmacológico con misoprostol y tratamiento quirúrgico. Aporta información sobre la frecuencia de uso de cada estrategia y la necesidad de tratamiento adicional posterior.</w:t>
            </w:r>
          </w:p>
        </w:tc>
      </w:tr>
      <w:tr w:rsidR="00665AD2" w:rsidRPr="00665AD2" w14:paraId="152A7C71" w14:textId="77777777" w:rsidTr="000A215B">
        <w:tc>
          <w:tcPr>
            <w:tcW w:w="0" w:type="auto"/>
            <w:hideMark/>
          </w:tcPr>
          <w:p w14:paraId="17449CBD"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5</w:t>
            </w:r>
          </w:p>
        </w:tc>
        <w:tc>
          <w:tcPr>
            <w:tcW w:w="0" w:type="auto"/>
            <w:hideMark/>
          </w:tcPr>
          <w:p w14:paraId="3E3DAB8B"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Errázuriz et al., 2014, Chile</w:t>
            </w:r>
          </w:p>
        </w:tc>
        <w:tc>
          <w:tcPr>
            <w:tcW w:w="0" w:type="auto"/>
            <w:hideMark/>
          </w:tcPr>
          <w:p w14:paraId="5EEAC5C4"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Excluido</w:t>
            </w:r>
          </w:p>
        </w:tc>
        <w:tc>
          <w:tcPr>
            <w:tcW w:w="0" w:type="auto"/>
            <w:hideMark/>
          </w:tcPr>
          <w:p w14:paraId="6FB1DAF9"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Estudio centrado en el uso de misoprostol como maduración cervical previa al legrado en pacientes con aborto retenido menor de 12 semanas. El desenlace principal fue la necesidad de dilatación mecánica y la perforación uterina posterior al legrado, por lo que no evalúa el misoprostol como tratamiento médico definitivo para la resolución completa del aborto.</w:t>
            </w:r>
          </w:p>
        </w:tc>
      </w:tr>
      <w:tr w:rsidR="00665AD2" w:rsidRPr="00665AD2" w14:paraId="6C61563A" w14:textId="77777777" w:rsidTr="000A215B">
        <w:tc>
          <w:tcPr>
            <w:tcW w:w="0" w:type="auto"/>
            <w:hideMark/>
          </w:tcPr>
          <w:p w14:paraId="19F4C9CE"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6</w:t>
            </w:r>
          </w:p>
        </w:tc>
        <w:tc>
          <w:tcPr>
            <w:tcW w:w="0" w:type="auto"/>
            <w:hideMark/>
          </w:tcPr>
          <w:p w14:paraId="5EEE93A3"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Montesinos et al., 2011, Ecuador</w:t>
            </w:r>
          </w:p>
        </w:tc>
        <w:tc>
          <w:tcPr>
            <w:tcW w:w="0" w:type="auto"/>
            <w:hideMark/>
          </w:tcPr>
          <w:p w14:paraId="01A2D013"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Incluido</w:t>
            </w:r>
          </w:p>
        </w:tc>
        <w:tc>
          <w:tcPr>
            <w:tcW w:w="0" w:type="auto"/>
            <w:hideMark/>
          </w:tcPr>
          <w:p w14:paraId="5E15260B"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 xml:space="preserve">Estudio prospectivo aleatorizado que comparó misoprostol oral con aspiración manual endouterina en pacientes con aborto incompleto. Reporta desenlaces directamente </w:t>
            </w:r>
            <w:r w:rsidRPr="00665AD2">
              <w:rPr>
                <w:rFonts w:eastAsia="Times New Roman" w:cs="Arial"/>
                <w:sz w:val="22"/>
                <w:lang w:eastAsia="es-ES"/>
              </w:rPr>
              <w:lastRenderedPageBreak/>
              <w:t>relacionados con la revisión, incluyendo éxito del tratamiento, efectos adversos y satisfacción de las pacientes.</w:t>
            </w:r>
          </w:p>
        </w:tc>
      </w:tr>
      <w:tr w:rsidR="00665AD2" w:rsidRPr="00665AD2" w14:paraId="7A7EE331" w14:textId="77777777" w:rsidTr="000A215B">
        <w:tc>
          <w:tcPr>
            <w:tcW w:w="0" w:type="auto"/>
            <w:hideMark/>
          </w:tcPr>
          <w:p w14:paraId="6D35D964"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lastRenderedPageBreak/>
              <w:t>7</w:t>
            </w:r>
          </w:p>
        </w:tc>
        <w:tc>
          <w:tcPr>
            <w:tcW w:w="0" w:type="auto"/>
            <w:hideMark/>
          </w:tcPr>
          <w:p w14:paraId="45E1C7F1"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Arreaza-Graterol y Rodríguez, 2010, Colombia</w:t>
            </w:r>
          </w:p>
        </w:tc>
        <w:tc>
          <w:tcPr>
            <w:tcW w:w="0" w:type="auto"/>
            <w:hideMark/>
          </w:tcPr>
          <w:p w14:paraId="01C030B6"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Excluido</w:t>
            </w:r>
          </w:p>
        </w:tc>
        <w:tc>
          <w:tcPr>
            <w:tcW w:w="0" w:type="auto"/>
            <w:hideMark/>
          </w:tcPr>
          <w:p w14:paraId="45196685"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Ensayo clínico aleatorizado que comparó misoprostol intravaginal en monoterapia frente a metotrexato más misoprostol en pacientes con aborto retenido o embarazo anembrionado. Reporta desenlaces clínicos relevantes, incluyendo aborto completo, necesidad de dosis de rescate, necesidad de legrado uterino y complicaciones.</w:t>
            </w:r>
          </w:p>
        </w:tc>
      </w:tr>
      <w:tr w:rsidR="00665AD2" w:rsidRPr="00665AD2" w14:paraId="57A870E0" w14:textId="77777777" w:rsidTr="000A215B">
        <w:tc>
          <w:tcPr>
            <w:tcW w:w="0" w:type="auto"/>
          </w:tcPr>
          <w:p w14:paraId="70DECEB3" w14:textId="77777777" w:rsidR="00665AD2" w:rsidRPr="00665AD2" w:rsidRDefault="00665AD2" w:rsidP="000A215B">
            <w:pPr>
              <w:jc w:val="right"/>
              <w:rPr>
                <w:rFonts w:eastAsia="Times New Roman" w:cs="Arial"/>
                <w:sz w:val="22"/>
                <w:lang w:eastAsia="es-ES"/>
              </w:rPr>
            </w:pPr>
            <w:r w:rsidRPr="00665AD2">
              <w:rPr>
                <w:rFonts w:eastAsia="Times New Roman" w:cs="Arial"/>
                <w:sz w:val="22"/>
                <w:lang w:eastAsia="es-ES"/>
              </w:rPr>
              <w:t>8</w:t>
            </w:r>
          </w:p>
        </w:tc>
        <w:tc>
          <w:tcPr>
            <w:tcW w:w="0" w:type="auto"/>
          </w:tcPr>
          <w:p w14:paraId="2EACABA1" w14:textId="77777777" w:rsidR="00665AD2" w:rsidRPr="00665AD2" w:rsidRDefault="00665AD2" w:rsidP="000A215B">
            <w:pPr>
              <w:rPr>
                <w:rFonts w:eastAsia="Times New Roman" w:cs="Arial"/>
                <w:lang w:eastAsia="es-ES"/>
              </w:rPr>
            </w:pPr>
            <w:r w:rsidRPr="00665AD2">
              <w:rPr>
                <w:rFonts w:eastAsia="Times New Roman" w:cs="Arial"/>
                <w:lang w:eastAsia="es-ES"/>
              </w:rPr>
              <w:t>Estrada y Espinal, 2010</w:t>
            </w:r>
          </w:p>
          <w:p w14:paraId="31410A0B"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Honduras</w:t>
            </w:r>
          </w:p>
        </w:tc>
        <w:tc>
          <w:tcPr>
            <w:tcW w:w="0" w:type="auto"/>
          </w:tcPr>
          <w:p w14:paraId="272B1792"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Excluido</w:t>
            </w:r>
          </w:p>
        </w:tc>
        <w:tc>
          <w:tcPr>
            <w:tcW w:w="0" w:type="auto"/>
          </w:tcPr>
          <w:p w14:paraId="3B341222" w14:textId="77777777" w:rsidR="00665AD2" w:rsidRPr="00665AD2" w:rsidRDefault="00665AD2" w:rsidP="000A215B">
            <w:pPr>
              <w:rPr>
                <w:rFonts w:eastAsia="Times New Roman" w:cs="Arial"/>
                <w:sz w:val="22"/>
                <w:lang w:eastAsia="es-ES"/>
              </w:rPr>
            </w:pPr>
            <w:r w:rsidRPr="00665AD2">
              <w:rPr>
                <w:rFonts w:eastAsia="Times New Roman" w:cs="Arial"/>
                <w:sz w:val="22"/>
                <w:lang w:eastAsia="es-ES"/>
              </w:rPr>
              <w:t>Representa una publicación previa preliminar de los resultados del estudio de Estrada y Espinal, 2015, Honduras (publicación superpuesta)</w:t>
            </w:r>
          </w:p>
        </w:tc>
      </w:tr>
    </w:tbl>
    <w:p w14:paraId="73FF28FF" w14:textId="77777777" w:rsidR="00665AD2" w:rsidRDefault="00665AD2" w:rsidP="00665AD2"/>
    <w:p w14:paraId="3368A016" w14:textId="4FD24887" w:rsidR="00665AD2" w:rsidRDefault="00665AD2" w:rsidP="002101D1">
      <w:pPr>
        <w:rPr>
          <w:lang w:val="es-NI"/>
        </w:rPr>
      </w:pPr>
    </w:p>
    <w:p w14:paraId="7261B7B3" w14:textId="29D1513A" w:rsidR="00665AD2" w:rsidRDefault="00665AD2" w:rsidP="002101D1">
      <w:pPr>
        <w:rPr>
          <w:lang w:val="es-NI"/>
        </w:rPr>
      </w:pPr>
    </w:p>
    <w:p w14:paraId="5E25FA01" w14:textId="77777777" w:rsidR="00665AD2" w:rsidRPr="00B8712F" w:rsidRDefault="00665AD2" w:rsidP="002101D1">
      <w:pPr>
        <w:rPr>
          <w:lang w:val="es-NI"/>
        </w:rPr>
      </w:pPr>
    </w:p>
    <w:p w14:paraId="59421A29" w14:textId="77777777" w:rsidR="00C9695C" w:rsidRDefault="00C9695C" w:rsidP="002101D1">
      <w:pPr>
        <w:rPr>
          <w:lang w:val="es-NI"/>
        </w:rPr>
      </w:pPr>
    </w:p>
    <w:p w14:paraId="5DF9BBEB" w14:textId="77777777" w:rsidR="00BE0144" w:rsidRDefault="00BE0144" w:rsidP="002101D1">
      <w:pPr>
        <w:rPr>
          <w:lang w:val="es-NI"/>
        </w:rPr>
      </w:pPr>
    </w:p>
    <w:p w14:paraId="4B64C717" w14:textId="77777777" w:rsidR="00BE0144" w:rsidRDefault="00BE0144" w:rsidP="002101D1">
      <w:pPr>
        <w:rPr>
          <w:lang w:val="es-NI"/>
        </w:rPr>
      </w:pPr>
    </w:p>
    <w:p w14:paraId="6E41C019" w14:textId="77777777" w:rsidR="00BE0144" w:rsidRDefault="00BE0144" w:rsidP="002101D1">
      <w:pPr>
        <w:rPr>
          <w:lang w:val="es-NI"/>
        </w:rPr>
      </w:pPr>
    </w:p>
    <w:p w14:paraId="4954205A" w14:textId="77777777" w:rsidR="00BE0144" w:rsidRDefault="00BE0144" w:rsidP="002101D1">
      <w:pPr>
        <w:rPr>
          <w:lang w:val="es-NI"/>
        </w:rPr>
      </w:pPr>
    </w:p>
    <w:p w14:paraId="16E2C3A4" w14:textId="28D63B5A" w:rsidR="00BE0144" w:rsidRPr="00C5001F" w:rsidRDefault="00BE0144" w:rsidP="00BE0144">
      <w:pPr>
        <w:pStyle w:val="Descripcin"/>
      </w:pPr>
      <w:bookmarkStart w:id="86" w:name="_Toc232987043"/>
      <w:r w:rsidRPr="00BE0144">
        <w:rPr>
          <w:b/>
          <w:bCs/>
        </w:rPr>
        <w:lastRenderedPageBreak/>
        <w:t xml:space="preserve">Tabla S </w:t>
      </w:r>
      <w:r w:rsidRPr="00BE0144">
        <w:rPr>
          <w:b/>
          <w:bCs/>
        </w:rPr>
        <w:fldChar w:fldCharType="begin"/>
      </w:r>
      <w:r w:rsidRPr="00BE0144">
        <w:rPr>
          <w:b/>
          <w:bCs/>
        </w:rPr>
        <w:instrText xml:space="preserve"> SEQ Tabla_S \* ARABIC </w:instrText>
      </w:r>
      <w:r w:rsidRPr="00BE0144">
        <w:rPr>
          <w:b/>
          <w:bCs/>
        </w:rPr>
        <w:fldChar w:fldCharType="separate"/>
      </w:r>
      <w:r w:rsidRPr="00BE0144">
        <w:rPr>
          <w:b/>
          <w:bCs/>
          <w:noProof/>
        </w:rPr>
        <w:t>3</w:t>
      </w:r>
      <w:r w:rsidRPr="00BE0144">
        <w:rPr>
          <w:b/>
          <w:bCs/>
        </w:rPr>
        <w:fldChar w:fldCharType="end"/>
      </w:r>
      <w:r w:rsidRPr="00BE0144">
        <w:rPr>
          <w:b/>
          <w:bCs/>
        </w:rPr>
        <w:t>.</w:t>
      </w:r>
      <w:r w:rsidRPr="00BE0144">
        <w:t xml:space="preserve"> </w:t>
      </w:r>
      <w:r w:rsidRPr="00C5001F">
        <w:t>Características de estudios incluidos sobre misoprostol en aborto espontáneo o incompleto del primer trimestre</w:t>
      </w:r>
      <w:bookmarkEnd w:id="86"/>
    </w:p>
    <w:tbl>
      <w:tblPr>
        <w:tblStyle w:val="Tablaconcuadrcula"/>
        <w:tblW w:w="0" w:type="auto"/>
        <w:tblLook w:val="04A0" w:firstRow="1" w:lastRow="0" w:firstColumn="1" w:lastColumn="0" w:noHBand="0" w:noVBand="1"/>
      </w:tblPr>
      <w:tblGrid>
        <w:gridCol w:w="441"/>
        <w:gridCol w:w="1060"/>
        <w:gridCol w:w="932"/>
        <w:gridCol w:w="1133"/>
        <w:gridCol w:w="1344"/>
        <w:gridCol w:w="1344"/>
        <w:gridCol w:w="1280"/>
        <w:gridCol w:w="1399"/>
        <w:gridCol w:w="1244"/>
        <w:gridCol w:w="1390"/>
        <w:gridCol w:w="1427"/>
      </w:tblGrid>
      <w:tr w:rsidR="001B12A5" w:rsidRPr="001B12A5" w14:paraId="08D4FB40" w14:textId="77777777" w:rsidTr="001B12A5">
        <w:tc>
          <w:tcPr>
            <w:tcW w:w="0" w:type="auto"/>
            <w:shd w:val="clear" w:color="auto" w:fill="F2F2F2" w:themeFill="background1" w:themeFillShade="F2"/>
            <w:hideMark/>
          </w:tcPr>
          <w:p w14:paraId="147827CC" w14:textId="77777777" w:rsidR="001B12A5" w:rsidRPr="001B12A5" w:rsidRDefault="001B12A5" w:rsidP="001B12A5">
            <w:pPr>
              <w:spacing w:line="276" w:lineRule="auto"/>
              <w:jc w:val="right"/>
              <w:rPr>
                <w:rFonts w:eastAsia="Times New Roman" w:cs="Arial"/>
                <w:b/>
                <w:bCs/>
                <w:sz w:val="20"/>
                <w:szCs w:val="20"/>
                <w:lang w:eastAsia="es-ES"/>
              </w:rPr>
            </w:pPr>
            <w:r w:rsidRPr="001B12A5">
              <w:rPr>
                <w:rFonts w:eastAsia="Times New Roman" w:cs="Arial"/>
                <w:b/>
                <w:bCs/>
                <w:sz w:val="20"/>
                <w:szCs w:val="20"/>
                <w:lang w:eastAsia="es-ES"/>
              </w:rPr>
              <w:t>N.º</w:t>
            </w:r>
          </w:p>
        </w:tc>
        <w:tc>
          <w:tcPr>
            <w:tcW w:w="0" w:type="auto"/>
            <w:shd w:val="clear" w:color="auto" w:fill="F2F2F2" w:themeFill="background1" w:themeFillShade="F2"/>
            <w:hideMark/>
          </w:tcPr>
          <w:p w14:paraId="609B7FF2"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Autores y año</w:t>
            </w:r>
          </w:p>
        </w:tc>
        <w:tc>
          <w:tcPr>
            <w:tcW w:w="0" w:type="auto"/>
            <w:shd w:val="clear" w:color="auto" w:fill="F2F2F2" w:themeFill="background1" w:themeFillShade="F2"/>
            <w:hideMark/>
          </w:tcPr>
          <w:p w14:paraId="488841A7"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País</w:t>
            </w:r>
          </w:p>
        </w:tc>
        <w:tc>
          <w:tcPr>
            <w:tcW w:w="0" w:type="auto"/>
            <w:shd w:val="clear" w:color="auto" w:fill="F2F2F2" w:themeFill="background1" w:themeFillShade="F2"/>
            <w:hideMark/>
          </w:tcPr>
          <w:p w14:paraId="2E4B7C3C"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Tipo de publicación</w:t>
            </w:r>
          </w:p>
        </w:tc>
        <w:tc>
          <w:tcPr>
            <w:tcW w:w="0" w:type="auto"/>
            <w:shd w:val="clear" w:color="auto" w:fill="F2F2F2" w:themeFill="background1" w:themeFillShade="F2"/>
          </w:tcPr>
          <w:p w14:paraId="5B30AA63" w14:textId="40B94A90"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Objetivo primario del estudio</w:t>
            </w:r>
          </w:p>
        </w:tc>
        <w:tc>
          <w:tcPr>
            <w:tcW w:w="0" w:type="auto"/>
            <w:shd w:val="clear" w:color="auto" w:fill="F2F2F2" w:themeFill="background1" w:themeFillShade="F2"/>
            <w:hideMark/>
          </w:tcPr>
          <w:p w14:paraId="20E9D819" w14:textId="54BD923E"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Objetivo o comparación relevante para la revisión sistemática</w:t>
            </w:r>
          </w:p>
        </w:tc>
        <w:tc>
          <w:tcPr>
            <w:tcW w:w="0" w:type="auto"/>
            <w:shd w:val="clear" w:color="auto" w:fill="F2F2F2" w:themeFill="background1" w:themeFillShade="F2"/>
            <w:hideMark/>
          </w:tcPr>
          <w:p w14:paraId="461409CE"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Tipo de estudio / diseño</w:t>
            </w:r>
          </w:p>
        </w:tc>
        <w:tc>
          <w:tcPr>
            <w:tcW w:w="0" w:type="auto"/>
            <w:shd w:val="clear" w:color="auto" w:fill="F2F2F2" w:themeFill="background1" w:themeFillShade="F2"/>
            <w:hideMark/>
          </w:tcPr>
          <w:p w14:paraId="09C8EBB2"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Características de la población de estudio</w:t>
            </w:r>
          </w:p>
        </w:tc>
        <w:tc>
          <w:tcPr>
            <w:tcW w:w="0" w:type="auto"/>
            <w:shd w:val="clear" w:color="auto" w:fill="F2F2F2" w:themeFill="background1" w:themeFillShade="F2"/>
            <w:hideMark/>
          </w:tcPr>
          <w:p w14:paraId="7C06C68E"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Muestra, grupo de estudio y grupo comparador</w:t>
            </w:r>
          </w:p>
        </w:tc>
        <w:tc>
          <w:tcPr>
            <w:tcW w:w="0" w:type="auto"/>
            <w:shd w:val="clear" w:color="auto" w:fill="F2F2F2" w:themeFill="background1" w:themeFillShade="F2"/>
            <w:hideMark/>
          </w:tcPr>
          <w:p w14:paraId="2AFC2CF3" w14:textId="77777777" w:rsidR="001B12A5" w:rsidRPr="001B12A5" w:rsidRDefault="001B12A5" w:rsidP="001B12A5">
            <w:pPr>
              <w:spacing w:line="276" w:lineRule="auto"/>
              <w:jc w:val="center"/>
              <w:rPr>
                <w:rFonts w:eastAsia="Times New Roman" w:cs="Arial"/>
                <w:b/>
                <w:bCs/>
                <w:sz w:val="20"/>
                <w:szCs w:val="20"/>
                <w:lang w:eastAsia="es-ES"/>
              </w:rPr>
            </w:pPr>
            <w:r w:rsidRPr="001B12A5">
              <w:rPr>
                <w:rFonts w:eastAsia="Times New Roman" w:cs="Arial"/>
                <w:b/>
                <w:bCs/>
                <w:sz w:val="20"/>
                <w:szCs w:val="20"/>
                <w:lang w:eastAsia="es-ES"/>
              </w:rPr>
              <w:t>Resultado clínico evaluado</w:t>
            </w:r>
          </w:p>
        </w:tc>
        <w:tc>
          <w:tcPr>
            <w:tcW w:w="0" w:type="auto"/>
            <w:shd w:val="clear" w:color="auto" w:fill="F2F2F2" w:themeFill="background1" w:themeFillShade="F2"/>
            <w:hideMark/>
          </w:tcPr>
          <w:p w14:paraId="27552764" w14:textId="77777777" w:rsidR="001B12A5" w:rsidRPr="001B12A5" w:rsidRDefault="001B12A5" w:rsidP="001B12A5">
            <w:pPr>
              <w:spacing w:line="276" w:lineRule="auto"/>
              <w:jc w:val="left"/>
              <w:rPr>
                <w:rFonts w:eastAsia="Times New Roman" w:cs="Arial"/>
                <w:b/>
                <w:bCs/>
                <w:sz w:val="20"/>
                <w:szCs w:val="20"/>
                <w:lang w:eastAsia="es-ES"/>
              </w:rPr>
            </w:pPr>
            <w:r w:rsidRPr="001B12A5">
              <w:rPr>
                <w:rFonts w:eastAsia="Times New Roman" w:cs="Arial"/>
                <w:b/>
                <w:bCs/>
                <w:sz w:val="20"/>
                <w:szCs w:val="20"/>
                <w:lang w:eastAsia="es-ES"/>
              </w:rPr>
              <w:t>Resultados principales</w:t>
            </w:r>
          </w:p>
        </w:tc>
      </w:tr>
      <w:tr w:rsidR="001B12A5" w:rsidRPr="001B12A5" w14:paraId="3F877319" w14:textId="77777777" w:rsidTr="001B12A5">
        <w:tc>
          <w:tcPr>
            <w:tcW w:w="0" w:type="auto"/>
            <w:hideMark/>
          </w:tcPr>
          <w:p w14:paraId="6DB78A82"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t>1</w:t>
            </w:r>
          </w:p>
        </w:tc>
        <w:tc>
          <w:tcPr>
            <w:tcW w:w="0" w:type="auto"/>
            <w:hideMark/>
          </w:tcPr>
          <w:p w14:paraId="35498946"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Montesinos et al., 2011</w:t>
            </w:r>
          </w:p>
        </w:tc>
        <w:tc>
          <w:tcPr>
            <w:tcW w:w="0" w:type="auto"/>
            <w:hideMark/>
          </w:tcPr>
          <w:p w14:paraId="61241992"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Ecuador</w:t>
            </w:r>
          </w:p>
        </w:tc>
        <w:tc>
          <w:tcPr>
            <w:tcW w:w="0" w:type="auto"/>
            <w:hideMark/>
          </w:tcPr>
          <w:p w14:paraId="40F5D965"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Artículo publicado</w:t>
            </w:r>
          </w:p>
        </w:tc>
        <w:tc>
          <w:tcPr>
            <w:tcW w:w="0" w:type="auto"/>
          </w:tcPr>
          <w:p w14:paraId="7149EB33" w14:textId="1F6E4238"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Determinar la eficacia del manejo médico con misoprostol utilizando el protocolo FIGO 2017 para el tratamiento del aborto espontáneo del primer trimestre.</w:t>
            </w:r>
          </w:p>
        </w:tc>
        <w:tc>
          <w:tcPr>
            <w:tcW w:w="0" w:type="auto"/>
            <w:hideMark/>
          </w:tcPr>
          <w:p w14:paraId="32A1CBFD" w14:textId="272AF6F1"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Comparar misoprostol oral con aspiración manual endouterina para el tratamiento del aborto incompleto.</w:t>
            </w:r>
          </w:p>
        </w:tc>
        <w:tc>
          <w:tcPr>
            <w:tcW w:w="0" w:type="auto"/>
            <w:hideMark/>
          </w:tcPr>
          <w:p w14:paraId="041B69A7"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prospectivo aleatorizado.</w:t>
            </w:r>
          </w:p>
        </w:tc>
        <w:tc>
          <w:tcPr>
            <w:tcW w:w="0" w:type="auto"/>
            <w:hideMark/>
          </w:tcPr>
          <w:p w14:paraId="2AB0DCBF"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Mujeres con aborto incompleto, cuello uterino abierto, sangrado vaginal y tamaño uterino ≤12 semanas, atendidas en un hospital materno de tercer nivel y una clínica secundaria en Quito.</w:t>
            </w:r>
          </w:p>
        </w:tc>
        <w:tc>
          <w:tcPr>
            <w:tcW w:w="0" w:type="auto"/>
            <w:hideMark/>
          </w:tcPr>
          <w:p w14:paraId="5E116440"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242 pacientes. Misoprostol oral 600 mcg (n = 122). Aspiración manual endouterina (n = 120).</w:t>
            </w:r>
          </w:p>
        </w:tc>
        <w:tc>
          <w:tcPr>
            <w:tcW w:w="0" w:type="auto"/>
            <w:hideMark/>
          </w:tcPr>
          <w:p w14:paraId="5C3FD56C"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Éxito del tratamiento, evacuación uterina completa, fracaso terapéutico, efectos adversos, tolerabilidad y satisfacción.</w:t>
            </w:r>
          </w:p>
        </w:tc>
        <w:tc>
          <w:tcPr>
            <w:tcW w:w="0" w:type="auto"/>
            <w:hideMark/>
          </w:tcPr>
          <w:p w14:paraId="17EB78D6"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t xml:space="preserve">Pérdida de seguimiento: 13,1% en misoprostol vs. 19,2% en AMEU. Entre quienes completaron seguimiento, éxito global: 94,3% con misoprostol vs. 100% con AMEU; RR 0,94 (IC 95%: 0,90–0,99). Fracaso con misoprostol: 5,7%; fracaso con AMEU: 0%. Efectos adversos </w:t>
            </w:r>
            <w:r w:rsidRPr="001B12A5">
              <w:rPr>
                <w:rFonts w:eastAsia="Times New Roman" w:cs="Arial"/>
                <w:sz w:val="20"/>
                <w:szCs w:val="20"/>
                <w:lang w:eastAsia="es-ES"/>
              </w:rPr>
              <w:lastRenderedPageBreak/>
              <w:t>tolerables: 95% con misoprostol vs. 91% con AMEU.</w:t>
            </w:r>
          </w:p>
        </w:tc>
      </w:tr>
      <w:tr w:rsidR="001B12A5" w:rsidRPr="001B12A5" w14:paraId="51CCB516" w14:textId="77777777" w:rsidTr="001B12A5">
        <w:tc>
          <w:tcPr>
            <w:tcW w:w="0" w:type="auto"/>
            <w:hideMark/>
          </w:tcPr>
          <w:p w14:paraId="4A575941"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lastRenderedPageBreak/>
              <w:t>2</w:t>
            </w:r>
          </w:p>
        </w:tc>
        <w:tc>
          <w:tcPr>
            <w:tcW w:w="0" w:type="auto"/>
            <w:hideMark/>
          </w:tcPr>
          <w:p w14:paraId="1407DDE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Estrada y Espinal, 2015</w:t>
            </w:r>
          </w:p>
        </w:tc>
        <w:tc>
          <w:tcPr>
            <w:tcW w:w="0" w:type="auto"/>
            <w:hideMark/>
          </w:tcPr>
          <w:p w14:paraId="0CD948E8"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Honduras</w:t>
            </w:r>
          </w:p>
        </w:tc>
        <w:tc>
          <w:tcPr>
            <w:tcW w:w="0" w:type="auto"/>
            <w:hideMark/>
          </w:tcPr>
          <w:p w14:paraId="06CE992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Artículo publicado</w:t>
            </w:r>
          </w:p>
        </w:tc>
        <w:tc>
          <w:tcPr>
            <w:tcW w:w="0" w:type="auto"/>
          </w:tcPr>
          <w:p w14:paraId="57F42372" w14:textId="63EF11E4"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Determinar la utilidad del misoprostol en pacientes con diagnóstico de aborto incompleto.</w:t>
            </w:r>
          </w:p>
        </w:tc>
        <w:tc>
          <w:tcPr>
            <w:tcW w:w="0" w:type="auto"/>
            <w:hideMark/>
          </w:tcPr>
          <w:p w14:paraId="3ED6B288" w14:textId="405F0C3A"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Determinar la utilidad del misoprostol oral en pacientes con diagnóstico de aborto incompleto.</w:t>
            </w:r>
          </w:p>
        </w:tc>
        <w:tc>
          <w:tcPr>
            <w:tcW w:w="0" w:type="auto"/>
            <w:hideMark/>
          </w:tcPr>
          <w:p w14:paraId="4D8BCFD1"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clínico.</w:t>
            </w:r>
          </w:p>
        </w:tc>
        <w:tc>
          <w:tcPr>
            <w:tcW w:w="0" w:type="auto"/>
            <w:hideMark/>
          </w:tcPr>
          <w:p w14:paraId="07B0588D"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Pacientes atendidas en el Departamento de Ginecología y Obstetricia del Hospital Escuela con diagnóstico de aborto incompleto y seguimiento hasta el séptimo día posterior al alta.</w:t>
            </w:r>
          </w:p>
        </w:tc>
        <w:tc>
          <w:tcPr>
            <w:tcW w:w="0" w:type="auto"/>
            <w:hideMark/>
          </w:tcPr>
          <w:p w14:paraId="1341C19D"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100 pacientes tratadas con misoprostol oral 800 mcg. Sin grupo comparador formal.</w:t>
            </w:r>
          </w:p>
        </w:tc>
        <w:tc>
          <w:tcPr>
            <w:tcW w:w="0" w:type="auto"/>
            <w:hideMark/>
          </w:tcPr>
          <w:p w14:paraId="5CAD53D7"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Éxito terapéutico, fracaso del tratamiento, necesidad posterior de curetaje y complicaciones.</w:t>
            </w:r>
          </w:p>
        </w:tc>
        <w:tc>
          <w:tcPr>
            <w:tcW w:w="0" w:type="auto"/>
            <w:hideMark/>
          </w:tcPr>
          <w:p w14:paraId="0076349A"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t>Éxito terapéutico: 81%. Fracaso terapéutico: 19%, tratado posteriormente con curetaje sin complicaciones posteriores. Se reportó un caso de sangrado clínicamente significativo, sin necesidad de transfusión, resuelto con curetaje.</w:t>
            </w:r>
          </w:p>
        </w:tc>
      </w:tr>
      <w:tr w:rsidR="001B12A5" w:rsidRPr="001B12A5" w14:paraId="2B2D4CA1" w14:textId="77777777" w:rsidTr="001B12A5">
        <w:tc>
          <w:tcPr>
            <w:tcW w:w="0" w:type="auto"/>
            <w:hideMark/>
          </w:tcPr>
          <w:p w14:paraId="354BEF3A"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t>3</w:t>
            </w:r>
          </w:p>
        </w:tc>
        <w:tc>
          <w:tcPr>
            <w:tcW w:w="0" w:type="auto"/>
            <w:hideMark/>
          </w:tcPr>
          <w:p w14:paraId="3D254808"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Sepúlveda Rivera et al., 2019</w:t>
            </w:r>
          </w:p>
        </w:tc>
        <w:tc>
          <w:tcPr>
            <w:tcW w:w="0" w:type="auto"/>
            <w:hideMark/>
          </w:tcPr>
          <w:p w14:paraId="5A492B14"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México</w:t>
            </w:r>
          </w:p>
        </w:tc>
        <w:tc>
          <w:tcPr>
            <w:tcW w:w="0" w:type="auto"/>
            <w:hideMark/>
          </w:tcPr>
          <w:p w14:paraId="440685BE"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Artículo publicado</w:t>
            </w:r>
          </w:p>
        </w:tc>
        <w:tc>
          <w:tcPr>
            <w:tcW w:w="0" w:type="auto"/>
          </w:tcPr>
          <w:p w14:paraId="4FF3FD6A" w14:textId="658E56D4"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Demostrar la eficacia del uso de misoprostol para el tratamiento </w:t>
            </w:r>
            <w:r w:rsidRPr="001B12A5">
              <w:rPr>
                <w:rFonts w:eastAsia="Times New Roman" w:cs="Arial"/>
                <w:sz w:val="20"/>
                <w:szCs w:val="20"/>
                <w:lang w:eastAsia="es-ES"/>
              </w:rPr>
              <w:lastRenderedPageBreak/>
              <w:t>de abortos menores de 12 semanas de gestación en pacientes atendidas en emergencia gineco-obstétrica.</w:t>
            </w:r>
          </w:p>
        </w:tc>
        <w:tc>
          <w:tcPr>
            <w:tcW w:w="0" w:type="auto"/>
            <w:hideMark/>
          </w:tcPr>
          <w:p w14:paraId="49459DF1" w14:textId="508238BA"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Evaluar la eficacia del manejo médico con misoprostol utilizando el </w:t>
            </w:r>
            <w:r w:rsidRPr="001B12A5">
              <w:rPr>
                <w:rFonts w:eastAsia="Times New Roman" w:cs="Arial"/>
                <w:sz w:val="20"/>
                <w:szCs w:val="20"/>
                <w:lang w:eastAsia="es-ES"/>
              </w:rPr>
              <w:lastRenderedPageBreak/>
              <w:t>protocolo FIGO 2017 para aborto espontáneo del primer trimestre.</w:t>
            </w:r>
          </w:p>
        </w:tc>
        <w:tc>
          <w:tcPr>
            <w:tcW w:w="0" w:type="auto"/>
            <w:hideMark/>
          </w:tcPr>
          <w:p w14:paraId="0EC9112D"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Estudio transversal.</w:t>
            </w:r>
          </w:p>
        </w:tc>
        <w:tc>
          <w:tcPr>
            <w:tcW w:w="0" w:type="auto"/>
            <w:hideMark/>
          </w:tcPr>
          <w:p w14:paraId="52A4B108"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Pacientes con diagnóstico de aborto espontáneo del primer </w:t>
            </w:r>
            <w:r w:rsidRPr="001B12A5">
              <w:rPr>
                <w:rFonts w:eastAsia="Times New Roman" w:cs="Arial"/>
                <w:sz w:val="20"/>
                <w:szCs w:val="20"/>
                <w:lang w:eastAsia="es-ES"/>
              </w:rPr>
              <w:lastRenderedPageBreak/>
              <w:t>trimestre atendidas en el Instituto Nacional de Perinatología de Ciudad de México.</w:t>
            </w:r>
          </w:p>
        </w:tc>
        <w:tc>
          <w:tcPr>
            <w:tcW w:w="0" w:type="auto"/>
            <w:hideMark/>
          </w:tcPr>
          <w:p w14:paraId="132856E7"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Total: 76 pacientes tratadas con misoprostol según </w:t>
            </w:r>
            <w:r w:rsidRPr="001B12A5">
              <w:rPr>
                <w:rFonts w:eastAsia="Times New Roman" w:cs="Arial"/>
                <w:sz w:val="20"/>
                <w:szCs w:val="20"/>
                <w:lang w:eastAsia="es-ES"/>
              </w:rPr>
              <w:lastRenderedPageBreak/>
              <w:t>esquema FIGO 2017. Sin comparador terapéutico formal.</w:t>
            </w:r>
          </w:p>
        </w:tc>
        <w:tc>
          <w:tcPr>
            <w:tcW w:w="0" w:type="auto"/>
            <w:hideMark/>
          </w:tcPr>
          <w:p w14:paraId="0D9A8AFA"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Evacuación uterina completa, tipo de aborto tratado y </w:t>
            </w:r>
            <w:r w:rsidRPr="001B12A5">
              <w:rPr>
                <w:rFonts w:eastAsia="Times New Roman" w:cs="Arial"/>
                <w:sz w:val="20"/>
                <w:szCs w:val="20"/>
                <w:lang w:eastAsia="es-ES"/>
              </w:rPr>
              <w:lastRenderedPageBreak/>
              <w:t>efectos adversos.</w:t>
            </w:r>
          </w:p>
        </w:tc>
        <w:tc>
          <w:tcPr>
            <w:tcW w:w="0" w:type="auto"/>
            <w:hideMark/>
          </w:tcPr>
          <w:p w14:paraId="7CD24EFD"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lastRenderedPageBreak/>
              <w:t xml:space="preserve">Indicaciones de inclusión: aborto diferido 57,9%, aborto </w:t>
            </w:r>
            <w:r w:rsidRPr="001B12A5">
              <w:rPr>
                <w:rFonts w:eastAsia="Times New Roman" w:cs="Arial"/>
                <w:sz w:val="20"/>
                <w:szCs w:val="20"/>
                <w:lang w:eastAsia="es-ES"/>
              </w:rPr>
              <w:lastRenderedPageBreak/>
              <w:t>incompleto 25,0% y embarazo anembrionado 17,1%. Evacuación uterina completa: 98,6%. Efecto adverso más frecuente: sangrado vaginal asociado a dolor pélvico en 72,3% de las pacientes.</w:t>
            </w:r>
          </w:p>
        </w:tc>
      </w:tr>
      <w:tr w:rsidR="001B12A5" w:rsidRPr="001B12A5" w14:paraId="0336035B" w14:textId="77777777" w:rsidTr="001B12A5">
        <w:tc>
          <w:tcPr>
            <w:tcW w:w="0" w:type="auto"/>
            <w:hideMark/>
          </w:tcPr>
          <w:p w14:paraId="03E174C3"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lastRenderedPageBreak/>
              <w:t>4</w:t>
            </w:r>
          </w:p>
        </w:tc>
        <w:tc>
          <w:tcPr>
            <w:tcW w:w="0" w:type="auto"/>
            <w:hideMark/>
          </w:tcPr>
          <w:p w14:paraId="7B49201F"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Martínez-Rodas et al., 2020</w:t>
            </w:r>
          </w:p>
        </w:tc>
        <w:tc>
          <w:tcPr>
            <w:tcW w:w="0" w:type="auto"/>
            <w:hideMark/>
          </w:tcPr>
          <w:p w14:paraId="3F6249CF"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Honduras</w:t>
            </w:r>
          </w:p>
        </w:tc>
        <w:tc>
          <w:tcPr>
            <w:tcW w:w="0" w:type="auto"/>
            <w:hideMark/>
          </w:tcPr>
          <w:p w14:paraId="38B6707A"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Artículo publicado</w:t>
            </w:r>
          </w:p>
        </w:tc>
        <w:tc>
          <w:tcPr>
            <w:tcW w:w="0" w:type="auto"/>
          </w:tcPr>
          <w:p w14:paraId="6459F2AA" w14:textId="20A5FEA6"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Describir las características del tratamiento del aborto espontáneo incompleto en mujeres de 18 a 45 años atendidas en un hospital de Lima, Perú.</w:t>
            </w:r>
          </w:p>
        </w:tc>
        <w:tc>
          <w:tcPr>
            <w:tcW w:w="0" w:type="auto"/>
            <w:hideMark/>
          </w:tcPr>
          <w:p w14:paraId="4A05CFD6" w14:textId="282161BB"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Evaluar la eficacia del misoprostol como tratamiento en abortos menores de 12 semanas.</w:t>
            </w:r>
          </w:p>
        </w:tc>
        <w:tc>
          <w:tcPr>
            <w:tcW w:w="0" w:type="auto"/>
            <w:hideMark/>
          </w:tcPr>
          <w:p w14:paraId="5C032493"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descriptivo, transversal y prospectivo.</w:t>
            </w:r>
          </w:p>
        </w:tc>
        <w:tc>
          <w:tcPr>
            <w:tcW w:w="0" w:type="auto"/>
            <w:hideMark/>
          </w:tcPr>
          <w:p w14:paraId="7F9F0173"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Pacientes con abortos menores de 12 semanas atendidas en la emergencia de Ginecología y Obstetricia del Hospital Materno Infantil de Tegucigalpa.</w:t>
            </w:r>
          </w:p>
        </w:tc>
        <w:tc>
          <w:tcPr>
            <w:tcW w:w="0" w:type="auto"/>
            <w:hideMark/>
          </w:tcPr>
          <w:p w14:paraId="1207A81E"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155 pacientes tratadas con misoprostol. Sin comparador terapéutico formal.</w:t>
            </w:r>
          </w:p>
        </w:tc>
        <w:tc>
          <w:tcPr>
            <w:tcW w:w="0" w:type="auto"/>
            <w:hideMark/>
          </w:tcPr>
          <w:p w14:paraId="4AC94CCE"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Expulsión completa, número de dosis requeridas, tiempo hasta la expulsión, efectos secundarios, fallo del método, hemorragia y necesidad de </w:t>
            </w:r>
            <w:r w:rsidRPr="001B12A5">
              <w:rPr>
                <w:rFonts w:eastAsia="Times New Roman" w:cs="Arial"/>
                <w:sz w:val="20"/>
                <w:szCs w:val="20"/>
                <w:lang w:eastAsia="es-ES"/>
              </w:rPr>
              <w:lastRenderedPageBreak/>
              <w:t>procedimiento posterior.</w:t>
            </w:r>
          </w:p>
        </w:tc>
        <w:tc>
          <w:tcPr>
            <w:tcW w:w="0" w:type="auto"/>
            <w:hideMark/>
          </w:tcPr>
          <w:p w14:paraId="279466BC"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lastRenderedPageBreak/>
              <w:t xml:space="preserve">Dosis administradas: 1 dosis en 40,0%, 2 dosis en 37,42% y 3 dosis en 22,58%. Efectos secundarios: náuseas 86,45%, vómitos 36,13%, </w:t>
            </w:r>
            <w:r w:rsidRPr="001B12A5">
              <w:rPr>
                <w:rFonts w:eastAsia="Times New Roman" w:cs="Arial"/>
                <w:sz w:val="20"/>
                <w:szCs w:val="20"/>
                <w:lang w:eastAsia="es-ES"/>
              </w:rPr>
              <w:lastRenderedPageBreak/>
              <w:t>fiebre 23,87% y diarrea 11,61%. Complicaciones: fallo del método 7,74% y hemorragia 2,58%. Entre quienes presentaron complicaciones, el procedimiento posterior fue AMEU en 87,5% y LUI en 12,5%.</w:t>
            </w:r>
          </w:p>
        </w:tc>
      </w:tr>
      <w:tr w:rsidR="001B12A5" w:rsidRPr="001B12A5" w14:paraId="7C08ED3F" w14:textId="77777777" w:rsidTr="001B12A5">
        <w:tc>
          <w:tcPr>
            <w:tcW w:w="0" w:type="auto"/>
            <w:hideMark/>
          </w:tcPr>
          <w:p w14:paraId="4A2B715B"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lastRenderedPageBreak/>
              <w:t>5</w:t>
            </w:r>
          </w:p>
        </w:tc>
        <w:tc>
          <w:tcPr>
            <w:tcW w:w="0" w:type="auto"/>
            <w:hideMark/>
          </w:tcPr>
          <w:p w14:paraId="7FA88BD8"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Alvarado-Franco et al., 2025</w:t>
            </w:r>
          </w:p>
        </w:tc>
        <w:tc>
          <w:tcPr>
            <w:tcW w:w="0" w:type="auto"/>
            <w:hideMark/>
          </w:tcPr>
          <w:p w14:paraId="0009E1DF"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Perú</w:t>
            </w:r>
          </w:p>
        </w:tc>
        <w:tc>
          <w:tcPr>
            <w:tcW w:w="0" w:type="auto"/>
            <w:hideMark/>
          </w:tcPr>
          <w:p w14:paraId="162AD9FE"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Artículo publicado</w:t>
            </w:r>
          </w:p>
        </w:tc>
        <w:tc>
          <w:tcPr>
            <w:tcW w:w="0" w:type="auto"/>
          </w:tcPr>
          <w:p w14:paraId="6CD55846" w14:textId="1B26F4E8"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Evaluar la factibilidad de introducir misoprostol para el tratamiento del aborto incompleto en Quito, Ecuador.</w:t>
            </w:r>
          </w:p>
        </w:tc>
        <w:tc>
          <w:tcPr>
            <w:tcW w:w="0" w:type="auto"/>
            <w:hideMark/>
          </w:tcPr>
          <w:p w14:paraId="04F99EAD" w14:textId="0B0A61FE"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Describir las características del tratamiento del aborto espontáneo incompleto, incluyendo manejo expectante, farmacológico con misoprostol y quirúrgico.</w:t>
            </w:r>
          </w:p>
        </w:tc>
        <w:tc>
          <w:tcPr>
            <w:tcW w:w="0" w:type="auto"/>
            <w:hideMark/>
          </w:tcPr>
          <w:p w14:paraId="7748F2DC"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observacional, retrospectivo y descriptivo.</w:t>
            </w:r>
          </w:p>
        </w:tc>
        <w:tc>
          <w:tcPr>
            <w:tcW w:w="0" w:type="auto"/>
            <w:hideMark/>
          </w:tcPr>
          <w:p w14:paraId="4499C96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Mujeres de 18 a 45 años con diagnóstico de aborto espontáneo incompleto atendidas en el Hospital III Suárez Angamos de Lima.</w:t>
            </w:r>
          </w:p>
        </w:tc>
        <w:tc>
          <w:tcPr>
            <w:tcW w:w="0" w:type="auto"/>
            <w:hideMark/>
          </w:tcPr>
          <w:p w14:paraId="5AD0DA12"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321 pacientes. Tratamiento expectante (n = 32), tratamiento farmacológico con misoprostol (n = 173) y tratamiento quirúrgico (n = 116).</w:t>
            </w:r>
          </w:p>
        </w:tc>
        <w:tc>
          <w:tcPr>
            <w:tcW w:w="0" w:type="auto"/>
            <w:hideMark/>
          </w:tcPr>
          <w:p w14:paraId="194ADA54"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Tipo de tratamiento recibido, características clínicas y ecográficas asociadas, necesidad de tratamiento adicional y modalidad de </w:t>
            </w:r>
            <w:r w:rsidRPr="001B12A5">
              <w:rPr>
                <w:rFonts w:eastAsia="Times New Roman" w:cs="Arial"/>
                <w:sz w:val="20"/>
                <w:szCs w:val="20"/>
                <w:lang w:eastAsia="es-ES"/>
              </w:rPr>
              <w:lastRenderedPageBreak/>
              <w:t>tratamiento adicional.</w:t>
            </w:r>
          </w:p>
        </w:tc>
        <w:tc>
          <w:tcPr>
            <w:tcW w:w="0" w:type="auto"/>
            <w:hideMark/>
          </w:tcPr>
          <w:p w14:paraId="67A690AB"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lastRenderedPageBreak/>
              <w:t xml:space="preserve">Tratamiento farmacológico con misoprostol: 53,9%; tratamiento quirúrgico: 36,1%; tratamiento expectante: 10,0%. El tratamiento quirúrgico fue más </w:t>
            </w:r>
            <w:r w:rsidRPr="001B12A5">
              <w:rPr>
                <w:rFonts w:eastAsia="Times New Roman" w:cs="Arial"/>
                <w:sz w:val="20"/>
                <w:szCs w:val="20"/>
                <w:lang w:eastAsia="es-ES"/>
              </w:rPr>
              <w:lastRenderedPageBreak/>
              <w:t xml:space="preserve">frecuente ante grosor endometrial ≥30 mm y tamaño uterino ≥12 cm. Entre las pacientes reevaluadas, requirieron tratamiento adicional 50,0% del grupo expectante y 36,3% del grupo farmacológico; no se reportó tratamiento adicional en el grupo quirúrgico. En los tratamientos adicionales farmacológicos, el fármaco utilizado fue misoprostol </w:t>
            </w:r>
            <w:r w:rsidRPr="001B12A5">
              <w:rPr>
                <w:rFonts w:eastAsia="Times New Roman" w:cs="Arial"/>
                <w:sz w:val="20"/>
                <w:szCs w:val="20"/>
                <w:lang w:eastAsia="es-ES"/>
              </w:rPr>
              <w:lastRenderedPageBreak/>
              <w:t>en 100% de los casos.</w:t>
            </w:r>
          </w:p>
        </w:tc>
      </w:tr>
      <w:tr w:rsidR="001B12A5" w:rsidRPr="001B12A5" w14:paraId="100BD47C" w14:textId="77777777" w:rsidTr="001B12A5">
        <w:tc>
          <w:tcPr>
            <w:tcW w:w="0" w:type="auto"/>
            <w:hideMark/>
          </w:tcPr>
          <w:p w14:paraId="7D829720"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lastRenderedPageBreak/>
              <w:t>6</w:t>
            </w:r>
          </w:p>
        </w:tc>
        <w:tc>
          <w:tcPr>
            <w:tcW w:w="0" w:type="auto"/>
            <w:hideMark/>
          </w:tcPr>
          <w:p w14:paraId="15EC8F9A"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Chérrez Ramos y Arévalo Villanueva, 2021</w:t>
            </w:r>
          </w:p>
        </w:tc>
        <w:tc>
          <w:tcPr>
            <w:tcW w:w="0" w:type="auto"/>
            <w:hideMark/>
          </w:tcPr>
          <w:p w14:paraId="2F4DCCD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Ecuador</w:t>
            </w:r>
          </w:p>
        </w:tc>
        <w:tc>
          <w:tcPr>
            <w:tcW w:w="0" w:type="auto"/>
            <w:hideMark/>
          </w:tcPr>
          <w:p w14:paraId="56B8B317"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Tesis</w:t>
            </w:r>
          </w:p>
        </w:tc>
        <w:tc>
          <w:tcPr>
            <w:tcW w:w="0" w:type="auto"/>
          </w:tcPr>
          <w:p w14:paraId="07BC32D2" w14:textId="120BA70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Comparar la eficacia del manejo clínico con misoprostol frente al legrado uterino instrumental en pacientes con aborto incompleto atendidas en el Hospital Carlos Andrade Marín, Quito, durante el período 2020–2021.</w:t>
            </w:r>
          </w:p>
        </w:tc>
        <w:tc>
          <w:tcPr>
            <w:tcW w:w="0" w:type="auto"/>
            <w:hideMark/>
          </w:tcPr>
          <w:p w14:paraId="06BB68C7" w14:textId="384CE310"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Comparar el manejo con misoprostol frente al legrado uterino instrumental en pacientes con aborto incompleto.</w:t>
            </w:r>
          </w:p>
        </w:tc>
        <w:tc>
          <w:tcPr>
            <w:tcW w:w="0" w:type="auto"/>
            <w:hideMark/>
          </w:tcPr>
          <w:p w14:paraId="5EAF5197"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retrospectivo, descriptivo, no experimental y de corte transversal.</w:t>
            </w:r>
          </w:p>
        </w:tc>
        <w:tc>
          <w:tcPr>
            <w:tcW w:w="0" w:type="auto"/>
            <w:hideMark/>
          </w:tcPr>
          <w:p w14:paraId="06D9E9A5"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Mujeres de 25 a 35 años con diagnóstico de aborto incompleto, atendidas en el Hospital de Especialidades Carlos Andrade Marín, Quito, durante 2020–2021.</w:t>
            </w:r>
          </w:p>
        </w:tc>
        <w:tc>
          <w:tcPr>
            <w:tcW w:w="0" w:type="auto"/>
            <w:hideMark/>
          </w:tcPr>
          <w:p w14:paraId="70E525F9"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37 pacientes. Misoprostol (n = 14) y legrado uterino instrumental (n = 23).</w:t>
            </w:r>
          </w:p>
        </w:tc>
        <w:tc>
          <w:tcPr>
            <w:tcW w:w="0" w:type="auto"/>
            <w:hideMark/>
          </w:tcPr>
          <w:p w14:paraId="21EEA2C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Eficacia del manejo, fallo terapéutico, necesidad de procedimiento complementario y complicaciones.</w:t>
            </w:r>
          </w:p>
        </w:tc>
        <w:tc>
          <w:tcPr>
            <w:tcW w:w="0" w:type="auto"/>
            <w:hideMark/>
          </w:tcPr>
          <w:p w14:paraId="5AE7F76C"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t>Eficacia dentro de cada grupo: misoprostol 28,6% y legrado uterino instrumental 87,0%. Fallo del manejo: misoprostol 71,4% y legrado 13,0%. El legrado representó 62,2% de los manejos realizados. Asociación entre tipo de manejo y eficacia: χ² = 13,017; p = 0.</w:t>
            </w:r>
          </w:p>
        </w:tc>
      </w:tr>
      <w:tr w:rsidR="001B12A5" w:rsidRPr="001B12A5" w14:paraId="15A1F67D" w14:textId="77777777" w:rsidTr="001B12A5">
        <w:tc>
          <w:tcPr>
            <w:tcW w:w="0" w:type="auto"/>
            <w:hideMark/>
          </w:tcPr>
          <w:p w14:paraId="30E36241"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t>7</w:t>
            </w:r>
          </w:p>
        </w:tc>
        <w:tc>
          <w:tcPr>
            <w:tcW w:w="0" w:type="auto"/>
            <w:hideMark/>
          </w:tcPr>
          <w:p w14:paraId="1E3D1CD9"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Rueda Espinel, 2022</w:t>
            </w:r>
          </w:p>
        </w:tc>
        <w:tc>
          <w:tcPr>
            <w:tcW w:w="0" w:type="auto"/>
            <w:hideMark/>
          </w:tcPr>
          <w:p w14:paraId="29888461"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Colombia</w:t>
            </w:r>
          </w:p>
        </w:tc>
        <w:tc>
          <w:tcPr>
            <w:tcW w:w="0" w:type="auto"/>
            <w:hideMark/>
          </w:tcPr>
          <w:p w14:paraId="754B4504"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Tesis</w:t>
            </w:r>
          </w:p>
        </w:tc>
        <w:tc>
          <w:tcPr>
            <w:tcW w:w="0" w:type="auto"/>
          </w:tcPr>
          <w:p w14:paraId="57D54DF0" w14:textId="64136ED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Identificar los factores clínicos asociados al éxito del manejo </w:t>
            </w:r>
            <w:r w:rsidRPr="001B12A5">
              <w:rPr>
                <w:rFonts w:eastAsia="Times New Roman" w:cs="Arial"/>
                <w:sz w:val="20"/>
                <w:szCs w:val="20"/>
                <w:lang w:eastAsia="es-ES"/>
              </w:rPr>
              <w:lastRenderedPageBreak/>
              <w:t>intramural del aborto espontáneo con misoprostol.</w:t>
            </w:r>
          </w:p>
        </w:tc>
        <w:tc>
          <w:tcPr>
            <w:tcW w:w="0" w:type="auto"/>
            <w:hideMark/>
          </w:tcPr>
          <w:p w14:paraId="63A3AB1A" w14:textId="06050D1B"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Identificar factores clínicos asociados al éxito del manejo </w:t>
            </w:r>
            <w:r w:rsidRPr="001B12A5">
              <w:rPr>
                <w:rFonts w:eastAsia="Times New Roman" w:cs="Arial"/>
                <w:sz w:val="20"/>
                <w:szCs w:val="20"/>
                <w:lang w:eastAsia="es-ES"/>
              </w:rPr>
              <w:lastRenderedPageBreak/>
              <w:t>intramural del aborto espontáneo con misoprostol.</w:t>
            </w:r>
          </w:p>
        </w:tc>
        <w:tc>
          <w:tcPr>
            <w:tcW w:w="0" w:type="auto"/>
            <w:hideMark/>
          </w:tcPr>
          <w:p w14:paraId="18E80001"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Cohorte prospectiva con seguimiento durante un mes.</w:t>
            </w:r>
          </w:p>
        </w:tc>
        <w:tc>
          <w:tcPr>
            <w:tcW w:w="0" w:type="auto"/>
            <w:hideMark/>
          </w:tcPr>
          <w:p w14:paraId="1754EDFF"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 xml:space="preserve">Pacientes con diagnóstico de aborto espontáneo tratadas con </w:t>
            </w:r>
            <w:r w:rsidRPr="001B12A5">
              <w:rPr>
                <w:rFonts w:eastAsia="Times New Roman" w:cs="Arial"/>
                <w:sz w:val="20"/>
                <w:szCs w:val="20"/>
                <w:lang w:eastAsia="es-ES"/>
              </w:rPr>
              <w:lastRenderedPageBreak/>
              <w:t>misoprostol según esquema institucional, con seguimiento clínico y telefónico posterior.</w:t>
            </w:r>
          </w:p>
        </w:tc>
        <w:tc>
          <w:tcPr>
            <w:tcW w:w="0" w:type="auto"/>
            <w:hideMark/>
          </w:tcPr>
          <w:p w14:paraId="303B1BFD"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Total: 157 participantes. No incluyó comparador </w:t>
            </w:r>
            <w:r w:rsidRPr="001B12A5">
              <w:rPr>
                <w:rFonts w:eastAsia="Times New Roman" w:cs="Arial"/>
                <w:sz w:val="20"/>
                <w:szCs w:val="20"/>
                <w:lang w:eastAsia="es-ES"/>
              </w:rPr>
              <w:lastRenderedPageBreak/>
              <w:t>terapéutico inicial; se compararon pacientes con manejo exitoso frente a pacientes con fracaso del manejo médico.</w:t>
            </w:r>
          </w:p>
        </w:tc>
        <w:tc>
          <w:tcPr>
            <w:tcW w:w="0" w:type="auto"/>
            <w:hideMark/>
          </w:tcPr>
          <w:p w14:paraId="66AD9645"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lastRenderedPageBreak/>
              <w:t xml:space="preserve">Éxito del manejo médico, fracaso terapéutico, necesidad </w:t>
            </w:r>
            <w:r w:rsidRPr="001B12A5">
              <w:rPr>
                <w:rFonts w:eastAsia="Times New Roman" w:cs="Arial"/>
                <w:sz w:val="20"/>
                <w:szCs w:val="20"/>
                <w:lang w:eastAsia="es-ES"/>
              </w:rPr>
              <w:lastRenderedPageBreak/>
              <w:t>de manejo adicional, legrado, hospitalización, transfusión y factores asociados al éxito o fracaso.</w:t>
            </w:r>
          </w:p>
        </w:tc>
        <w:tc>
          <w:tcPr>
            <w:tcW w:w="0" w:type="auto"/>
            <w:hideMark/>
          </w:tcPr>
          <w:p w14:paraId="2C6ABB58"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lastRenderedPageBreak/>
              <w:t xml:space="preserve">Éxito del tratamiento con misoprostol: 116/157 pacientes </w:t>
            </w:r>
            <w:r w:rsidRPr="001B12A5">
              <w:rPr>
                <w:rFonts w:eastAsia="Times New Roman" w:cs="Arial"/>
                <w:sz w:val="20"/>
                <w:szCs w:val="20"/>
                <w:lang w:eastAsia="es-ES"/>
              </w:rPr>
              <w:lastRenderedPageBreak/>
              <w:t xml:space="preserve">(74%). Factores asociados al éxito o fracaso: pérdida gestacional posterior a la semana 13 aumentó el riesgo de fallo, RR 3,49 (IC 95%: 2,21–5,52); presencia de sangrado vaginal, RR 0,40 (IC 95%: 0,21–0,75); antecedente de parto vaginal, RR 0,45 (IC 95%: 0,24–0,82). Más de 4 dosis de misoprostol se asoció con fracaso del manejo, RR 3,15 (IC </w:t>
            </w:r>
            <w:r w:rsidRPr="001B12A5">
              <w:rPr>
                <w:rFonts w:eastAsia="Times New Roman" w:cs="Arial"/>
                <w:sz w:val="20"/>
                <w:szCs w:val="20"/>
                <w:lang w:eastAsia="es-ES"/>
              </w:rPr>
              <w:lastRenderedPageBreak/>
              <w:t>95%: 1,53–6,5).</w:t>
            </w:r>
          </w:p>
        </w:tc>
      </w:tr>
      <w:tr w:rsidR="001B12A5" w:rsidRPr="001B12A5" w14:paraId="1D45F6AC" w14:textId="77777777" w:rsidTr="001B12A5">
        <w:tc>
          <w:tcPr>
            <w:tcW w:w="0" w:type="auto"/>
            <w:hideMark/>
          </w:tcPr>
          <w:p w14:paraId="0179D2E2" w14:textId="77777777" w:rsidR="001B12A5" w:rsidRPr="001B12A5" w:rsidRDefault="001B12A5" w:rsidP="001B12A5">
            <w:pPr>
              <w:spacing w:line="276" w:lineRule="auto"/>
              <w:jc w:val="right"/>
              <w:rPr>
                <w:rFonts w:eastAsia="Times New Roman" w:cs="Arial"/>
                <w:sz w:val="20"/>
                <w:szCs w:val="20"/>
                <w:lang w:eastAsia="es-ES"/>
              </w:rPr>
            </w:pPr>
            <w:r w:rsidRPr="001B12A5">
              <w:rPr>
                <w:rFonts w:eastAsia="Times New Roman" w:cs="Arial"/>
                <w:sz w:val="20"/>
                <w:szCs w:val="20"/>
                <w:lang w:eastAsia="es-ES"/>
              </w:rPr>
              <w:lastRenderedPageBreak/>
              <w:t>8</w:t>
            </w:r>
          </w:p>
        </w:tc>
        <w:tc>
          <w:tcPr>
            <w:tcW w:w="0" w:type="auto"/>
            <w:hideMark/>
          </w:tcPr>
          <w:p w14:paraId="399BE7CB"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Valles Jáquez, 2024</w:t>
            </w:r>
          </w:p>
        </w:tc>
        <w:tc>
          <w:tcPr>
            <w:tcW w:w="0" w:type="auto"/>
            <w:hideMark/>
          </w:tcPr>
          <w:p w14:paraId="2D18195C"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México</w:t>
            </w:r>
          </w:p>
        </w:tc>
        <w:tc>
          <w:tcPr>
            <w:tcW w:w="0" w:type="auto"/>
            <w:hideMark/>
          </w:tcPr>
          <w:p w14:paraId="1091AFB9"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Tesis</w:t>
            </w:r>
          </w:p>
        </w:tc>
        <w:tc>
          <w:tcPr>
            <w:tcW w:w="0" w:type="auto"/>
          </w:tcPr>
          <w:p w14:paraId="1FDA0C6E" w14:textId="589009E4"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Determinar la tasa de éxito y complicaciones del manejo farmacológico con misoprostol en pacientes con aborto del primer trimestre atendidas en el Hospital Central del Estado durante el año 2023.</w:t>
            </w:r>
          </w:p>
        </w:tc>
        <w:tc>
          <w:tcPr>
            <w:tcW w:w="0" w:type="auto"/>
            <w:hideMark/>
          </w:tcPr>
          <w:p w14:paraId="400F02C1" w14:textId="1381E0EB"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Determinar la tasa de éxito y complicaciones del manejo médico con misoprostol en aborto del primer trimestre.</w:t>
            </w:r>
          </w:p>
        </w:tc>
        <w:tc>
          <w:tcPr>
            <w:tcW w:w="0" w:type="auto"/>
            <w:hideMark/>
          </w:tcPr>
          <w:p w14:paraId="1AE988F2"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Estudio descriptivo y retrospectivo.</w:t>
            </w:r>
          </w:p>
        </w:tc>
        <w:tc>
          <w:tcPr>
            <w:tcW w:w="0" w:type="auto"/>
            <w:hideMark/>
          </w:tcPr>
          <w:p w14:paraId="0C3775CC"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Pacientes con diagnóstico de aborto del primer trimestre atendidas en el Hospital Central del Estado durante 2023. La edad gestacional media fue de 9 semanas; el aborto incompleto fue la presentación clínica más frecuente.</w:t>
            </w:r>
          </w:p>
        </w:tc>
        <w:tc>
          <w:tcPr>
            <w:tcW w:w="0" w:type="auto"/>
            <w:hideMark/>
          </w:tcPr>
          <w:p w14:paraId="46AECA55"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Total: 206 pacientes incluidas. Manejo médico con misoprostol: 90 pacientes (43,69%). Tratamiento quirúrgico de primera intención: 56,31%.</w:t>
            </w:r>
          </w:p>
        </w:tc>
        <w:tc>
          <w:tcPr>
            <w:tcW w:w="0" w:type="auto"/>
            <w:hideMark/>
          </w:tcPr>
          <w:p w14:paraId="3A94F3B3" w14:textId="77777777" w:rsidR="001B12A5" w:rsidRPr="001B12A5" w:rsidRDefault="001B12A5" w:rsidP="001B12A5">
            <w:pPr>
              <w:spacing w:line="276" w:lineRule="auto"/>
              <w:rPr>
                <w:rFonts w:eastAsia="Times New Roman" w:cs="Arial"/>
                <w:sz w:val="20"/>
                <w:szCs w:val="20"/>
                <w:lang w:eastAsia="es-ES"/>
              </w:rPr>
            </w:pPr>
            <w:r w:rsidRPr="001B12A5">
              <w:rPr>
                <w:rFonts w:eastAsia="Times New Roman" w:cs="Arial"/>
                <w:sz w:val="20"/>
                <w:szCs w:val="20"/>
                <w:lang w:eastAsia="es-ES"/>
              </w:rPr>
              <w:t>Éxito del manejo médico, fallo terapéutico, necesidad de tratamiento quirúrgico posterior, complicaciones, dosis, intervalo y vía de administración.</w:t>
            </w:r>
          </w:p>
        </w:tc>
        <w:tc>
          <w:tcPr>
            <w:tcW w:w="0" w:type="auto"/>
            <w:hideMark/>
          </w:tcPr>
          <w:p w14:paraId="7F55E52D" w14:textId="77777777" w:rsidR="001B12A5" w:rsidRPr="001B12A5" w:rsidRDefault="001B12A5" w:rsidP="001B12A5">
            <w:pPr>
              <w:spacing w:line="276" w:lineRule="auto"/>
              <w:jc w:val="left"/>
              <w:rPr>
                <w:rFonts w:eastAsia="Times New Roman" w:cs="Arial"/>
                <w:sz w:val="20"/>
                <w:szCs w:val="20"/>
                <w:lang w:eastAsia="es-ES"/>
              </w:rPr>
            </w:pPr>
            <w:r w:rsidRPr="001B12A5">
              <w:rPr>
                <w:rFonts w:eastAsia="Times New Roman" w:cs="Arial"/>
                <w:sz w:val="20"/>
                <w:szCs w:val="20"/>
                <w:lang w:eastAsia="es-ES"/>
              </w:rPr>
              <w:t xml:space="preserve">Entre las 90 pacientes tratadas con misoprostol, 48,89% logró expulsión completa sin tratamiento quirúrgico posterior y 51,11% falló el manejo médico. Dosis: 600 mcg en 68,89%, 800 mcg en 26,67% y 400 mcg en 4,4%. Vía de administración: sublingual 64,44% y vaginal 35,56%. Complicaciones secundarias al misoprostol: 0,49%. De </w:t>
            </w:r>
            <w:r w:rsidRPr="001B12A5">
              <w:rPr>
                <w:rFonts w:eastAsia="Times New Roman" w:cs="Arial"/>
                <w:sz w:val="20"/>
                <w:szCs w:val="20"/>
                <w:lang w:eastAsia="es-ES"/>
              </w:rPr>
              <w:lastRenderedPageBreak/>
              <w:t>165 pacientes sometidas a tratamiento quirúrgico, 70% fue por manejo de primera intención y 30% por fallo del tratamiento médico; 76,3% correspondió a legrado uterino instrumentado y 23,63% a AMEU.</w:t>
            </w:r>
          </w:p>
        </w:tc>
      </w:tr>
    </w:tbl>
    <w:p w14:paraId="2014D9C3" w14:textId="77777777" w:rsidR="00BE0144" w:rsidRDefault="00BE0144" w:rsidP="00BE0144"/>
    <w:p w14:paraId="5AF2C6EF" w14:textId="77777777" w:rsidR="00BE0144" w:rsidRDefault="00BE0144" w:rsidP="00BE0144"/>
    <w:p w14:paraId="2F48AE49" w14:textId="77777777" w:rsidR="00BE0144" w:rsidRDefault="00BE0144" w:rsidP="002101D1">
      <w:pPr>
        <w:rPr>
          <w:lang w:val="es-NI"/>
        </w:rPr>
      </w:pPr>
    </w:p>
    <w:p w14:paraId="1444A67A" w14:textId="77777777" w:rsidR="00BE0144" w:rsidRDefault="00BE0144" w:rsidP="002101D1">
      <w:pPr>
        <w:rPr>
          <w:lang w:val="es-NI"/>
        </w:rPr>
      </w:pPr>
    </w:p>
    <w:p w14:paraId="03AC8B8F" w14:textId="77777777" w:rsidR="00BE0144" w:rsidRDefault="00BE0144" w:rsidP="002101D1">
      <w:pPr>
        <w:rPr>
          <w:lang w:val="es-NI"/>
        </w:rPr>
      </w:pPr>
    </w:p>
    <w:p w14:paraId="4DA8664A" w14:textId="28B35ABB" w:rsidR="00BE0144" w:rsidRPr="00B8712F" w:rsidRDefault="00BE0144" w:rsidP="002101D1">
      <w:pPr>
        <w:rPr>
          <w:lang w:val="es-NI"/>
        </w:rPr>
        <w:sectPr w:rsidR="00BE0144" w:rsidRPr="00B8712F" w:rsidSect="0032432F">
          <w:pgSz w:w="15840" w:h="12240" w:orient="landscape"/>
          <w:pgMar w:top="1701" w:right="1418" w:bottom="1701" w:left="1418" w:header="709" w:footer="709" w:gutter="0"/>
          <w:cols w:space="708"/>
          <w:docGrid w:linePitch="360"/>
        </w:sectPr>
      </w:pPr>
    </w:p>
    <w:p w14:paraId="226B162A" w14:textId="12A1362F" w:rsidR="00251968" w:rsidRPr="00B8712F" w:rsidRDefault="00251968" w:rsidP="002101D1">
      <w:pPr>
        <w:rPr>
          <w:lang w:val="es-NI"/>
        </w:rPr>
      </w:pPr>
    </w:p>
    <w:p w14:paraId="46797767" w14:textId="3CE683BC" w:rsidR="00251968" w:rsidRPr="00B8712F" w:rsidRDefault="00251968" w:rsidP="002101D1">
      <w:pPr>
        <w:rPr>
          <w:lang w:val="es-NI"/>
        </w:rPr>
      </w:pPr>
    </w:p>
    <w:p w14:paraId="72589604" w14:textId="4B8005AC" w:rsidR="00251968" w:rsidRPr="00B8712F" w:rsidRDefault="00251968" w:rsidP="002101D1">
      <w:pPr>
        <w:rPr>
          <w:lang w:val="es-NI"/>
        </w:rPr>
      </w:pPr>
    </w:p>
    <w:p w14:paraId="096678D2" w14:textId="3B35C1E4" w:rsidR="00251968" w:rsidRPr="00B8712F" w:rsidRDefault="00251968" w:rsidP="002101D1">
      <w:pPr>
        <w:rPr>
          <w:lang w:val="es-NI"/>
        </w:rPr>
      </w:pPr>
    </w:p>
    <w:p w14:paraId="185C2B1C" w14:textId="22EE9E80" w:rsidR="00251968" w:rsidRPr="00B8712F" w:rsidRDefault="00251968" w:rsidP="002101D1">
      <w:pPr>
        <w:rPr>
          <w:lang w:val="es-NI"/>
        </w:rPr>
      </w:pPr>
    </w:p>
    <w:p w14:paraId="3743595C" w14:textId="2DC7F57D" w:rsidR="00251968" w:rsidRPr="00B8712F" w:rsidRDefault="00251968" w:rsidP="002101D1">
      <w:pPr>
        <w:rPr>
          <w:lang w:val="es-NI"/>
        </w:rPr>
      </w:pPr>
    </w:p>
    <w:p w14:paraId="6B2198CB" w14:textId="02EFA287" w:rsidR="00251968" w:rsidRPr="00B8712F" w:rsidRDefault="00251968" w:rsidP="002101D1">
      <w:pPr>
        <w:rPr>
          <w:lang w:val="es-NI"/>
        </w:rPr>
      </w:pPr>
    </w:p>
    <w:p w14:paraId="3E3AD568" w14:textId="77777777" w:rsidR="00251968" w:rsidRPr="00B8712F" w:rsidRDefault="00251968" w:rsidP="002101D1">
      <w:pPr>
        <w:rPr>
          <w:lang w:val="es-NI"/>
        </w:rPr>
      </w:pPr>
    </w:p>
    <w:p w14:paraId="72BCA6BC" w14:textId="4A557507" w:rsidR="00251968" w:rsidRPr="00B8712F" w:rsidRDefault="00251968" w:rsidP="002101D1">
      <w:pPr>
        <w:rPr>
          <w:lang w:val="es-NI"/>
        </w:rPr>
      </w:pPr>
    </w:p>
    <w:p w14:paraId="4B777BC3" w14:textId="41D3C919" w:rsidR="00251968" w:rsidRPr="00B8712F" w:rsidRDefault="00251968" w:rsidP="002101D1">
      <w:pPr>
        <w:rPr>
          <w:lang w:val="es-NI"/>
        </w:rPr>
      </w:pPr>
    </w:p>
    <w:p w14:paraId="74D69514" w14:textId="77777777" w:rsidR="00251968" w:rsidRPr="00B8712F" w:rsidRDefault="00251968" w:rsidP="002101D1">
      <w:pPr>
        <w:rPr>
          <w:lang w:val="es-NI"/>
        </w:rPr>
      </w:pPr>
    </w:p>
    <w:sectPr w:rsidR="00251968" w:rsidRPr="00B8712F" w:rsidSect="0032432F">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58C8" w14:textId="77777777" w:rsidR="00747E0A" w:rsidRDefault="00747E0A" w:rsidP="00E13F79">
      <w:pPr>
        <w:spacing w:after="0" w:line="240" w:lineRule="auto"/>
      </w:pPr>
      <w:r>
        <w:separator/>
      </w:r>
    </w:p>
  </w:endnote>
  <w:endnote w:type="continuationSeparator" w:id="0">
    <w:p w14:paraId="42990D54" w14:textId="77777777" w:rsidR="00747E0A" w:rsidRDefault="00747E0A" w:rsidP="00E13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B4C83" w14:textId="38271C46" w:rsidR="00DB6A07" w:rsidRDefault="00DB6A07">
    <w:pPr>
      <w:pStyle w:val="Piedepgina"/>
      <w:jc w:val="right"/>
    </w:pPr>
  </w:p>
  <w:p w14:paraId="7F54FA05" w14:textId="77777777" w:rsidR="00DB6A07" w:rsidRDefault="00DB6A0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965252"/>
      <w:docPartObj>
        <w:docPartGallery w:val="Page Numbers (Bottom of Page)"/>
        <w:docPartUnique/>
      </w:docPartObj>
    </w:sdtPr>
    <w:sdtEndPr/>
    <w:sdtContent>
      <w:p w14:paraId="3710E64C" w14:textId="5D79DC06" w:rsidR="00DB6A07" w:rsidRDefault="00DB6A07">
        <w:pPr>
          <w:pStyle w:val="Piedepgina"/>
          <w:jc w:val="right"/>
        </w:pPr>
        <w:r>
          <w:fldChar w:fldCharType="begin"/>
        </w:r>
        <w:r>
          <w:instrText>PAGE   \* MERGEFORMAT</w:instrText>
        </w:r>
        <w:r>
          <w:fldChar w:fldCharType="separate"/>
        </w:r>
        <w:r w:rsidR="008B6322">
          <w:rPr>
            <w:noProof/>
          </w:rPr>
          <w:t>ii</w:t>
        </w:r>
        <w:r>
          <w:fldChar w:fldCharType="end"/>
        </w:r>
      </w:p>
    </w:sdtContent>
  </w:sdt>
  <w:p w14:paraId="1B200949" w14:textId="77777777" w:rsidR="00DB6A07" w:rsidRDefault="00DB6A0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357369"/>
      <w:docPartObj>
        <w:docPartGallery w:val="Page Numbers (Bottom of Page)"/>
        <w:docPartUnique/>
      </w:docPartObj>
    </w:sdtPr>
    <w:sdtEndPr/>
    <w:sdtContent>
      <w:p w14:paraId="16FE0841" w14:textId="59F1C6A9" w:rsidR="00DB6A07" w:rsidRDefault="00DB6A07">
        <w:pPr>
          <w:pStyle w:val="Piedepgina"/>
          <w:jc w:val="right"/>
        </w:pPr>
        <w:r>
          <w:fldChar w:fldCharType="begin"/>
        </w:r>
        <w:r>
          <w:instrText>PAGE   \* MERGEFORMAT</w:instrText>
        </w:r>
        <w:r>
          <w:fldChar w:fldCharType="separate"/>
        </w:r>
        <w:r w:rsidR="008B6322">
          <w:rPr>
            <w:noProof/>
          </w:rPr>
          <w:t>v</w:t>
        </w:r>
        <w:r>
          <w:fldChar w:fldCharType="end"/>
        </w:r>
      </w:p>
    </w:sdtContent>
  </w:sdt>
  <w:p w14:paraId="0DF309D0" w14:textId="77777777" w:rsidR="00DB6A07" w:rsidRDefault="00DB6A0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226428"/>
      <w:docPartObj>
        <w:docPartGallery w:val="Page Numbers (Bottom of Page)"/>
        <w:docPartUnique/>
      </w:docPartObj>
    </w:sdtPr>
    <w:sdtEndPr/>
    <w:sdtContent>
      <w:p w14:paraId="3FC889ED" w14:textId="77777777" w:rsidR="00DB6A07" w:rsidRDefault="00DB6A07">
        <w:pPr>
          <w:pStyle w:val="Piedepgina"/>
          <w:jc w:val="right"/>
        </w:pPr>
        <w:r>
          <w:fldChar w:fldCharType="begin"/>
        </w:r>
        <w:r>
          <w:instrText>PAGE   \* MERGEFORMAT</w:instrText>
        </w:r>
        <w:r>
          <w:fldChar w:fldCharType="separate"/>
        </w:r>
        <w:r w:rsidR="008B6322">
          <w:rPr>
            <w:noProof/>
          </w:rPr>
          <w:t>7</w:t>
        </w:r>
        <w:r>
          <w:fldChar w:fldCharType="end"/>
        </w:r>
      </w:p>
    </w:sdtContent>
  </w:sdt>
  <w:p w14:paraId="0B601AD9" w14:textId="77777777" w:rsidR="00DB6A07" w:rsidRDefault="00DB6A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09AF2" w14:textId="77777777" w:rsidR="00747E0A" w:rsidRDefault="00747E0A" w:rsidP="00E13F79">
      <w:pPr>
        <w:spacing w:after="0" w:line="240" w:lineRule="auto"/>
      </w:pPr>
      <w:r>
        <w:separator/>
      </w:r>
    </w:p>
  </w:footnote>
  <w:footnote w:type="continuationSeparator" w:id="0">
    <w:p w14:paraId="2A49D584" w14:textId="77777777" w:rsidR="00747E0A" w:rsidRDefault="00747E0A" w:rsidP="00E13F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82AD4"/>
    <w:multiLevelType w:val="hybridMultilevel"/>
    <w:tmpl w:val="7416D53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12012F"/>
    <w:multiLevelType w:val="hybridMultilevel"/>
    <w:tmpl w:val="20CCB5E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DEF3EE5"/>
    <w:multiLevelType w:val="hybridMultilevel"/>
    <w:tmpl w:val="22649A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9D527F"/>
    <w:multiLevelType w:val="hybridMultilevel"/>
    <w:tmpl w:val="4A6A29B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7263418"/>
    <w:multiLevelType w:val="multilevel"/>
    <w:tmpl w:val="711488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5806B9"/>
    <w:multiLevelType w:val="multilevel"/>
    <w:tmpl w:val="13A85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3F2E12"/>
    <w:multiLevelType w:val="hybridMultilevel"/>
    <w:tmpl w:val="48B49E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5E104C4B"/>
    <w:multiLevelType w:val="hybridMultilevel"/>
    <w:tmpl w:val="5304251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0501B9A"/>
    <w:multiLevelType w:val="multilevel"/>
    <w:tmpl w:val="4CAA7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6A2F06"/>
    <w:multiLevelType w:val="hybridMultilevel"/>
    <w:tmpl w:val="8D8225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F195B56"/>
    <w:multiLevelType w:val="hybridMultilevel"/>
    <w:tmpl w:val="403CB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272733"/>
    <w:multiLevelType w:val="hybridMultilevel"/>
    <w:tmpl w:val="0D7EF83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6BA05F4"/>
    <w:multiLevelType w:val="hybridMultilevel"/>
    <w:tmpl w:val="22101D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81749AC"/>
    <w:multiLevelType w:val="multilevel"/>
    <w:tmpl w:val="1510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2"/>
  </w:num>
  <w:num w:numId="4">
    <w:abstractNumId w:val="0"/>
  </w:num>
  <w:num w:numId="5">
    <w:abstractNumId w:val="7"/>
  </w:num>
  <w:num w:numId="6">
    <w:abstractNumId w:val="11"/>
  </w:num>
  <w:num w:numId="7">
    <w:abstractNumId w:val="13"/>
  </w:num>
  <w:num w:numId="8">
    <w:abstractNumId w:val="9"/>
  </w:num>
  <w:num w:numId="9">
    <w:abstractNumId w:val="5"/>
  </w:num>
  <w:num w:numId="10">
    <w:abstractNumId w:val="8"/>
  </w:num>
  <w:num w:numId="11">
    <w:abstractNumId w:val="4"/>
  </w:num>
  <w:num w:numId="12">
    <w:abstractNumId w:val="1"/>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05"/>
    <w:rsid w:val="00000A5F"/>
    <w:rsid w:val="0000683B"/>
    <w:rsid w:val="00006BA4"/>
    <w:rsid w:val="00087698"/>
    <w:rsid w:val="000A215B"/>
    <w:rsid w:val="000A75D2"/>
    <w:rsid w:val="000B2A97"/>
    <w:rsid w:val="000D3DAF"/>
    <w:rsid w:val="000E4F4B"/>
    <w:rsid w:val="000E57BB"/>
    <w:rsid w:val="00124494"/>
    <w:rsid w:val="00126DAE"/>
    <w:rsid w:val="001904D9"/>
    <w:rsid w:val="001A0A3A"/>
    <w:rsid w:val="001A30C6"/>
    <w:rsid w:val="001B12A5"/>
    <w:rsid w:val="001E4932"/>
    <w:rsid w:val="001E57DF"/>
    <w:rsid w:val="002101D1"/>
    <w:rsid w:val="00214E38"/>
    <w:rsid w:val="0023449D"/>
    <w:rsid w:val="002419A7"/>
    <w:rsid w:val="00251968"/>
    <w:rsid w:val="0028162F"/>
    <w:rsid w:val="002B32F0"/>
    <w:rsid w:val="002B68C1"/>
    <w:rsid w:val="002D02B9"/>
    <w:rsid w:val="002D13AA"/>
    <w:rsid w:val="002F0F88"/>
    <w:rsid w:val="00313AE2"/>
    <w:rsid w:val="0032432F"/>
    <w:rsid w:val="003513CD"/>
    <w:rsid w:val="00364A91"/>
    <w:rsid w:val="003728A7"/>
    <w:rsid w:val="00393023"/>
    <w:rsid w:val="0039443A"/>
    <w:rsid w:val="00406205"/>
    <w:rsid w:val="00411005"/>
    <w:rsid w:val="0045369C"/>
    <w:rsid w:val="00484306"/>
    <w:rsid w:val="00485D33"/>
    <w:rsid w:val="0049427D"/>
    <w:rsid w:val="004A1796"/>
    <w:rsid w:val="004A512A"/>
    <w:rsid w:val="004D3DD4"/>
    <w:rsid w:val="004F74B1"/>
    <w:rsid w:val="00503FE0"/>
    <w:rsid w:val="005436A4"/>
    <w:rsid w:val="00575E20"/>
    <w:rsid w:val="0060046A"/>
    <w:rsid w:val="00610CC4"/>
    <w:rsid w:val="00627974"/>
    <w:rsid w:val="006537B1"/>
    <w:rsid w:val="00665AD2"/>
    <w:rsid w:val="006C0A2C"/>
    <w:rsid w:val="006E6759"/>
    <w:rsid w:val="006F29F9"/>
    <w:rsid w:val="00731E69"/>
    <w:rsid w:val="00747E0A"/>
    <w:rsid w:val="007749A6"/>
    <w:rsid w:val="0078560D"/>
    <w:rsid w:val="00787669"/>
    <w:rsid w:val="007B41BD"/>
    <w:rsid w:val="007E1136"/>
    <w:rsid w:val="007E5260"/>
    <w:rsid w:val="0080048B"/>
    <w:rsid w:val="008145F5"/>
    <w:rsid w:val="008435B9"/>
    <w:rsid w:val="008536F7"/>
    <w:rsid w:val="008769A4"/>
    <w:rsid w:val="00881844"/>
    <w:rsid w:val="0088357D"/>
    <w:rsid w:val="008B6322"/>
    <w:rsid w:val="008C442E"/>
    <w:rsid w:val="00926577"/>
    <w:rsid w:val="0093471C"/>
    <w:rsid w:val="009547DF"/>
    <w:rsid w:val="00961C48"/>
    <w:rsid w:val="009862D1"/>
    <w:rsid w:val="009951F2"/>
    <w:rsid w:val="009D3A94"/>
    <w:rsid w:val="009E54D2"/>
    <w:rsid w:val="009F5ED8"/>
    <w:rsid w:val="00A345AE"/>
    <w:rsid w:val="00A61B33"/>
    <w:rsid w:val="00A822D7"/>
    <w:rsid w:val="00AB4F03"/>
    <w:rsid w:val="00AB55C6"/>
    <w:rsid w:val="00AB5C5C"/>
    <w:rsid w:val="00AD7EE1"/>
    <w:rsid w:val="00B15CB4"/>
    <w:rsid w:val="00B3650A"/>
    <w:rsid w:val="00B41004"/>
    <w:rsid w:val="00B51AEB"/>
    <w:rsid w:val="00B7662A"/>
    <w:rsid w:val="00B8712F"/>
    <w:rsid w:val="00B87DDE"/>
    <w:rsid w:val="00B933D6"/>
    <w:rsid w:val="00BB70D8"/>
    <w:rsid w:val="00BC25F9"/>
    <w:rsid w:val="00BE0144"/>
    <w:rsid w:val="00C10983"/>
    <w:rsid w:val="00C5001F"/>
    <w:rsid w:val="00C9695C"/>
    <w:rsid w:val="00CC32DC"/>
    <w:rsid w:val="00CE242C"/>
    <w:rsid w:val="00CE5837"/>
    <w:rsid w:val="00CF0382"/>
    <w:rsid w:val="00D0420A"/>
    <w:rsid w:val="00D2451D"/>
    <w:rsid w:val="00D34F29"/>
    <w:rsid w:val="00D47292"/>
    <w:rsid w:val="00D60788"/>
    <w:rsid w:val="00D74DD4"/>
    <w:rsid w:val="00D92BA5"/>
    <w:rsid w:val="00DB6A07"/>
    <w:rsid w:val="00DC68C2"/>
    <w:rsid w:val="00E13F79"/>
    <w:rsid w:val="00E21B40"/>
    <w:rsid w:val="00E6098D"/>
    <w:rsid w:val="00EB20BD"/>
    <w:rsid w:val="00EC41BF"/>
    <w:rsid w:val="00ED5CA9"/>
    <w:rsid w:val="00EE1667"/>
    <w:rsid w:val="00F103C3"/>
    <w:rsid w:val="00F27600"/>
    <w:rsid w:val="00F31619"/>
    <w:rsid w:val="00F46E8A"/>
    <w:rsid w:val="00F7167C"/>
    <w:rsid w:val="00FA1D99"/>
    <w:rsid w:val="00FB13BD"/>
    <w:rsid w:val="00FE2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4586"/>
  <w15:chartTrackingRefBased/>
  <w15:docId w15:val="{3CAB2A82-191C-4C69-9834-5904FB0C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F79"/>
    <w:pPr>
      <w:spacing w:line="360" w:lineRule="auto"/>
      <w:jc w:val="both"/>
    </w:pPr>
    <w:rPr>
      <w:rFonts w:ascii="Arial" w:hAnsi="Arial"/>
      <w:sz w:val="24"/>
      <w:lang w:val="es-ES"/>
    </w:rPr>
  </w:style>
  <w:style w:type="paragraph" w:styleId="Ttulo1">
    <w:name w:val="heading 1"/>
    <w:basedOn w:val="Normal"/>
    <w:next w:val="Normal"/>
    <w:link w:val="Ttulo1Car"/>
    <w:uiPriority w:val="9"/>
    <w:qFormat/>
    <w:rsid w:val="00B8712F"/>
    <w:pPr>
      <w:keepNext/>
      <w:keepLines/>
      <w:spacing w:before="240" w:after="240"/>
      <w:jc w:val="center"/>
      <w:outlineLvl w:val="0"/>
    </w:pPr>
    <w:rPr>
      <w:rFonts w:eastAsiaTheme="majorEastAsia" w:cstheme="majorBidi"/>
      <w:b/>
      <w:caps/>
      <w:color w:val="000000" w:themeColor="text1"/>
      <w:sz w:val="28"/>
      <w:szCs w:val="32"/>
    </w:rPr>
  </w:style>
  <w:style w:type="paragraph" w:styleId="Ttulo2">
    <w:name w:val="heading 2"/>
    <w:basedOn w:val="Normal"/>
    <w:next w:val="Normal"/>
    <w:link w:val="Ttulo2Car"/>
    <w:uiPriority w:val="9"/>
    <w:unhideWhenUsed/>
    <w:qFormat/>
    <w:rsid w:val="00CE5837"/>
    <w:pPr>
      <w:keepNext/>
      <w:keepLines/>
      <w:spacing w:before="40" w:after="0"/>
      <w:jc w:val="left"/>
      <w:outlineLvl w:val="1"/>
    </w:pPr>
    <w:rPr>
      <w:rFonts w:eastAsiaTheme="majorEastAsia" w:cstheme="majorBidi"/>
      <w:b/>
      <w:color w:val="000000" w:themeColor="text1"/>
      <w:szCs w:val="26"/>
    </w:rPr>
  </w:style>
  <w:style w:type="paragraph" w:styleId="Ttulo3">
    <w:name w:val="heading 3"/>
    <w:basedOn w:val="Normal"/>
    <w:next w:val="Normal"/>
    <w:link w:val="Ttulo3Car"/>
    <w:uiPriority w:val="9"/>
    <w:unhideWhenUsed/>
    <w:qFormat/>
    <w:rsid w:val="00CE5837"/>
    <w:pPr>
      <w:keepNext/>
      <w:keepLines/>
      <w:spacing w:before="40" w:after="0"/>
      <w:outlineLvl w:val="2"/>
    </w:pPr>
    <w:rPr>
      <w:rFonts w:eastAsiaTheme="majorEastAsia" w:cstheme="majorBidi"/>
      <w:i/>
      <w:color w:val="000000" w:themeColor="text1"/>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E13F79"/>
    <w:rPr>
      <w:b/>
      <w:bCs/>
    </w:rPr>
  </w:style>
  <w:style w:type="paragraph" w:styleId="Encabezado">
    <w:name w:val="header"/>
    <w:basedOn w:val="Normal"/>
    <w:link w:val="EncabezadoCar"/>
    <w:uiPriority w:val="99"/>
    <w:unhideWhenUsed/>
    <w:rsid w:val="00E13F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13F79"/>
    <w:rPr>
      <w:rFonts w:ascii="Arial" w:hAnsi="Arial"/>
      <w:sz w:val="24"/>
      <w:lang w:val="es-ES"/>
    </w:rPr>
  </w:style>
  <w:style w:type="paragraph" w:styleId="Piedepgina">
    <w:name w:val="footer"/>
    <w:basedOn w:val="Normal"/>
    <w:link w:val="PiedepginaCar"/>
    <w:uiPriority w:val="99"/>
    <w:unhideWhenUsed/>
    <w:rsid w:val="00E13F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13F79"/>
    <w:rPr>
      <w:rFonts w:ascii="Arial" w:hAnsi="Arial"/>
      <w:sz w:val="24"/>
      <w:lang w:val="es-ES"/>
    </w:rPr>
  </w:style>
  <w:style w:type="paragraph" w:styleId="Prrafodelista">
    <w:name w:val="List Paragraph"/>
    <w:basedOn w:val="Normal"/>
    <w:uiPriority w:val="34"/>
    <w:qFormat/>
    <w:rsid w:val="0093471C"/>
    <w:pPr>
      <w:ind w:left="720"/>
      <w:contextualSpacing/>
    </w:pPr>
  </w:style>
  <w:style w:type="character" w:styleId="Hipervnculo">
    <w:name w:val="Hyperlink"/>
    <w:basedOn w:val="Fuentedeprrafopredeter"/>
    <w:uiPriority w:val="99"/>
    <w:unhideWhenUsed/>
    <w:rsid w:val="002101D1"/>
    <w:rPr>
      <w:color w:val="0563C1" w:themeColor="hyperlink"/>
      <w:u w:val="single"/>
    </w:rPr>
  </w:style>
  <w:style w:type="character" w:customStyle="1" w:styleId="Mencinsinresolver1">
    <w:name w:val="Mención sin resolver1"/>
    <w:basedOn w:val="Fuentedeprrafopredeter"/>
    <w:uiPriority w:val="99"/>
    <w:semiHidden/>
    <w:unhideWhenUsed/>
    <w:rsid w:val="002101D1"/>
    <w:rPr>
      <w:color w:val="605E5C"/>
      <w:shd w:val="clear" w:color="auto" w:fill="E1DFDD"/>
    </w:rPr>
  </w:style>
  <w:style w:type="character" w:customStyle="1" w:styleId="Ttulo1Car">
    <w:name w:val="Título 1 Car"/>
    <w:basedOn w:val="Fuentedeprrafopredeter"/>
    <w:link w:val="Ttulo1"/>
    <w:uiPriority w:val="9"/>
    <w:rsid w:val="00B8712F"/>
    <w:rPr>
      <w:rFonts w:ascii="Arial" w:eastAsiaTheme="majorEastAsia" w:hAnsi="Arial" w:cstheme="majorBidi"/>
      <w:b/>
      <w:caps/>
      <w:color w:val="000000" w:themeColor="text1"/>
      <w:sz w:val="28"/>
      <w:szCs w:val="32"/>
      <w:lang w:val="es-ES"/>
    </w:rPr>
  </w:style>
  <w:style w:type="character" w:customStyle="1" w:styleId="Ttulo2Car">
    <w:name w:val="Título 2 Car"/>
    <w:basedOn w:val="Fuentedeprrafopredeter"/>
    <w:link w:val="Ttulo2"/>
    <w:uiPriority w:val="9"/>
    <w:rsid w:val="00CE5837"/>
    <w:rPr>
      <w:rFonts w:ascii="Arial" w:eastAsiaTheme="majorEastAsia" w:hAnsi="Arial" w:cstheme="majorBidi"/>
      <w:b/>
      <w:color w:val="000000" w:themeColor="text1"/>
      <w:sz w:val="24"/>
      <w:szCs w:val="26"/>
      <w:lang w:val="es-ES"/>
    </w:rPr>
  </w:style>
  <w:style w:type="character" w:customStyle="1" w:styleId="Ttulo3Car">
    <w:name w:val="Título 3 Car"/>
    <w:basedOn w:val="Fuentedeprrafopredeter"/>
    <w:link w:val="Ttulo3"/>
    <w:uiPriority w:val="9"/>
    <w:rsid w:val="00CE5837"/>
    <w:rPr>
      <w:rFonts w:ascii="Arial" w:eastAsiaTheme="majorEastAsia" w:hAnsi="Arial" w:cstheme="majorBidi"/>
      <w:i/>
      <w:color w:val="000000" w:themeColor="text1"/>
      <w:sz w:val="24"/>
      <w:szCs w:val="24"/>
      <w:lang w:val="es-ES"/>
    </w:rPr>
  </w:style>
  <w:style w:type="paragraph" w:styleId="Descripcin">
    <w:name w:val="caption"/>
    <w:basedOn w:val="Normal"/>
    <w:next w:val="Normal"/>
    <w:uiPriority w:val="35"/>
    <w:unhideWhenUsed/>
    <w:qFormat/>
    <w:rsid w:val="00485D33"/>
    <w:pPr>
      <w:spacing w:after="200" w:line="240" w:lineRule="auto"/>
      <w:jc w:val="center"/>
    </w:pPr>
    <w:rPr>
      <w:iCs/>
      <w:color w:val="44546A" w:themeColor="text2"/>
      <w:szCs w:val="18"/>
    </w:rPr>
  </w:style>
  <w:style w:type="table" w:styleId="Tablaconcuadrcula">
    <w:name w:val="Table Grid"/>
    <w:basedOn w:val="Tablanormal"/>
    <w:uiPriority w:val="39"/>
    <w:rsid w:val="00485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B8712F"/>
    <w:pPr>
      <w:spacing w:after="0" w:line="259" w:lineRule="auto"/>
      <w:jc w:val="left"/>
      <w:outlineLvl w:val="9"/>
    </w:pPr>
    <w:rPr>
      <w:rFonts w:asciiTheme="majorHAnsi" w:hAnsiTheme="majorHAnsi"/>
      <w:b w:val="0"/>
      <w:color w:val="2E74B5" w:themeColor="accent1" w:themeShade="BF"/>
      <w:sz w:val="32"/>
      <w:lang w:eastAsia="es-ES"/>
    </w:rPr>
  </w:style>
  <w:style w:type="paragraph" w:styleId="TDC1">
    <w:name w:val="toc 1"/>
    <w:basedOn w:val="Normal"/>
    <w:next w:val="Normal"/>
    <w:autoRedefine/>
    <w:uiPriority w:val="39"/>
    <w:unhideWhenUsed/>
    <w:rsid w:val="00B8712F"/>
    <w:pPr>
      <w:spacing w:after="100"/>
    </w:pPr>
    <w:rPr>
      <w:b/>
    </w:rPr>
  </w:style>
  <w:style w:type="paragraph" w:styleId="TDC2">
    <w:name w:val="toc 2"/>
    <w:basedOn w:val="Normal"/>
    <w:next w:val="Normal"/>
    <w:autoRedefine/>
    <w:uiPriority w:val="39"/>
    <w:unhideWhenUsed/>
    <w:rsid w:val="00B8712F"/>
    <w:pPr>
      <w:spacing w:after="100"/>
      <w:ind w:left="240"/>
    </w:pPr>
  </w:style>
  <w:style w:type="paragraph" w:styleId="TDC3">
    <w:name w:val="toc 3"/>
    <w:basedOn w:val="Normal"/>
    <w:next w:val="Normal"/>
    <w:autoRedefine/>
    <w:uiPriority w:val="39"/>
    <w:unhideWhenUsed/>
    <w:rsid w:val="00B8712F"/>
    <w:pPr>
      <w:spacing w:after="100"/>
      <w:ind w:left="480"/>
    </w:pPr>
  </w:style>
  <w:style w:type="paragraph" w:styleId="Tabladeilustraciones">
    <w:name w:val="table of figures"/>
    <w:basedOn w:val="Normal"/>
    <w:next w:val="Normal"/>
    <w:uiPriority w:val="99"/>
    <w:unhideWhenUsed/>
    <w:rsid w:val="001E57DF"/>
    <w:pPr>
      <w:spacing w:after="0"/>
    </w:pPr>
  </w:style>
  <w:style w:type="paragraph" w:styleId="NormalWeb">
    <w:name w:val="Normal (Web)"/>
    <w:basedOn w:val="Normal"/>
    <w:uiPriority w:val="99"/>
    <w:semiHidden/>
    <w:unhideWhenUsed/>
    <w:rsid w:val="00364A91"/>
    <w:pPr>
      <w:spacing w:before="100" w:beforeAutospacing="1" w:after="100" w:afterAutospacing="1" w:line="240" w:lineRule="auto"/>
      <w:jc w:val="left"/>
    </w:pPr>
    <w:rPr>
      <w:rFonts w:ascii="Times New Roman" w:eastAsia="Times New Roman" w:hAnsi="Times New Roman" w:cs="Times New Roman"/>
      <w:szCs w:val="24"/>
      <w:lang w:eastAsia="es-ES"/>
    </w:rPr>
  </w:style>
  <w:style w:type="character" w:styleId="nfasis">
    <w:name w:val="Emphasis"/>
    <w:basedOn w:val="Fuentedeprrafopredeter"/>
    <w:uiPriority w:val="20"/>
    <w:qFormat/>
    <w:rsid w:val="003728A7"/>
    <w:rPr>
      <w:i/>
      <w:iCs/>
    </w:rPr>
  </w:style>
  <w:style w:type="paragraph" w:customStyle="1" w:styleId="isselectedend">
    <w:name w:val="isselectedend"/>
    <w:basedOn w:val="Normal"/>
    <w:rsid w:val="008C442E"/>
    <w:pPr>
      <w:spacing w:before="100" w:beforeAutospacing="1" w:after="100" w:afterAutospacing="1" w:line="240" w:lineRule="auto"/>
      <w:jc w:val="left"/>
    </w:pPr>
    <w:rPr>
      <w:rFonts w:ascii="Times New Roman" w:eastAsia="Times New Roman" w:hAnsi="Times New Roman"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4837">
      <w:bodyDiv w:val="1"/>
      <w:marLeft w:val="0"/>
      <w:marRight w:val="0"/>
      <w:marTop w:val="0"/>
      <w:marBottom w:val="0"/>
      <w:divBdr>
        <w:top w:val="none" w:sz="0" w:space="0" w:color="auto"/>
        <w:left w:val="none" w:sz="0" w:space="0" w:color="auto"/>
        <w:bottom w:val="none" w:sz="0" w:space="0" w:color="auto"/>
        <w:right w:val="none" w:sz="0" w:space="0" w:color="auto"/>
      </w:divBdr>
    </w:div>
    <w:div w:id="329674427">
      <w:bodyDiv w:val="1"/>
      <w:marLeft w:val="0"/>
      <w:marRight w:val="0"/>
      <w:marTop w:val="0"/>
      <w:marBottom w:val="0"/>
      <w:divBdr>
        <w:top w:val="none" w:sz="0" w:space="0" w:color="auto"/>
        <w:left w:val="none" w:sz="0" w:space="0" w:color="auto"/>
        <w:bottom w:val="none" w:sz="0" w:space="0" w:color="auto"/>
        <w:right w:val="none" w:sz="0" w:space="0" w:color="auto"/>
      </w:divBdr>
    </w:div>
    <w:div w:id="331415802">
      <w:bodyDiv w:val="1"/>
      <w:marLeft w:val="0"/>
      <w:marRight w:val="0"/>
      <w:marTop w:val="0"/>
      <w:marBottom w:val="0"/>
      <w:divBdr>
        <w:top w:val="none" w:sz="0" w:space="0" w:color="auto"/>
        <w:left w:val="none" w:sz="0" w:space="0" w:color="auto"/>
        <w:bottom w:val="none" w:sz="0" w:space="0" w:color="auto"/>
        <w:right w:val="none" w:sz="0" w:space="0" w:color="auto"/>
      </w:divBdr>
    </w:div>
    <w:div w:id="366879122">
      <w:bodyDiv w:val="1"/>
      <w:marLeft w:val="0"/>
      <w:marRight w:val="0"/>
      <w:marTop w:val="0"/>
      <w:marBottom w:val="0"/>
      <w:divBdr>
        <w:top w:val="none" w:sz="0" w:space="0" w:color="auto"/>
        <w:left w:val="none" w:sz="0" w:space="0" w:color="auto"/>
        <w:bottom w:val="none" w:sz="0" w:space="0" w:color="auto"/>
        <w:right w:val="none" w:sz="0" w:space="0" w:color="auto"/>
      </w:divBdr>
    </w:div>
    <w:div w:id="396586863">
      <w:bodyDiv w:val="1"/>
      <w:marLeft w:val="0"/>
      <w:marRight w:val="0"/>
      <w:marTop w:val="0"/>
      <w:marBottom w:val="0"/>
      <w:divBdr>
        <w:top w:val="none" w:sz="0" w:space="0" w:color="auto"/>
        <w:left w:val="none" w:sz="0" w:space="0" w:color="auto"/>
        <w:bottom w:val="none" w:sz="0" w:space="0" w:color="auto"/>
        <w:right w:val="none" w:sz="0" w:space="0" w:color="auto"/>
      </w:divBdr>
    </w:div>
    <w:div w:id="466631815">
      <w:bodyDiv w:val="1"/>
      <w:marLeft w:val="0"/>
      <w:marRight w:val="0"/>
      <w:marTop w:val="0"/>
      <w:marBottom w:val="0"/>
      <w:divBdr>
        <w:top w:val="none" w:sz="0" w:space="0" w:color="auto"/>
        <w:left w:val="none" w:sz="0" w:space="0" w:color="auto"/>
        <w:bottom w:val="none" w:sz="0" w:space="0" w:color="auto"/>
        <w:right w:val="none" w:sz="0" w:space="0" w:color="auto"/>
      </w:divBdr>
    </w:div>
    <w:div w:id="651761950">
      <w:bodyDiv w:val="1"/>
      <w:marLeft w:val="0"/>
      <w:marRight w:val="0"/>
      <w:marTop w:val="0"/>
      <w:marBottom w:val="0"/>
      <w:divBdr>
        <w:top w:val="none" w:sz="0" w:space="0" w:color="auto"/>
        <w:left w:val="none" w:sz="0" w:space="0" w:color="auto"/>
        <w:bottom w:val="none" w:sz="0" w:space="0" w:color="auto"/>
        <w:right w:val="none" w:sz="0" w:space="0" w:color="auto"/>
      </w:divBdr>
    </w:div>
    <w:div w:id="1104223844">
      <w:bodyDiv w:val="1"/>
      <w:marLeft w:val="0"/>
      <w:marRight w:val="0"/>
      <w:marTop w:val="0"/>
      <w:marBottom w:val="0"/>
      <w:divBdr>
        <w:top w:val="none" w:sz="0" w:space="0" w:color="auto"/>
        <w:left w:val="none" w:sz="0" w:space="0" w:color="auto"/>
        <w:bottom w:val="none" w:sz="0" w:space="0" w:color="auto"/>
        <w:right w:val="none" w:sz="0" w:space="0" w:color="auto"/>
      </w:divBdr>
    </w:div>
    <w:div w:id="1219439251">
      <w:bodyDiv w:val="1"/>
      <w:marLeft w:val="0"/>
      <w:marRight w:val="0"/>
      <w:marTop w:val="0"/>
      <w:marBottom w:val="0"/>
      <w:divBdr>
        <w:top w:val="none" w:sz="0" w:space="0" w:color="auto"/>
        <w:left w:val="none" w:sz="0" w:space="0" w:color="auto"/>
        <w:bottom w:val="none" w:sz="0" w:space="0" w:color="auto"/>
        <w:right w:val="none" w:sz="0" w:space="0" w:color="auto"/>
      </w:divBdr>
    </w:div>
    <w:div w:id="183529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space.unach.edu.ec/handle/51000/8094" TargetMode="External"/><Relationship Id="rId21" Type="http://schemas.openxmlformats.org/officeDocument/2006/relationships/hyperlink" Target="https://www.ncbi.nlm.nih.gov/books/NBK560521/" TargetMode="External"/><Relationship Id="rId42" Type="http://schemas.openxmlformats.org/officeDocument/2006/relationships/hyperlink" Target="https://doi.org/10.1093/humrep/dew221" TargetMode="External"/><Relationship Id="rId47" Type="http://schemas.openxmlformats.org/officeDocument/2006/relationships/hyperlink" Target="https://doi.org/10.1503/cmaj.231489" TargetMode="External"/><Relationship Id="rId63" Type="http://schemas.openxmlformats.org/officeDocument/2006/relationships/hyperlink" Target="https://doi.org/10.1136/bmj.l4898" TargetMode="External"/><Relationship Id="rId68" Type="http://schemas.openxmlformats.org/officeDocument/2006/relationships/hyperlink" Target="http://dx.doi.org/10.18203/2320-1770.ijrcog20163506"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doi.org/10.1093/pubmed/fdac036" TargetMode="External"/><Relationship Id="rId11" Type="http://schemas.openxmlformats.org/officeDocument/2006/relationships/footer" Target="footer3.xml"/><Relationship Id="rId24" Type="http://schemas.openxmlformats.org/officeDocument/2006/relationships/hyperlink" Target="https://doi.org/10.1016/s0010-7824(99)00029-3" TargetMode="External"/><Relationship Id="rId32" Type="http://schemas.openxmlformats.org/officeDocument/2006/relationships/hyperlink" Target="https://dx.doi.org/10.4067/S0717-75262014000200002" TargetMode="External"/><Relationship Id="rId37" Type="http://schemas.openxmlformats.org/officeDocument/2006/relationships/hyperlink" Target="https://doi.org/10.3390/publications14010004" TargetMode="External"/><Relationship Id="rId40" Type="http://schemas.openxmlformats.org/officeDocument/2006/relationships/hyperlink" Target="https://doi.org/10.1002/9781119536604.ch8" TargetMode="External"/><Relationship Id="rId45" Type="http://schemas.openxmlformats.org/officeDocument/2006/relationships/hyperlink" Target="https://ojs.revistamaternofetal.com/index.php/RISMF/article/view/147" TargetMode="External"/><Relationship Id="rId53" Type="http://schemas.openxmlformats.org/officeDocument/2006/relationships/hyperlink" Target="https://doi.org/10.1056/EVIDccon2300129" TargetMode="External"/><Relationship Id="rId58" Type="http://schemas.openxmlformats.org/officeDocument/2006/relationships/hyperlink" Target="https://doi.org/10.1097/aog.0000000000003017" TargetMode="External"/><Relationship Id="rId66" Type="http://schemas.openxmlformats.org/officeDocument/2006/relationships/hyperlink" Target="http://repositorio.uach.mx/id/eprint/708" TargetMode="External"/><Relationship Id="rId5" Type="http://schemas.openxmlformats.org/officeDocument/2006/relationships/webSettings" Target="webSettings.xml"/><Relationship Id="rId61" Type="http://schemas.openxmlformats.org/officeDocument/2006/relationships/hyperlink" Target="https://doi.org/10.4103/jdmimsu.jdmimsu_642_22" TargetMode="External"/><Relationship Id="rId19" Type="http://schemas.openxmlformats.org/officeDocument/2006/relationships/hyperlink" Target="https://repositorio.unan.edu.ni/id/eprint/14235/1/14235.pdf" TargetMode="External"/><Relationship Id="rId14" Type="http://schemas.openxmlformats.org/officeDocument/2006/relationships/image" Target="media/image3.png"/><Relationship Id="rId22" Type="http://schemas.openxmlformats.org/officeDocument/2006/relationships/hyperlink" Target="https://doi.org/10.18597/rcog.251" TargetMode="External"/><Relationship Id="rId27" Type="http://schemas.openxmlformats.org/officeDocument/2006/relationships/hyperlink" Target="https://doi.org/10.1002/med.2610100202" TargetMode="External"/><Relationship Id="rId30" Type="http://schemas.openxmlformats.org/officeDocument/2006/relationships/hyperlink" Target="https://doi.org/10.1002/9781119536604.ch10" TargetMode="External"/><Relationship Id="rId35" Type="http://schemas.openxmlformats.org/officeDocument/2006/relationships/hyperlink" Target="https://doi.org/10.1002/14651858.CD012602.pub2" TargetMode="External"/><Relationship Id="rId43" Type="http://schemas.openxmlformats.org/officeDocument/2006/relationships/hyperlink" Target="https://doi.org/10.1590/1413-81232022278.03102022" TargetMode="External"/><Relationship Id="rId48" Type="http://schemas.openxmlformats.org/officeDocument/2006/relationships/hyperlink" Target="https://doi.org/10.1055/s-0043-1776029" TargetMode="External"/><Relationship Id="rId56" Type="http://schemas.openxmlformats.org/officeDocument/2006/relationships/hyperlink" Target="https://doi.org/10.1136/bmj.n71" TargetMode="External"/><Relationship Id="rId64" Type="http://schemas.openxmlformats.org/officeDocument/2006/relationships/hyperlink" Target="https://doi.org/10.1016/j.ijgo.2007.09.004" TargetMode="External"/><Relationship Id="rId69" Type="http://schemas.openxmlformats.org/officeDocument/2006/relationships/hyperlink" Target="https://doi.org/10.1038/s41598-017-01892-0" TargetMode="External"/><Relationship Id="rId8" Type="http://schemas.openxmlformats.org/officeDocument/2006/relationships/image" Target="media/image1.jpeg"/><Relationship Id="rId51" Type="http://schemas.openxmlformats.org/officeDocument/2006/relationships/hyperlink" Target="http://hdl.handle.net/10183/234601"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hyperlink" Target="https://doi.org/10.1002/9780470743386" TargetMode="External"/><Relationship Id="rId33" Type="http://schemas.openxmlformats.org/officeDocument/2006/relationships/hyperlink" Target="https://ru.dgb.unam.mx/items/d7e2fbc6-9365-4ab4-82d5-b754d279c46c" TargetMode="External"/><Relationship Id="rId38" Type="http://schemas.openxmlformats.org/officeDocument/2006/relationships/hyperlink" Target="https://doi.org/10.1136/bmj-2024-081903" TargetMode="External"/><Relationship Id="rId46" Type="http://schemas.openxmlformats.org/officeDocument/2006/relationships/hyperlink" Target="https://produccioncientifica.ucm.es/documentos/638aa57cb9a4980a75683e65" TargetMode="External"/><Relationship Id="rId59" Type="http://schemas.openxmlformats.org/officeDocument/2006/relationships/hyperlink" Target="https://doi.org/10.1016/j.contraception.2023.110132" TargetMode="External"/><Relationship Id="rId67" Type="http://schemas.openxmlformats.org/officeDocument/2006/relationships/hyperlink" Target="https://doi.org/10.1016/j.jeud.2025.100134" TargetMode="External"/><Relationship Id="rId20" Type="http://schemas.openxmlformats.org/officeDocument/2006/relationships/hyperlink" Target="https://doi.org/10.31403/rpgo.v71i2821" TargetMode="External"/><Relationship Id="rId41" Type="http://schemas.openxmlformats.org/officeDocument/2006/relationships/hyperlink" Target="https://doi.org/10.1002/14651858.CD007223.pub4" TargetMode="External"/><Relationship Id="rId54" Type="http://schemas.openxmlformats.org/officeDocument/2006/relationships/hyperlink" Target="https://doi.org/10.1002/hsr2.2165" TargetMode="External"/><Relationship Id="rId62" Type="http://schemas.openxmlformats.org/officeDocument/2006/relationships/hyperlink" Target="https://doi.org/10.31403/rpgo.v66i2186"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oi.org/10.1093/humrep/deh049" TargetMode="External"/><Relationship Id="rId28" Type="http://schemas.openxmlformats.org/officeDocument/2006/relationships/hyperlink" Target="https://doi.org/10.1016/j.jclinepi.2023.06.015" TargetMode="External"/><Relationship Id="rId36" Type="http://schemas.openxmlformats.org/officeDocument/2006/relationships/hyperlink" Target="https://pubmed.ncbi.nlm.nih.gov/14613669/" TargetMode="External"/><Relationship Id="rId49" Type="http://schemas.openxmlformats.org/officeDocument/2006/relationships/hyperlink" Target="https://repositorio.unan.edu.ni/id/eprint/1366/1/56943.pdf" TargetMode="External"/><Relationship Id="rId57" Type="http://schemas.openxmlformats.org/officeDocument/2006/relationships/hyperlink" Target="https://gynuity.org/assets/resources/clinguide_pacguide_en.pdf" TargetMode="External"/><Relationship Id="rId10" Type="http://schemas.openxmlformats.org/officeDocument/2006/relationships/footer" Target="footer2.xml"/><Relationship Id="rId31" Type="http://schemas.openxmlformats.org/officeDocument/2006/relationships/hyperlink" Target="https://doi.org/10.1136/bmj.315.7109.629" TargetMode="External"/><Relationship Id="rId44" Type="http://schemas.openxmlformats.org/officeDocument/2006/relationships/hyperlink" Target="https://repositorio.puce.edu.ec/handle/123456789/30947" TargetMode="External"/><Relationship Id="rId52" Type="http://schemas.openxmlformats.org/officeDocument/2006/relationships/hyperlink" Target="https://repositorio.unan.edu.ni/id/eprint/2692/1/Monografia%20Ultima%20-Kaiu-Gema%202013.pdf" TargetMode="External"/><Relationship Id="rId60" Type="http://schemas.openxmlformats.org/officeDocument/2006/relationships/hyperlink" Target="http://hdl.handle.net/20.500.12749/16708" TargetMode="External"/><Relationship Id="rId65" Type="http://schemas.openxmlformats.org/officeDocument/2006/relationships/hyperlink" Target="http://ri.uaemex.mx/bitstream/handle/20.500.11799/137036/VALLE%20ROJAS%20DENISSE-TESIS.pdf?sequence=1"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doi.org/10.5114/pm.2023.131307" TargetMode="External"/><Relationship Id="rId39" Type="http://schemas.openxmlformats.org/officeDocument/2006/relationships/hyperlink" Target="https://doi.org/10.1093/humupd/dmz002" TargetMode="External"/><Relationship Id="rId34" Type="http://schemas.openxmlformats.org/officeDocument/2006/relationships/hyperlink" Target="https://doi.org/10.1002/uog.18940" TargetMode="External"/><Relationship Id="rId50" Type="http://schemas.openxmlformats.org/officeDocument/2006/relationships/hyperlink" Target="https://doi.org/10.1016/j.ijgo.2011.06.015" TargetMode="External"/><Relationship Id="rId55" Type="http://schemas.openxmlformats.org/officeDocument/2006/relationships/hyperlink" Target="https://repositorio.unan.edu.ni/id/eprint/16754/1/16754.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93323-FD83-4021-9AE5-0E10902C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130</Pages>
  <Words>33023</Words>
  <Characters>181629</Characters>
  <Application>Microsoft Office Word</Application>
  <DocSecurity>0</DocSecurity>
  <Lines>1513</Lines>
  <Paragraphs>428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MN-RESPByBE</cp:lastModifiedBy>
  <cp:revision>2</cp:revision>
  <cp:lastPrinted>2026-03-10T01:49:00Z</cp:lastPrinted>
  <dcterms:created xsi:type="dcterms:W3CDTF">2026-09-18T16:46:00Z</dcterms:created>
  <dcterms:modified xsi:type="dcterms:W3CDTF">2026-09-18T16:46:00Z</dcterms:modified>
</cp:coreProperties>
</file>