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57206" w14:textId="2919D5E4" w:rsidR="009B4446" w:rsidRPr="00B8712F" w:rsidRDefault="009B4446" w:rsidP="009B4446">
      <w:pPr>
        <w:spacing w:line="256" w:lineRule="auto"/>
        <w:jc w:val="center"/>
        <w:rPr>
          <w:rFonts w:cs="Arial"/>
          <w:sz w:val="28"/>
        </w:rPr>
      </w:pPr>
      <w:r w:rsidRPr="00B8712F">
        <w:rPr>
          <w:rFonts w:cs="Arial"/>
          <w:sz w:val="28"/>
        </w:rPr>
        <w:t>Universidad Internacional para el Desarrollo Sostenible</w:t>
      </w:r>
    </w:p>
    <w:p w14:paraId="3A542932" w14:textId="77777777" w:rsidR="009B4446" w:rsidRPr="00B8712F" w:rsidRDefault="009B4446" w:rsidP="009B4446">
      <w:pPr>
        <w:spacing w:line="256" w:lineRule="auto"/>
        <w:jc w:val="center"/>
        <w:rPr>
          <w:rFonts w:cs="Arial"/>
          <w:sz w:val="28"/>
        </w:rPr>
      </w:pPr>
      <w:r w:rsidRPr="00B8712F">
        <w:rPr>
          <w:rFonts w:cs="Arial"/>
          <w:noProof/>
          <w:sz w:val="28"/>
        </w:rPr>
        <w:drawing>
          <wp:inline distT="0" distB="0" distL="0" distR="0" wp14:anchorId="2A496EC4" wp14:editId="5E2B1BC9">
            <wp:extent cx="1475381" cy="1281059"/>
            <wp:effectExtent l="0" t="0" r="0" b="0"/>
            <wp:docPr id="21" name="Imagen 21" descr="C:\Users\Tamara\Downloads\desca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mara\Downloads\descarg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4144" cy="1288668"/>
                    </a:xfrm>
                    <a:prstGeom prst="rect">
                      <a:avLst/>
                    </a:prstGeom>
                    <a:noFill/>
                    <a:ln>
                      <a:noFill/>
                    </a:ln>
                  </pic:spPr>
                </pic:pic>
              </a:graphicData>
            </a:graphic>
          </wp:inline>
        </w:drawing>
      </w:r>
    </w:p>
    <w:p w14:paraId="0E295ECD" w14:textId="72A5028C" w:rsidR="009B4446" w:rsidRPr="00B8712F" w:rsidRDefault="00676C73" w:rsidP="009B4446">
      <w:pPr>
        <w:spacing w:line="256" w:lineRule="auto"/>
        <w:jc w:val="center"/>
        <w:rPr>
          <w:rFonts w:cs="Arial"/>
        </w:rPr>
      </w:pPr>
      <w:r>
        <w:rPr>
          <w:rFonts w:cs="Arial"/>
        </w:rPr>
        <w:t>Informe final</w:t>
      </w:r>
      <w:r w:rsidR="009B4446" w:rsidRPr="00B8712F">
        <w:rPr>
          <w:rFonts w:cs="Arial"/>
        </w:rPr>
        <w:t xml:space="preserve"> de trabajo monográfico para optar al título de Doctor en Medicina y cirugía</w:t>
      </w:r>
    </w:p>
    <w:p w14:paraId="352D3ACC" w14:textId="3617B6D0" w:rsidR="009B4446" w:rsidRPr="00B8712F" w:rsidRDefault="009B4446" w:rsidP="009B4446">
      <w:pPr>
        <w:jc w:val="center"/>
        <w:rPr>
          <w:rFonts w:cs="Arial"/>
          <w:b/>
        </w:rPr>
      </w:pPr>
      <w:r w:rsidRPr="009B4446">
        <w:rPr>
          <w:rFonts w:cs="Arial"/>
          <w:b/>
          <w:sz w:val="28"/>
        </w:rPr>
        <w:t>Efectividad del misoprostol sublingual en comparación con misoprostol oral para la prevención de hemorragia posparto en mujeres con parto vaginal en América Latina: Una revisión sistemática.</w:t>
      </w:r>
    </w:p>
    <w:p w14:paraId="233576C2" w14:textId="77777777" w:rsidR="009B4446" w:rsidRPr="00B8712F" w:rsidRDefault="009B4446" w:rsidP="009B4446">
      <w:pPr>
        <w:spacing w:line="256" w:lineRule="auto"/>
        <w:rPr>
          <w:rFonts w:cs="Arial"/>
        </w:rPr>
      </w:pPr>
    </w:p>
    <w:p w14:paraId="5519B15D" w14:textId="12B493CD" w:rsidR="009B4446" w:rsidRPr="00B8712F" w:rsidRDefault="009B4446" w:rsidP="00833DE5">
      <w:pPr>
        <w:jc w:val="center"/>
        <w:rPr>
          <w:b/>
        </w:rPr>
      </w:pPr>
      <w:r w:rsidRPr="00B8712F">
        <w:rPr>
          <w:b/>
        </w:rPr>
        <w:t>Autor</w:t>
      </w:r>
      <w:r>
        <w:rPr>
          <w:b/>
        </w:rPr>
        <w:t>a</w:t>
      </w:r>
      <w:r w:rsidRPr="00B8712F">
        <w:rPr>
          <w:b/>
        </w:rPr>
        <w:t>:</w:t>
      </w:r>
    </w:p>
    <w:p w14:paraId="474975E1" w14:textId="687AD1C5" w:rsidR="009B4446" w:rsidRPr="00B8712F" w:rsidRDefault="009B4446" w:rsidP="00833DE5">
      <w:pPr>
        <w:jc w:val="center"/>
      </w:pPr>
      <w:r>
        <w:t>Flavia Valeska de los Milagros Morales Herrera</w:t>
      </w:r>
    </w:p>
    <w:p w14:paraId="683C23A9" w14:textId="77777777" w:rsidR="009B4446" w:rsidRPr="00B8712F" w:rsidRDefault="009B4446" w:rsidP="00833DE5">
      <w:pPr>
        <w:jc w:val="center"/>
      </w:pPr>
    </w:p>
    <w:p w14:paraId="0BCC8C8D" w14:textId="77777777" w:rsidR="00833DE5" w:rsidRDefault="00833DE5" w:rsidP="00833DE5">
      <w:pPr>
        <w:jc w:val="center"/>
        <w:rPr>
          <w:b/>
        </w:rPr>
      </w:pPr>
      <w:r w:rsidRPr="00D41DD4">
        <w:rPr>
          <w:b/>
        </w:rPr>
        <w:t>Tutor Científico:</w:t>
      </w:r>
    </w:p>
    <w:p w14:paraId="4138A635" w14:textId="77777777" w:rsidR="00833DE5" w:rsidRPr="0063320D" w:rsidRDefault="00833DE5" w:rsidP="00833DE5">
      <w:pPr>
        <w:jc w:val="center"/>
        <w:rPr>
          <w:bCs/>
        </w:rPr>
      </w:pPr>
      <w:r w:rsidRPr="0063320D">
        <w:rPr>
          <w:bCs/>
        </w:rPr>
        <w:t>Dr. José Antonio Medrano Martínez</w:t>
      </w:r>
    </w:p>
    <w:p w14:paraId="354D26CE" w14:textId="77777777" w:rsidR="00833DE5" w:rsidRPr="0063320D" w:rsidRDefault="00833DE5" w:rsidP="00833DE5">
      <w:pPr>
        <w:jc w:val="center"/>
        <w:rPr>
          <w:bCs/>
        </w:rPr>
      </w:pPr>
      <w:r w:rsidRPr="0063320D">
        <w:rPr>
          <w:bCs/>
        </w:rPr>
        <w:t>Médico especialista en Ginecología y Obstetricia</w:t>
      </w:r>
    </w:p>
    <w:p w14:paraId="7DD8B625" w14:textId="77777777" w:rsidR="009B4446" w:rsidRPr="00B8712F" w:rsidRDefault="009B4446" w:rsidP="009B4446">
      <w:pPr>
        <w:spacing w:line="256" w:lineRule="auto"/>
        <w:jc w:val="right"/>
        <w:rPr>
          <w:rFonts w:cs="Arial"/>
          <w:sz w:val="28"/>
        </w:rPr>
      </w:pPr>
    </w:p>
    <w:p w14:paraId="7DD0A6B8" w14:textId="77777777" w:rsidR="009B4446" w:rsidRPr="00B8712F" w:rsidRDefault="009B4446" w:rsidP="009B4446">
      <w:pPr>
        <w:spacing w:line="256" w:lineRule="auto"/>
        <w:jc w:val="center"/>
        <w:rPr>
          <w:rFonts w:cs="Arial"/>
          <w:sz w:val="28"/>
        </w:rPr>
      </w:pPr>
    </w:p>
    <w:p w14:paraId="4898D5A8" w14:textId="477D6113" w:rsidR="009B4446" w:rsidRPr="00B8712F" w:rsidRDefault="009B4446" w:rsidP="009B4446">
      <w:pPr>
        <w:jc w:val="center"/>
      </w:pPr>
      <w:r w:rsidRPr="00B8712F">
        <w:t xml:space="preserve">Managua, Nicaragua, </w:t>
      </w:r>
      <w:r w:rsidR="00203BCA">
        <w:t xml:space="preserve">30 </w:t>
      </w:r>
      <w:r w:rsidR="00676C73">
        <w:t xml:space="preserve">julio </w:t>
      </w:r>
      <w:r w:rsidR="00D44AED">
        <w:t>2026</w:t>
      </w:r>
    </w:p>
    <w:p w14:paraId="3D077377" w14:textId="3F5FBB48" w:rsidR="009B4446" w:rsidRDefault="009B4446" w:rsidP="00FC4A35">
      <w:pPr>
        <w:jc w:val="center"/>
        <w:rPr>
          <w:b/>
          <w:bCs/>
        </w:rPr>
      </w:pPr>
    </w:p>
    <w:p w14:paraId="56A08DE6" w14:textId="68709B1A" w:rsidR="00676C73" w:rsidRDefault="00676C73" w:rsidP="00FC4A35">
      <w:pPr>
        <w:jc w:val="center"/>
        <w:rPr>
          <w:b/>
          <w:bCs/>
        </w:rPr>
      </w:pPr>
    </w:p>
    <w:p w14:paraId="42FB1986" w14:textId="360F04CB" w:rsidR="00676C73" w:rsidRDefault="00676C73" w:rsidP="00FC4A35">
      <w:pPr>
        <w:jc w:val="center"/>
        <w:rPr>
          <w:b/>
          <w:bCs/>
        </w:rPr>
      </w:pPr>
    </w:p>
    <w:p w14:paraId="7937B4C9" w14:textId="77777777" w:rsidR="00676C73" w:rsidRDefault="00676C73" w:rsidP="00FC4A35">
      <w:pPr>
        <w:jc w:val="center"/>
        <w:rPr>
          <w:b/>
          <w:bCs/>
        </w:rPr>
      </w:pPr>
    </w:p>
    <w:p w14:paraId="29CE01B1" w14:textId="5F239C65" w:rsidR="00FC4A35" w:rsidRPr="00FC4A35" w:rsidRDefault="00FC4A35" w:rsidP="00FC4A35">
      <w:pPr>
        <w:jc w:val="center"/>
      </w:pPr>
    </w:p>
    <w:p w14:paraId="49BCF345" w14:textId="77777777" w:rsidR="00676C73" w:rsidRDefault="00676C73" w:rsidP="00833DE5">
      <w:pPr>
        <w:rPr>
          <w:b/>
          <w:bCs/>
          <w:sz w:val="28"/>
          <w:szCs w:val="28"/>
        </w:rPr>
        <w:sectPr w:rsidR="00676C73">
          <w:footerReference w:type="default" r:id="rId9"/>
          <w:pgSz w:w="12240" w:h="15840"/>
          <w:pgMar w:top="1417" w:right="1701" w:bottom="1417" w:left="1701" w:header="708" w:footer="708" w:gutter="0"/>
          <w:cols w:space="708"/>
          <w:docGrid w:linePitch="360"/>
        </w:sectPr>
      </w:pPr>
    </w:p>
    <w:p w14:paraId="4CCEBD90" w14:textId="2676A562" w:rsidR="00D40D49" w:rsidRPr="00D40D49" w:rsidRDefault="00155636" w:rsidP="00D40D49">
      <w:pPr>
        <w:rPr>
          <w:b/>
          <w:bCs/>
        </w:rPr>
      </w:pPr>
      <w:r w:rsidRPr="00155636">
        <w:rPr>
          <w:b/>
          <w:bCs/>
          <w:sz w:val="28"/>
          <w:szCs w:val="28"/>
        </w:rPr>
        <w:lastRenderedPageBreak/>
        <w:t>DEDICATORIA</w:t>
      </w:r>
    </w:p>
    <w:p w14:paraId="324B1235" w14:textId="77777777" w:rsidR="00D40D49" w:rsidRPr="00D40D49" w:rsidRDefault="00D40D49" w:rsidP="00D40D49">
      <w:r w:rsidRPr="00D40D49">
        <w:t xml:space="preserve">Con profunda gratitud y emoción, dedico este trabajo, fruto de años de esfuerzo, sacrificio y perseverancia, en primer </w:t>
      </w:r>
      <w:proofErr w:type="gramStart"/>
      <w:r w:rsidRPr="00D40D49">
        <w:t>lugar</w:t>
      </w:r>
      <w:proofErr w:type="gramEnd"/>
      <w:r w:rsidRPr="00D40D49">
        <w:t xml:space="preserve"> a </w:t>
      </w:r>
      <w:r w:rsidRPr="00D40D49">
        <w:rPr>
          <w:b/>
          <w:bCs/>
        </w:rPr>
        <w:t>Dios</w:t>
      </w:r>
      <w:r w:rsidRPr="00D40D49">
        <w:t>, por ser mi guía y mi fortaleza en cada etapa de este camino. Gracias por nunca abandonarme, por sostenerme en los momentos de mayor cansancio e incertidumbre y por permitirme cumplir el sueño que ha habitado en mi corazón desde que era una niña. Nunca dudé de que quería dedicar mi vida a la medicina y hoy este logro confirma que tus tiempos siempre fueron perfectos.</w:t>
      </w:r>
    </w:p>
    <w:p w14:paraId="05064D61" w14:textId="77777777" w:rsidR="00D40D49" w:rsidRPr="00D40D49" w:rsidRDefault="00D40D49" w:rsidP="00D40D49">
      <w:r w:rsidRPr="00D40D49">
        <w:t xml:space="preserve">A mis amados padres, </w:t>
      </w:r>
      <w:r w:rsidRPr="00D40D49">
        <w:rPr>
          <w:b/>
          <w:bCs/>
        </w:rPr>
        <w:t>Mildred Herrera</w:t>
      </w:r>
      <w:r w:rsidRPr="00D40D49">
        <w:t xml:space="preserve"> y </w:t>
      </w:r>
      <w:r w:rsidRPr="00D40D49">
        <w:rPr>
          <w:b/>
          <w:bCs/>
        </w:rPr>
        <w:t>Elvis Morales</w:t>
      </w:r>
      <w:r w:rsidRPr="00D40D49">
        <w:t>, quienes han sido el pilar fundamental de mi vida. Gracias por amarme incondicionalmente, por creer en mí incluso cuando el camino parecía difícil y por dedicar su vida para que yo pudiera cumplir este sueño. Mientras yo soñaba con convertirme en doctora, ustedes ya imaginaban verme llegar a la meta. Gracias por levantarme cada vez que caí, por sostener mi mano cuando las fuerzas faltaban y por enseñarme, con su ejemplo, que la perseverancia y el amor son capaces de vencer cualquier obstáculo. Este logro lleva mi nombre, pero también es de ustedes.</w:t>
      </w:r>
    </w:p>
    <w:p w14:paraId="5DD338B6" w14:textId="77777777" w:rsidR="00D40D49" w:rsidRPr="00D40D49" w:rsidRDefault="00D40D49" w:rsidP="00D40D49">
      <w:r w:rsidRPr="00D40D49">
        <w:t xml:space="preserve">A mi hermano, </w:t>
      </w:r>
      <w:r w:rsidRPr="00D40D49">
        <w:rPr>
          <w:b/>
          <w:bCs/>
        </w:rPr>
        <w:t>Walter Morales</w:t>
      </w:r>
      <w:r w:rsidRPr="00D40D49">
        <w:t>, por ser siempre mi compañero de vida, mi mano amiga y una de las personas que más ha confiado en mí. Gracias por acompañarme en cada etapa y por convertirse en uno de mis mayores orgullos.</w:t>
      </w:r>
    </w:p>
    <w:p w14:paraId="0B3379FC" w14:textId="77777777" w:rsidR="00D40D49" w:rsidRPr="00D40D49" w:rsidRDefault="00D40D49" w:rsidP="00D40D49">
      <w:r w:rsidRPr="00D40D49">
        <w:t xml:space="preserve">A mi compañero de vida, </w:t>
      </w:r>
      <w:r w:rsidRPr="00D40D49">
        <w:rPr>
          <w:b/>
          <w:bCs/>
        </w:rPr>
        <w:t>Henry Matamoros</w:t>
      </w:r>
      <w:r w:rsidRPr="00D40D49">
        <w:t>, gracias por tu amor, comprensión y apoyo incondicional durante este camino. Gracias por permanecer a mi lado en los momentos más difíciles y por ser un refugio de paz en medio del cansancio y los desvelos. Este logro también lleva una parte de tu amor.</w:t>
      </w:r>
    </w:p>
    <w:p w14:paraId="50DB602F" w14:textId="77777777" w:rsidR="00D40D49" w:rsidRPr="00D40D49" w:rsidRDefault="00D40D49" w:rsidP="00D40D49">
      <w:r w:rsidRPr="00D40D49">
        <w:rPr>
          <w:b/>
          <w:bCs/>
        </w:rPr>
        <w:t>Con todo mi amor y eterna gratitud.</w:t>
      </w:r>
    </w:p>
    <w:p w14:paraId="1F4763C9" w14:textId="77777777" w:rsidR="002B4F80" w:rsidRDefault="002B4F80" w:rsidP="00155636"/>
    <w:p w14:paraId="1DBACDC6" w14:textId="77777777" w:rsidR="00D40D49" w:rsidRDefault="00D40D49" w:rsidP="00155636"/>
    <w:p w14:paraId="702535F4" w14:textId="77777777" w:rsidR="00D40D49" w:rsidRDefault="00D40D49" w:rsidP="00155636"/>
    <w:p w14:paraId="660612BC" w14:textId="77777777" w:rsidR="00D40D49" w:rsidRDefault="00D40D49" w:rsidP="00155636"/>
    <w:p w14:paraId="2B6C5F6C" w14:textId="77777777" w:rsidR="00D40D49" w:rsidRDefault="00D40D49" w:rsidP="00D40D49"/>
    <w:p w14:paraId="609AF71D" w14:textId="20605A13" w:rsidR="00D40D49" w:rsidRPr="00D40D49" w:rsidRDefault="00155636" w:rsidP="00D40D49">
      <w:pPr>
        <w:rPr>
          <w:b/>
          <w:bCs/>
        </w:rPr>
      </w:pPr>
      <w:r w:rsidRPr="00155636">
        <w:rPr>
          <w:b/>
          <w:bCs/>
        </w:rPr>
        <w:lastRenderedPageBreak/>
        <w:t>AGRADECIMIENTOS</w:t>
      </w:r>
    </w:p>
    <w:p w14:paraId="34070D12" w14:textId="77777777" w:rsidR="00D40D49" w:rsidRPr="00D40D49" w:rsidRDefault="00D40D49" w:rsidP="00D40D49">
      <w:r w:rsidRPr="00D40D49">
        <w:t>La culminación de esta tesis representa mucho más que el cumplimiento de un requisito académico; simboliza la realización de un sueño que nació conmigo desde la infancia y que hoy, con inmensa gratitud, puedo ver convertido en realidad. Este logro es el reflejo del amor, la confianza y el apoyo de todas las personas que caminaron a mi lado durante este recorrido.</w:t>
      </w:r>
    </w:p>
    <w:p w14:paraId="0D8D36D8" w14:textId="77777777" w:rsidR="00D40D49" w:rsidRPr="00D40D49" w:rsidRDefault="00D40D49" w:rsidP="00D40D49">
      <w:r w:rsidRPr="00D40D49">
        <w:t xml:space="preserve">En primer lugar, agradezco a </w:t>
      </w:r>
      <w:r w:rsidRPr="00D40D49">
        <w:rPr>
          <w:b/>
          <w:bCs/>
        </w:rPr>
        <w:t>Dios</w:t>
      </w:r>
      <w:r w:rsidRPr="00D40D49">
        <w:t>, por ser mi guía, mi refugio y mi fortaleza. Gracias por sostenerme en los momentos de incertidumbre, renovar mis fuerzas cuando el cansancio parecía vencerme y permitirme alcanzar el sueño de convertirme en médica.</w:t>
      </w:r>
    </w:p>
    <w:p w14:paraId="7D7DC4FF" w14:textId="77777777" w:rsidR="00D40D49" w:rsidRPr="00D40D49" w:rsidRDefault="00D40D49" w:rsidP="00D40D49">
      <w:r w:rsidRPr="00D40D49">
        <w:t xml:space="preserve">A mis padres, </w:t>
      </w:r>
      <w:r w:rsidRPr="00D40D49">
        <w:rPr>
          <w:b/>
          <w:bCs/>
        </w:rPr>
        <w:t>Mildred Herrera</w:t>
      </w:r>
      <w:r w:rsidRPr="00D40D49">
        <w:t xml:space="preserve"> y </w:t>
      </w:r>
      <w:r w:rsidRPr="00D40D49">
        <w:rPr>
          <w:b/>
          <w:bCs/>
        </w:rPr>
        <w:t>Elvis Morales</w:t>
      </w:r>
      <w:r w:rsidRPr="00D40D49">
        <w:t>, les debo mucho más que mi formación profesional. Gracias por convertir este sueño en un proyecto de vida compartido, por trabajar incansablemente para brindarme la oportunidad de estudiar y por creer en mí incluso cuando yo dudaba de mis propias fuerzas. Nunca olvidaré aquellas noches en las que se sentaban conmigo a estudiar antes de un examen, escuchándome una y otra vez hasta devolverme la confianza. Cuando las circunstancias me alejaron de la carrera durante un año y medio, fueron ustedes quienes nunca dejaron de recordarme quién era y el sueño por el que tanto había luchado. Llevaré siempre en mi corazón esos pequeños gestos que hicieron inmenso su amor: mi mamá recibiéndome con el mismo cariño después de cada guardia y mi papá esperándome con una taza de leche caliente para que pudiera descansar mejor. Si hoy puedo llamarme médica, es porque ustedes jamás dejaron de creer en mí.</w:t>
      </w:r>
    </w:p>
    <w:p w14:paraId="5CFB643E" w14:textId="77777777" w:rsidR="00D40D49" w:rsidRPr="00D40D49" w:rsidRDefault="00D40D49" w:rsidP="00D40D49">
      <w:r w:rsidRPr="00D40D49">
        <w:t xml:space="preserve">A mi hermano, </w:t>
      </w:r>
      <w:r w:rsidRPr="00D40D49">
        <w:rPr>
          <w:b/>
          <w:bCs/>
        </w:rPr>
        <w:t>Walter Morales</w:t>
      </w:r>
      <w:r w:rsidRPr="00D40D49">
        <w:t>, gracias por ser mi compañero de vida, mi apoyo constante y mi mano amiga. Gracias por creer siempre en mí y por hacerme sentir que nunca tuve que recorrer este camino sola.</w:t>
      </w:r>
    </w:p>
    <w:p w14:paraId="3341973C" w14:textId="77777777" w:rsidR="00D40D49" w:rsidRPr="00D40D49" w:rsidRDefault="00D40D49" w:rsidP="00D40D49">
      <w:r w:rsidRPr="00D40D49">
        <w:t xml:space="preserve">A mi pareja, </w:t>
      </w:r>
      <w:r w:rsidRPr="00D40D49">
        <w:rPr>
          <w:b/>
          <w:bCs/>
        </w:rPr>
        <w:t>Henry Matamoros</w:t>
      </w:r>
      <w:r w:rsidRPr="00D40D49">
        <w:t>, gracias por acompañarme con amor, paciencia y comprensión durante esta etapa tan exigente. Gracias por escucharme después de largas jornadas, por prepararme con cariño mi comida para llevarla al hospital en cada turno, aun cuando cocinar no era algo que disfrutaras, y por asumir muchas responsabilidades del hogar para regalarme unos minutos más de descanso. Tu apoyo silencioso y tu forma de cuidar de mí fueron un sostén invaluable durante este proceso. Este logro también lleva una parte de tu esfuerzo.</w:t>
      </w:r>
    </w:p>
    <w:p w14:paraId="7653A42C" w14:textId="77777777" w:rsidR="00D40D49" w:rsidRPr="00D40D49" w:rsidRDefault="00D40D49" w:rsidP="00D40D49">
      <w:r w:rsidRPr="00D40D49">
        <w:lastRenderedPageBreak/>
        <w:t>Expreso mi sincero agradecimiento a mis docentes, tutores y a cada uno de los profesionales de la salud que compartieron conmigo sus conocimientos y su ejemplo de vocación. Asimismo, agradezco a cada paciente que confió en mí durante mi formación, pues en cada uno encontré una enseñanza que fortaleció mi vocación y me recordó el verdadero sentido de la medicina.</w:t>
      </w:r>
    </w:p>
    <w:p w14:paraId="01CE21DA" w14:textId="77777777" w:rsidR="00D40D49" w:rsidRPr="00D40D49" w:rsidRDefault="00D40D49" w:rsidP="00D40D49">
      <w:r w:rsidRPr="00D40D49">
        <w:t>A todos ustedes, gracias por formar parte de este sueño. Hoy recibo este logro con humildad y con la certeza de que cada paso dado fue posible gracias a su amor, confianza y apoyo incondicional.</w:t>
      </w:r>
    </w:p>
    <w:p w14:paraId="361CDD2F" w14:textId="77777777" w:rsidR="00D40D49" w:rsidRPr="00D40D49" w:rsidRDefault="00D40D49" w:rsidP="00155636"/>
    <w:p w14:paraId="1EF8CE4C" w14:textId="4A0EEEA9" w:rsidR="00155636" w:rsidRPr="00155636" w:rsidRDefault="00155636" w:rsidP="00155636"/>
    <w:p w14:paraId="39E693F3" w14:textId="5DC6A0DA" w:rsidR="00155636" w:rsidRPr="00155636" w:rsidRDefault="00155636" w:rsidP="00155636"/>
    <w:p w14:paraId="2815A14A" w14:textId="60D96268" w:rsidR="00155636" w:rsidRPr="00155636" w:rsidRDefault="00155636" w:rsidP="00155636"/>
    <w:p w14:paraId="0EA11769" w14:textId="550BD2A3" w:rsidR="00155636" w:rsidRPr="00155636" w:rsidRDefault="00155636" w:rsidP="00155636"/>
    <w:p w14:paraId="419C9999" w14:textId="2FBD4904" w:rsidR="00155636" w:rsidRPr="00155636" w:rsidRDefault="00155636" w:rsidP="00155636"/>
    <w:p w14:paraId="0BA6EE68" w14:textId="1E14B7FE" w:rsidR="00155636" w:rsidRPr="00155636" w:rsidRDefault="00155636" w:rsidP="00155636"/>
    <w:p w14:paraId="1BE34532" w14:textId="78E2524C" w:rsidR="00155636" w:rsidRPr="00155636" w:rsidRDefault="00155636" w:rsidP="00155636"/>
    <w:p w14:paraId="16271618" w14:textId="2F402196" w:rsidR="00D160BD" w:rsidRPr="00155636" w:rsidRDefault="00D160BD" w:rsidP="00155636">
      <w:pPr>
        <w:rPr>
          <w:b/>
          <w:bCs/>
        </w:rPr>
      </w:pPr>
    </w:p>
    <w:p w14:paraId="6ACD33B0" w14:textId="5D44DFB8" w:rsidR="00155636" w:rsidRPr="00155636" w:rsidRDefault="00155636" w:rsidP="00155636"/>
    <w:p w14:paraId="36478E8E" w14:textId="7234A8F6" w:rsidR="00155636" w:rsidRPr="00155636" w:rsidRDefault="00155636" w:rsidP="00155636"/>
    <w:p w14:paraId="6942DB3A" w14:textId="44E135A2" w:rsidR="00155636" w:rsidRPr="00155636" w:rsidRDefault="00155636" w:rsidP="00155636"/>
    <w:p w14:paraId="0ED36178" w14:textId="5093433A" w:rsidR="00155636" w:rsidRPr="00155636" w:rsidRDefault="00155636" w:rsidP="00155636"/>
    <w:p w14:paraId="169F3920" w14:textId="77777777" w:rsidR="00155636" w:rsidRDefault="00155636" w:rsidP="00155636"/>
    <w:p w14:paraId="53681CD2" w14:textId="77777777" w:rsidR="00D160BD" w:rsidRDefault="00D160BD" w:rsidP="00155636"/>
    <w:p w14:paraId="0F36DD36" w14:textId="77777777" w:rsidR="00137FF5" w:rsidRDefault="00137FF5" w:rsidP="00155636"/>
    <w:p w14:paraId="1B970A0E" w14:textId="317F15DC" w:rsidR="00926132" w:rsidRPr="007018D1" w:rsidRDefault="0019705C" w:rsidP="00155636">
      <w:pPr>
        <w:rPr>
          <w:b/>
          <w:bCs/>
          <w:noProof/>
          <w:sz w:val="28"/>
          <w:szCs w:val="28"/>
        </w:rPr>
      </w:pPr>
      <w:r w:rsidRPr="007018D1">
        <w:rPr>
          <w:b/>
          <w:bCs/>
          <w:noProof/>
          <w:sz w:val="28"/>
          <w:szCs w:val="28"/>
        </w:rPr>
        <w:lastRenderedPageBreak/>
        <w:t xml:space="preserve">CARTA AVAL </w:t>
      </w:r>
    </w:p>
    <w:p w14:paraId="6BED22EB" w14:textId="33FF2AD0" w:rsidR="0019705C" w:rsidRDefault="0019705C" w:rsidP="00155636">
      <w:pPr>
        <w:rPr>
          <w:noProof/>
        </w:rPr>
      </w:pPr>
      <w:r w:rsidRPr="00BD1054">
        <w:rPr>
          <w:noProof/>
        </w:rPr>
        <w:drawing>
          <wp:inline distT="0" distB="0" distL="0" distR="0" wp14:anchorId="5F1A3ABD" wp14:editId="11D205AF">
            <wp:extent cx="5612130" cy="7649980"/>
            <wp:effectExtent l="0" t="0" r="762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7649980"/>
                    </a:xfrm>
                    <a:prstGeom prst="rect">
                      <a:avLst/>
                    </a:prstGeom>
                    <a:noFill/>
                    <a:ln>
                      <a:noFill/>
                    </a:ln>
                  </pic:spPr>
                </pic:pic>
              </a:graphicData>
            </a:graphic>
          </wp:inline>
        </w:drawing>
      </w:r>
    </w:p>
    <w:p w14:paraId="38B0C9AB" w14:textId="29558D59" w:rsidR="00F50E0B" w:rsidRDefault="00A00B24" w:rsidP="00F50E0B">
      <w:pPr>
        <w:pStyle w:val="Ttulo1"/>
      </w:pPr>
      <w:bookmarkStart w:id="0" w:name="_Toc235815335"/>
      <w:r>
        <w:lastRenderedPageBreak/>
        <w:t>GG</w:t>
      </w:r>
      <w:r w:rsidR="00F50E0B">
        <w:t>Resumen</w:t>
      </w:r>
      <w:bookmarkEnd w:id="0"/>
    </w:p>
    <w:p w14:paraId="6F046955" w14:textId="77777777" w:rsidR="000A2B53" w:rsidRDefault="000A2B53" w:rsidP="000A2B53">
      <w:r w:rsidRPr="000A2B53">
        <w:rPr>
          <w:b/>
          <w:bCs/>
        </w:rPr>
        <w:t>Introducción:</w:t>
      </w:r>
      <w:r>
        <w:t xml:space="preserve"> La hemorragia posparto es una causa importante de morbilidad y mortalidad materna. El misoprostol representa una alternativa uterotónica por su estabilidad, bajo costo y administración no inyectable; sin embargo, persisten dudas sobre la efectividad comparativa de las vías sublingual y oral en América Latina.</w:t>
      </w:r>
    </w:p>
    <w:p w14:paraId="06BB453E" w14:textId="77777777" w:rsidR="000A2B53" w:rsidRDefault="000A2B53" w:rsidP="000A2B53">
      <w:r w:rsidRPr="000A2B53">
        <w:rPr>
          <w:b/>
          <w:bCs/>
        </w:rPr>
        <w:t>Objetivo</w:t>
      </w:r>
      <w:r>
        <w:t>: Determinar si el misoprostol sublingual es más efectivo que el oral para prevenir la hemorragia posparto en mujeres con parto vaginal en América Latina.</w:t>
      </w:r>
    </w:p>
    <w:p w14:paraId="3A7EF2C5" w14:textId="77777777" w:rsidR="000A2B53" w:rsidRDefault="000A2B53" w:rsidP="000A2B53">
      <w:r w:rsidRPr="000A2B53">
        <w:rPr>
          <w:b/>
          <w:bCs/>
        </w:rPr>
        <w:t>Método:</w:t>
      </w:r>
      <w:r>
        <w:t xml:space="preserve"> Se realizó una revisión sistemática conforme a PRISMA 2020 y al Manual Cochrane. Se buscaron estudios publicados desde el año 2000 hasta el presente en PubMed, SciELO, LILACS y Redalyc. Se incluyeron ensayos clínicos sobre el uso profiláctico de misoprostol en la región. El riesgo de sesgo de los ensayos aleatorizados se evaluó con </w:t>
      </w:r>
      <w:proofErr w:type="spellStart"/>
      <w:r>
        <w:t>RoB</w:t>
      </w:r>
      <w:proofErr w:type="spellEnd"/>
      <w:r>
        <w:t xml:space="preserve"> 2. Cuando fue posible, se realizaron </w:t>
      </w:r>
      <w:proofErr w:type="spellStart"/>
      <w:r>
        <w:t>metanálisis</w:t>
      </w:r>
      <w:proofErr w:type="spellEnd"/>
      <w:r>
        <w:t xml:space="preserve"> de proporciones mediante modelos de efectos fijos y aleatorios.</w:t>
      </w:r>
    </w:p>
    <w:p w14:paraId="7633607F" w14:textId="77777777" w:rsidR="000A2B53" w:rsidRDefault="000A2B53" w:rsidP="000A2B53">
      <w:r w:rsidRPr="000A2B53">
        <w:rPr>
          <w:b/>
          <w:bCs/>
        </w:rPr>
        <w:t>Resultados:</w:t>
      </w:r>
      <w:r>
        <w:t xml:space="preserve"> Se identificaron 140 registros y se incluyeron nueve estudios publicados entre 2000 y 2018. Aunque la búsqueda abarcó hasta el presente, el estudio más reciente que cumplió los criterios de inclusión fue publicado en 2018. Solo un estudio comparó directamente ambas vías y encontró menor sangrado medio con la vía sublingual, aunque presentó limitaciones metodológicas. Los </w:t>
      </w:r>
      <w:proofErr w:type="spellStart"/>
      <w:r>
        <w:t>metanálisis</w:t>
      </w:r>
      <w:proofErr w:type="spellEnd"/>
      <w:r>
        <w:t xml:space="preserve"> estimaron proporciones de hemorragia o eventos relacionados de 4,5% para la vía sublingual y 1,8% para la oral, con heterogeneidad elevada; estas cifras no fueron comparables. Los ensayos aleatorizados presentaron algunas preocupaciones de sesgo. La vía sublingual mostró mayor frecuencia de fiebre, escalofríos y temblores.</w:t>
      </w:r>
    </w:p>
    <w:p w14:paraId="5DCBAEB7" w14:textId="110F5B5B" w:rsidR="00F50E0B" w:rsidRDefault="000A2B53" w:rsidP="000A2B53">
      <w:r w:rsidRPr="000A2B53">
        <w:rPr>
          <w:b/>
          <w:bCs/>
        </w:rPr>
        <w:t>Conclusión:</w:t>
      </w:r>
      <w:r>
        <w:t xml:space="preserve"> La evidencia latinoamericana es insuficiente para confirmar la superioridad del misoprostol sublingual sobre el oral. Ambas vías mostraron actividad profiláctica, pero con resultados heterogéneos. Se requieren ensayos comparativos directos y rigurosos, especialmente en Nicaragua.</w:t>
      </w:r>
    </w:p>
    <w:p w14:paraId="4B68D17A" w14:textId="75A46BF1" w:rsidR="00F50E0B" w:rsidRDefault="000A2B53" w:rsidP="00F50E0B">
      <w:r w:rsidRPr="00763727">
        <w:rPr>
          <w:b/>
          <w:bCs/>
        </w:rPr>
        <w:t>Palabras claves:</w:t>
      </w:r>
      <w:r>
        <w:t xml:space="preserve"> </w:t>
      </w:r>
      <w:r w:rsidR="00763727">
        <w:t>M</w:t>
      </w:r>
      <w:r w:rsidRPr="000A2B53">
        <w:t>isoprostol sublingual</w:t>
      </w:r>
      <w:r w:rsidR="00763727">
        <w:t xml:space="preserve">, </w:t>
      </w:r>
      <w:r w:rsidRPr="000A2B53">
        <w:t>misoprostol oral</w:t>
      </w:r>
      <w:r w:rsidR="00763727">
        <w:t xml:space="preserve">, </w:t>
      </w:r>
      <w:r w:rsidRPr="000A2B53">
        <w:t xml:space="preserve">prevención de </w:t>
      </w:r>
      <w:r w:rsidR="00763727">
        <w:t xml:space="preserve">la </w:t>
      </w:r>
      <w:r w:rsidRPr="000A2B53">
        <w:t>hemorragia posparto</w:t>
      </w:r>
      <w:r w:rsidR="00763727">
        <w:t xml:space="preserve">, </w:t>
      </w:r>
      <w:r w:rsidRPr="000A2B53">
        <w:t>América Latina</w:t>
      </w:r>
      <w:r w:rsidR="00763727">
        <w:t xml:space="preserve">, </w:t>
      </w:r>
      <w:r w:rsidRPr="000A2B53">
        <w:t>revisión sistemática.</w:t>
      </w:r>
    </w:p>
    <w:p w14:paraId="1974FBAD" w14:textId="37E7D060" w:rsidR="00F50E0B" w:rsidRDefault="00F50E0B" w:rsidP="00F50E0B"/>
    <w:p w14:paraId="7433B843" w14:textId="49FF3D5D" w:rsidR="00FC4A35" w:rsidRDefault="00833DE5" w:rsidP="00EF472F">
      <w:pPr>
        <w:spacing w:after="0"/>
        <w:rPr>
          <w:b/>
          <w:bCs/>
          <w:sz w:val="28"/>
          <w:szCs w:val="28"/>
        </w:rPr>
      </w:pPr>
      <w:r w:rsidRPr="00833DE5">
        <w:rPr>
          <w:b/>
          <w:bCs/>
          <w:sz w:val="28"/>
          <w:szCs w:val="28"/>
        </w:rPr>
        <w:lastRenderedPageBreak/>
        <w:t>INDICE</w:t>
      </w:r>
      <w:r w:rsidR="00F50E0B">
        <w:rPr>
          <w:b/>
          <w:bCs/>
          <w:sz w:val="28"/>
          <w:szCs w:val="28"/>
        </w:rPr>
        <w:t xml:space="preserve"> GENERAL</w:t>
      </w:r>
    </w:p>
    <w:sdt>
      <w:sdtPr>
        <w:rPr>
          <w:rFonts w:ascii="Times New Roman" w:eastAsiaTheme="minorHAnsi" w:hAnsi="Times New Roman" w:cstheme="minorBidi"/>
          <w:color w:val="auto"/>
          <w:kern w:val="2"/>
          <w:sz w:val="24"/>
          <w:szCs w:val="24"/>
          <w:lang w:val="es-NI" w:eastAsia="en-US"/>
          <w14:ligatures w14:val="standardContextual"/>
        </w:rPr>
        <w:id w:val="-1250504796"/>
        <w:docPartObj>
          <w:docPartGallery w:val="Table of Contents"/>
          <w:docPartUnique/>
        </w:docPartObj>
      </w:sdtPr>
      <w:sdtEndPr>
        <w:rPr>
          <w:b/>
          <w:bCs/>
        </w:rPr>
      </w:sdtEndPr>
      <w:sdtContent>
        <w:p w14:paraId="0BD5AF2F" w14:textId="1F7AC9B5" w:rsidR="00833DE5" w:rsidRPr="00833DE5" w:rsidRDefault="00833DE5">
          <w:pPr>
            <w:pStyle w:val="TtuloTDC"/>
            <w:rPr>
              <w:sz w:val="14"/>
              <w:szCs w:val="14"/>
            </w:rPr>
          </w:pPr>
        </w:p>
        <w:p w14:paraId="621AC615" w14:textId="535E98BE" w:rsidR="00246BEA" w:rsidRDefault="00833DE5">
          <w:pPr>
            <w:pStyle w:val="TDC1"/>
            <w:tabs>
              <w:tab w:val="right" w:leader="dot" w:pos="8828"/>
            </w:tabs>
            <w:rPr>
              <w:rFonts w:asciiTheme="minorHAnsi" w:eastAsiaTheme="minorEastAsia" w:hAnsiTheme="minorHAnsi"/>
              <w:b w:val="0"/>
              <w:noProof/>
              <w:kern w:val="0"/>
              <w:sz w:val="22"/>
              <w:szCs w:val="22"/>
              <w:lang w:val="es-ES" w:eastAsia="es-ES"/>
              <w14:ligatures w14:val="none"/>
            </w:rPr>
          </w:pPr>
          <w:r>
            <w:rPr>
              <w:b w:val="0"/>
            </w:rPr>
            <w:fldChar w:fldCharType="begin"/>
          </w:r>
          <w:r>
            <w:rPr>
              <w:b w:val="0"/>
            </w:rPr>
            <w:instrText xml:space="preserve"> TOC \o "1-3" \h \z \u </w:instrText>
          </w:r>
          <w:r>
            <w:rPr>
              <w:b w:val="0"/>
            </w:rPr>
            <w:fldChar w:fldCharType="separate"/>
          </w:r>
          <w:hyperlink w:anchor="_Toc235815335" w:history="1">
            <w:r w:rsidR="00246BEA" w:rsidRPr="00A770AB">
              <w:rPr>
                <w:rStyle w:val="Hipervnculo"/>
                <w:noProof/>
              </w:rPr>
              <w:t>Resumen</w:t>
            </w:r>
            <w:r w:rsidR="00246BEA">
              <w:rPr>
                <w:noProof/>
                <w:webHidden/>
              </w:rPr>
              <w:tab/>
            </w:r>
            <w:r w:rsidR="00246BEA">
              <w:rPr>
                <w:noProof/>
                <w:webHidden/>
              </w:rPr>
              <w:fldChar w:fldCharType="begin"/>
            </w:r>
            <w:r w:rsidR="00246BEA">
              <w:rPr>
                <w:noProof/>
                <w:webHidden/>
              </w:rPr>
              <w:instrText xml:space="preserve"> PAGEREF _Toc235815335 \h </w:instrText>
            </w:r>
            <w:r w:rsidR="00246BEA">
              <w:rPr>
                <w:noProof/>
                <w:webHidden/>
              </w:rPr>
            </w:r>
            <w:r w:rsidR="00246BEA">
              <w:rPr>
                <w:noProof/>
                <w:webHidden/>
              </w:rPr>
              <w:fldChar w:fldCharType="separate"/>
            </w:r>
            <w:r w:rsidR="00C40E1E">
              <w:rPr>
                <w:noProof/>
                <w:webHidden/>
              </w:rPr>
              <w:t>iv</w:t>
            </w:r>
            <w:r w:rsidR="00246BEA">
              <w:rPr>
                <w:noProof/>
                <w:webHidden/>
              </w:rPr>
              <w:fldChar w:fldCharType="end"/>
            </w:r>
          </w:hyperlink>
        </w:p>
        <w:p w14:paraId="382E0106" w14:textId="5260A959"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36" w:history="1">
            <w:r w:rsidR="00246BEA" w:rsidRPr="00A770AB">
              <w:rPr>
                <w:rStyle w:val="Hipervnculo"/>
                <w:noProof/>
              </w:rPr>
              <w:t>Índice de tablas y figuras</w:t>
            </w:r>
            <w:r w:rsidR="00246BEA">
              <w:rPr>
                <w:noProof/>
                <w:webHidden/>
              </w:rPr>
              <w:tab/>
            </w:r>
            <w:r w:rsidR="00246BEA">
              <w:rPr>
                <w:noProof/>
                <w:webHidden/>
              </w:rPr>
              <w:fldChar w:fldCharType="begin"/>
            </w:r>
            <w:r w:rsidR="00246BEA">
              <w:rPr>
                <w:noProof/>
                <w:webHidden/>
              </w:rPr>
              <w:instrText xml:space="preserve"> PAGEREF _Toc235815336 \h </w:instrText>
            </w:r>
            <w:r w:rsidR="00246BEA">
              <w:rPr>
                <w:noProof/>
                <w:webHidden/>
              </w:rPr>
            </w:r>
            <w:r w:rsidR="00246BEA">
              <w:rPr>
                <w:noProof/>
                <w:webHidden/>
              </w:rPr>
              <w:fldChar w:fldCharType="separate"/>
            </w:r>
            <w:r w:rsidR="00C40E1E">
              <w:rPr>
                <w:noProof/>
                <w:webHidden/>
              </w:rPr>
              <w:t>viii</w:t>
            </w:r>
            <w:r w:rsidR="00246BEA">
              <w:rPr>
                <w:noProof/>
                <w:webHidden/>
              </w:rPr>
              <w:fldChar w:fldCharType="end"/>
            </w:r>
          </w:hyperlink>
        </w:p>
        <w:p w14:paraId="57EA2483" w14:textId="79DBF995"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37" w:history="1">
            <w:r w:rsidR="00246BEA" w:rsidRPr="00A770AB">
              <w:rPr>
                <w:rStyle w:val="Hipervnculo"/>
                <w:noProof/>
              </w:rPr>
              <w:t>Listado de siglas y abreviaturas</w:t>
            </w:r>
            <w:r w:rsidR="00246BEA">
              <w:rPr>
                <w:noProof/>
                <w:webHidden/>
              </w:rPr>
              <w:tab/>
            </w:r>
            <w:r w:rsidR="00246BEA">
              <w:rPr>
                <w:noProof/>
                <w:webHidden/>
              </w:rPr>
              <w:fldChar w:fldCharType="begin"/>
            </w:r>
            <w:r w:rsidR="00246BEA">
              <w:rPr>
                <w:noProof/>
                <w:webHidden/>
              </w:rPr>
              <w:instrText xml:space="preserve"> PAGEREF _Toc235815337 \h </w:instrText>
            </w:r>
            <w:r w:rsidR="00246BEA">
              <w:rPr>
                <w:noProof/>
                <w:webHidden/>
              </w:rPr>
            </w:r>
            <w:r w:rsidR="00246BEA">
              <w:rPr>
                <w:noProof/>
                <w:webHidden/>
              </w:rPr>
              <w:fldChar w:fldCharType="separate"/>
            </w:r>
            <w:r w:rsidR="00C40E1E">
              <w:rPr>
                <w:noProof/>
                <w:webHidden/>
              </w:rPr>
              <w:t>ix</w:t>
            </w:r>
            <w:r w:rsidR="00246BEA">
              <w:rPr>
                <w:noProof/>
                <w:webHidden/>
              </w:rPr>
              <w:fldChar w:fldCharType="end"/>
            </w:r>
          </w:hyperlink>
        </w:p>
        <w:p w14:paraId="4C878D8E" w14:textId="0FD8E04E"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38" w:history="1">
            <w:r w:rsidR="00246BEA" w:rsidRPr="00A770AB">
              <w:rPr>
                <w:rStyle w:val="Hipervnculo"/>
                <w:noProof/>
              </w:rPr>
              <w:t>Introducción</w:t>
            </w:r>
            <w:r w:rsidR="00246BEA">
              <w:rPr>
                <w:noProof/>
                <w:webHidden/>
              </w:rPr>
              <w:tab/>
            </w:r>
            <w:r w:rsidR="00246BEA">
              <w:rPr>
                <w:noProof/>
                <w:webHidden/>
              </w:rPr>
              <w:fldChar w:fldCharType="begin"/>
            </w:r>
            <w:r w:rsidR="00246BEA">
              <w:rPr>
                <w:noProof/>
                <w:webHidden/>
              </w:rPr>
              <w:instrText xml:space="preserve"> PAGEREF _Toc235815338 \h </w:instrText>
            </w:r>
            <w:r w:rsidR="00246BEA">
              <w:rPr>
                <w:noProof/>
                <w:webHidden/>
              </w:rPr>
            </w:r>
            <w:r w:rsidR="00246BEA">
              <w:rPr>
                <w:noProof/>
                <w:webHidden/>
              </w:rPr>
              <w:fldChar w:fldCharType="separate"/>
            </w:r>
            <w:r w:rsidR="00C40E1E">
              <w:rPr>
                <w:noProof/>
                <w:webHidden/>
              </w:rPr>
              <w:t>10</w:t>
            </w:r>
            <w:r w:rsidR="00246BEA">
              <w:rPr>
                <w:noProof/>
                <w:webHidden/>
              </w:rPr>
              <w:fldChar w:fldCharType="end"/>
            </w:r>
          </w:hyperlink>
        </w:p>
        <w:p w14:paraId="074E63DF" w14:textId="3EA44848"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39" w:history="1">
            <w:r w:rsidR="00246BEA" w:rsidRPr="00A770AB">
              <w:rPr>
                <w:rStyle w:val="Hipervnculo"/>
                <w:noProof/>
              </w:rPr>
              <w:t>Antecedentes</w:t>
            </w:r>
            <w:r w:rsidR="00246BEA">
              <w:rPr>
                <w:noProof/>
                <w:webHidden/>
              </w:rPr>
              <w:tab/>
            </w:r>
            <w:r w:rsidR="00246BEA">
              <w:rPr>
                <w:noProof/>
                <w:webHidden/>
              </w:rPr>
              <w:fldChar w:fldCharType="begin"/>
            </w:r>
            <w:r w:rsidR="00246BEA">
              <w:rPr>
                <w:noProof/>
                <w:webHidden/>
              </w:rPr>
              <w:instrText xml:space="preserve"> PAGEREF _Toc235815339 \h </w:instrText>
            </w:r>
            <w:r w:rsidR="00246BEA">
              <w:rPr>
                <w:noProof/>
                <w:webHidden/>
              </w:rPr>
            </w:r>
            <w:r w:rsidR="00246BEA">
              <w:rPr>
                <w:noProof/>
                <w:webHidden/>
              </w:rPr>
              <w:fldChar w:fldCharType="separate"/>
            </w:r>
            <w:r w:rsidR="00C40E1E">
              <w:rPr>
                <w:noProof/>
                <w:webHidden/>
              </w:rPr>
              <w:t>12</w:t>
            </w:r>
            <w:r w:rsidR="00246BEA">
              <w:rPr>
                <w:noProof/>
                <w:webHidden/>
              </w:rPr>
              <w:fldChar w:fldCharType="end"/>
            </w:r>
          </w:hyperlink>
        </w:p>
        <w:p w14:paraId="655A08F9" w14:textId="230BFF3C"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40" w:history="1">
            <w:r w:rsidR="00246BEA" w:rsidRPr="00A770AB">
              <w:rPr>
                <w:rStyle w:val="Hipervnculo"/>
                <w:noProof/>
              </w:rPr>
              <w:t>Justificación</w:t>
            </w:r>
            <w:r w:rsidR="00246BEA">
              <w:rPr>
                <w:noProof/>
                <w:webHidden/>
              </w:rPr>
              <w:tab/>
            </w:r>
            <w:r w:rsidR="00246BEA">
              <w:rPr>
                <w:noProof/>
                <w:webHidden/>
              </w:rPr>
              <w:fldChar w:fldCharType="begin"/>
            </w:r>
            <w:r w:rsidR="00246BEA">
              <w:rPr>
                <w:noProof/>
                <w:webHidden/>
              </w:rPr>
              <w:instrText xml:space="preserve"> PAGEREF _Toc235815340 \h </w:instrText>
            </w:r>
            <w:r w:rsidR="00246BEA">
              <w:rPr>
                <w:noProof/>
                <w:webHidden/>
              </w:rPr>
            </w:r>
            <w:r w:rsidR="00246BEA">
              <w:rPr>
                <w:noProof/>
                <w:webHidden/>
              </w:rPr>
              <w:fldChar w:fldCharType="separate"/>
            </w:r>
            <w:r w:rsidR="00C40E1E">
              <w:rPr>
                <w:noProof/>
                <w:webHidden/>
              </w:rPr>
              <w:t>15</w:t>
            </w:r>
            <w:r w:rsidR="00246BEA">
              <w:rPr>
                <w:noProof/>
                <w:webHidden/>
              </w:rPr>
              <w:fldChar w:fldCharType="end"/>
            </w:r>
          </w:hyperlink>
        </w:p>
        <w:p w14:paraId="4A1723AE" w14:textId="4FE07A11"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41" w:history="1">
            <w:r w:rsidR="00246BEA" w:rsidRPr="00A770AB">
              <w:rPr>
                <w:rStyle w:val="Hipervnculo"/>
                <w:noProof/>
              </w:rPr>
              <w:t>Planteamiento del problema</w:t>
            </w:r>
            <w:r w:rsidR="00246BEA">
              <w:rPr>
                <w:noProof/>
                <w:webHidden/>
              </w:rPr>
              <w:tab/>
            </w:r>
            <w:r w:rsidR="00246BEA">
              <w:rPr>
                <w:noProof/>
                <w:webHidden/>
              </w:rPr>
              <w:fldChar w:fldCharType="begin"/>
            </w:r>
            <w:r w:rsidR="00246BEA">
              <w:rPr>
                <w:noProof/>
                <w:webHidden/>
              </w:rPr>
              <w:instrText xml:space="preserve"> PAGEREF _Toc235815341 \h </w:instrText>
            </w:r>
            <w:r w:rsidR="00246BEA">
              <w:rPr>
                <w:noProof/>
                <w:webHidden/>
              </w:rPr>
            </w:r>
            <w:r w:rsidR="00246BEA">
              <w:rPr>
                <w:noProof/>
                <w:webHidden/>
              </w:rPr>
              <w:fldChar w:fldCharType="separate"/>
            </w:r>
            <w:r w:rsidR="00C40E1E">
              <w:rPr>
                <w:noProof/>
                <w:webHidden/>
              </w:rPr>
              <w:t>16</w:t>
            </w:r>
            <w:r w:rsidR="00246BEA">
              <w:rPr>
                <w:noProof/>
                <w:webHidden/>
              </w:rPr>
              <w:fldChar w:fldCharType="end"/>
            </w:r>
          </w:hyperlink>
        </w:p>
        <w:p w14:paraId="74C0A146" w14:textId="33A4BA63"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42" w:history="1">
            <w:r w:rsidR="00246BEA" w:rsidRPr="00A770AB">
              <w:rPr>
                <w:rStyle w:val="Hipervnculo"/>
                <w:noProof/>
              </w:rPr>
              <w:t>Objetivos</w:t>
            </w:r>
            <w:r w:rsidR="00246BEA">
              <w:rPr>
                <w:noProof/>
                <w:webHidden/>
              </w:rPr>
              <w:tab/>
            </w:r>
            <w:r w:rsidR="00246BEA">
              <w:rPr>
                <w:noProof/>
                <w:webHidden/>
              </w:rPr>
              <w:fldChar w:fldCharType="begin"/>
            </w:r>
            <w:r w:rsidR="00246BEA">
              <w:rPr>
                <w:noProof/>
                <w:webHidden/>
              </w:rPr>
              <w:instrText xml:space="preserve"> PAGEREF _Toc235815342 \h </w:instrText>
            </w:r>
            <w:r w:rsidR="00246BEA">
              <w:rPr>
                <w:noProof/>
                <w:webHidden/>
              </w:rPr>
            </w:r>
            <w:r w:rsidR="00246BEA">
              <w:rPr>
                <w:noProof/>
                <w:webHidden/>
              </w:rPr>
              <w:fldChar w:fldCharType="separate"/>
            </w:r>
            <w:r w:rsidR="00C40E1E">
              <w:rPr>
                <w:noProof/>
                <w:webHidden/>
              </w:rPr>
              <w:t>18</w:t>
            </w:r>
            <w:r w:rsidR="00246BEA">
              <w:rPr>
                <w:noProof/>
                <w:webHidden/>
              </w:rPr>
              <w:fldChar w:fldCharType="end"/>
            </w:r>
          </w:hyperlink>
        </w:p>
        <w:p w14:paraId="1CF7FD2F" w14:textId="00BC836D"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43" w:history="1">
            <w:r w:rsidR="00246BEA" w:rsidRPr="00A770AB">
              <w:rPr>
                <w:rStyle w:val="Hipervnculo"/>
                <w:noProof/>
              </w:rPr>
              <w:t>Objetivo general</w:t>
            </w:r>
            <w:r w:rsidR="00246BEA">
              <w:rPr>
                <w:noProof/>
                <w:webHidden/>
              </w:rPr>
              <w:tab/>
            </w:r>
            <w:r w:rsidR="00246BEA">
              <w:rPr>
                <w:noProof/>
                <w:webHidden/>
              </w:rPr>
              <w:fldChar w:fldCharType="begin"/>
            </w:r>
            <w:r w:rsidR="00246BEA">
              <w:rPr>
                <w:noProof/>
                <w:webHidden/>
              </w:rPr>
              <w:instrText xml:space="preserve"> PAGEREF _Toc235815343 \h </w:instrText>
            </w:r>
            <w:r w:rsidR="00246BEA">
              <w:rPr>
                <w:noProof/>
                <w:webHidden/>
              </w:rPr>
            </w:r>
            <w:r w:rsidR="00246BEA">
              <w:rPr>
                <w:noProof/>
                <w:webHidden/>
              </w:rPr>
              <w:fldChar w:fldCharType="separate"/>
            </w:r>
            <w:r w:rsidR="00C40E1E">
              <w:rPr>
                <w:noProof/>
                <w:webHidden/>
              </w:rPr>
              <w:t>18</w:t>
            </w:r>
            <w:r w:rsidR="00246BEA">
              <w:rPr>
                <w:noProof/>
                <w:webHidden/>
              </w:rPr>
              <w:fldChar w:fldCharType="end"/>
            </w:r>
          </w:hyperlink>
        </w:p>
        <w:p w14:paraId="70B8A633" w14:textId="3F6CE471"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44" w:history="1">
            <w:r w:rsidR="00246BEA" w:rsidRPr="00A770AB">
              <w:rPr>
                <w:rStyle w:val="Hipervnculo"/>
                <w:noProof/>
              </w:rPr>
              <w:t>Objetivos específicos</w:t>
            </w:r>
            <w:r w:rsidR="00246BEA">
              <w:rPr>
                <w:noProof/>
                <w:webHidden/>
              </w:rPr>
              <w:tab/>
            </w:r>
            <w:r w:rsidR="00246BEA">
              <w:rPr>
                <w:noProof/>
                <w:webHidden/>
              </w:rPr>
              <w:fldChar w:fldCharType="begin"/>
            </w:r>
            <w:r w:rsidR="00246BEA">
              <w:rPr>
                <w:noProof/>
                <w:webHidden/>
              </w:rPr>
              <w:instrText xml:space="preserve"> PAGEREF _Toc235815344 \h </w:instrText>
            </w:r>
            <w:r w:rsidR="00246BEA">
              <w:rPr>
                <w:noProof/>
                <w:webHidden/>
              </w:rPr>
            </w:r>
            <w:r w:rsidR="00246BEA">
              <w:rPr>
                <w:noProof/>
                <w:webHidden/>
              </w:rPr>
              <w:fldChar w:fldCharType="separate"/>
            </w:r>
            <w:r w:rsidR="00C40E1E">
              <w:rPr>
                <w:noProof/>
                <w:webHidden/>
              </w:rPr>
              <w:t>18</w:t>
            </w:r>
            <w:r w:rsidR="00246BEA">
              <w:rPr>
                <w:noProof/>
                <w:webHidden/>
              </w:rPr>
              <w:fldChar w:fldCharType="end"/>
            </w:r>
          </w:hyperlink>
        </w:p>
        <w:p w14:paraId="76CCE038" w14:textId="2C3357A2"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45" w:history="1">
            <w:r w:rsidR="00246BEA" w:rsidRPr="00A770AB">
              <w:rPr>
                <w:rStyle w:val="Hipervnculo"/>
                <w:noProof/>
              </w:rPr>
              <w:t>Marco teórico</w:t>
            </w:r>
            <w:r w:rsidR="00246BEA">
              <w:rPr>
                <w:noProof/>
                <w:webHidden/>
              </w:rPr>
              <w:tab/>
            </w:r>
            <w:r w:rsidR="00246BEA">
              <w:rPr>
                <w:noProof/>
                <w:webHidden/>
              </w:rPr>
              <w:fldChar w:fldCharType="begin"/>
            </w:r>
            <w:r w:rsidR="00246BEA">
              <w:rPr>
                <w:noProof/>
                <w:webHidden/>
              </w:rPr>
              <w:instrText xml:space="preserve"> PAGEREF _Toc235815345 \h </w:instrText>
            </w:r>
            <w:r w:rsidR="00246BEA">
              <w:rPr>
                <w:noProof/>
                <w:webHidden/>
              </w:rPr>
            </w:r>
            <w:r w:rsidR="00246BEA">
              <w:rPr>
                <w:noProof/>
                <w:webHidden/>
              </w:rPr>
              <w:fldChar w:fldCharType="separate"/>
            </w:r>
            <w:r w:rsidR="00C40E1E">
              <w:rPr>
                <w:noProof/>
                <w:webHidden/>
              </w:rPr>
              <w:t>19</w:t>
            </w:r>
            <w:r w:rsidR="00246BEA">
              <w:rPr>
                <w:noProof/>
                <w:webHidden/>
              </w:rPr>
              <w:fldChar w:fldCharType="end"/>
            </w:r>
          </w:hyperlink>
        </w:p>
        <w:p w14:paraId="2CC2C18D" w14:textId="7C61C454"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46" w:history="1">
            <w:r w:rsidR="00246BEA" w:rsidRPr="00A770AB">
              <w:rPr>
                <w:rStyle w:val="Hipervnculo"/>
                <w:rFonts w:eastAsia="Times New Roman"/>
                <w:noProof/>
                <w:lang w:val="es-ES" w:eastAsia="es-ES"/>
              </w:rPr>
              <w:t>Definición de hemorragia posparto</w:t>
            </w:r>
            <w:r w:rsidR="00246BEA">
              <w:rPr>
                <w:noProof/>
                <w:webHidden/>
              </w:rPr>
              <w:tab/>
            </w:r>
            <w:r w:rsidR="00246BEA">
              <w:rPr>
                <w:noProof/>
                <w:webHidden/>
              </w:rPr>
              <w:fldChar w:fldCharType="begin"/>
            </w:r>
            <w:r w:rsidR="00246BEA">
              <w:rPr>
                <w:noProof/>
                <w:webHidden/>
              </w:rPr>
              <w:instrText xml:space="preserve"> PAGEREF _Toc235815346 \h </w:instrText>
            </w:r>
            <w:r w:rsidR="00246BEA">
              <w:rPr>
                <w:noProof/>
                <w:webHidden/>
              </w:rPr>
            </w:r>
            <w:r w:rsidR="00246BEA">
              <w:rPr>
                <w:noProof/>
                <w:webHidden/>
              </w:rPr>
              <w:fldChar w:fldCharType="separate"/>
            </w:r>
            <w:r w:rsidR="00C40E1E">
              <w:rPr>
                <w:noProof/>
                <w:webHidden/>
              </w:rPr>
              <w:t>19</w:t>
            </w:r>
            <w:r w:rsidR="00246BEA">
              <w:rPr>
                <w:noProof/>
                <w:webHidden/>
              </w:rPr>
              <w:fldChar w:fldCharType="end"/>
            </w:r>
          </w:hyperlink>
        </w:p>
        <w:p w14:paraId="468805C7" w14:textId="4E94102E"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47" w:history="1">
            <w:r w:rsidR="00246BEA" w:rsidRPr="00A770AB">
              <w:rPr>
                <w:rStyle w:val="Hipervnculo"/>
                <w:rFonts w:eastAsia="Times New Roman"/>
                <w:noProof/>
                <w:lang w:val="es-ES" w:eastAsia="es-ES"/>
              </w:rPr>
              <w:t>Epidemiología e importancia clínica de la hemorragia posparto</w:t>
            </w:r>
            <w:r w:rsidR="00246BEA">
              <w:rPr>
                <w:noProof/>
                <w:webHidden/>
              </w:rPr>
              <w:tab/>
            </w:r>
            <w:r w:rsidR="00246BEA">
              <w:rPr>
                <w:noProof/>
                <w:webHidden/>
              </w:rPr>
              <w:fldChar w:fldCharType="begin"/>
            </w:r>
            <w:r w:rsidR="00246BEA">
              <w:rPr>
                <w:noProof/>
                <w:webHidden/>
              </w:rPr>
              <w:instrText xml:space="preserve"> PAGEREF _Toc235815347 \h </w:instrText>
            </w:r>
            <w:r w:rsidR="00246BEA">
              <w:rPr>
                <w:noProof/>
                <w:webHidden/>
              </w:rPr>
            </w:r>
            <w:r w:rsidR="00246BEA">
              <w:rPr>
                <w:noProof/>
                <w:webHidden/>
              </w:rPr>
              <w:fldChar w:fldCharType="separate"/>
            </w:r>
            <w:r w:rsidR="00C40E1E">
              <w:rPr>
                <w:noProof/>
                <w:webHidden/>
              </w:rPr>
              <w:t>20</w:t>
            </w:r>
            <w:r w:rsidR="00246BEA">
              <w:rPr>
                <w:noProof/>
                <w:webHidden/>
              </w:rPr>
              <w:fldChar w:fldCharType="end"/>
            </w:r>
          </w:hyperlink>
        </w:p>
        <w:p w14:paraId="6B528F0A" w14:textId="509E33E3"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48" w:history="1">
            <w:r w:rsidR="00246BEA" w:rsidRPr="00A770AB">
              <w:rPr>
                <w:rStyle w:val="Hipervnculo"/>
                <w:rFonts w:eastAsia="Times New Roman"/>
                <w:noProof/>
                <w:lang w:val="es-ES" w:eastAsia="es-ES"/>
              </w:rPr>
              <w:t>Fisiología del tercer periodo del parto y hemostasia uterina</w:t>
            </w:r>
            <w:r w:rsidR="00246BEA">
              <w:rPr>
                <w:noProof/>
                <w:webHidden/>
              </w:rPr>
              <w:tab/>
            </w:r>
            <w:r w:rsidR="00246BEA">
              <w:rPr>
                <w:noProof/>
                <w:webHidden/>
              </w:rPr>
              <w:fldChar w:fldCharType="begin"/>
            </w:r>
            <w:r w:rsidR="00246BEA">
              <w:rPr>
                <w:noProof/>
                <w:webHidden/>
              </w:rPr>
              <w:instrText xml:space="preserve"> PAGEREF _Toc235815348 \h </w:instrText>
            </w:r>
            <w:r w:rsidR="00246BEA">
              <w:rPr>
                <w:noProof/>
                <w:webHidden/>
              </w:rPr>
            </w:r>
            <w:r w:rsidR="00246BEA">
              <w:rPr>
                <w:noProof/>
                <w:webHidden/>
              </w:rPr>
              <w:fldChar w:fldCharType="separate"/>
            </w:r>
            <w:r w:rsidR="00C40E1E">
              <w:rPr>
                <w:noProof/>
                <w:webHidden/>
              </w:rPr>
              <w:t>21</w:t>
            </w:r>
            <w:r w:rsidR="00246BEA">
              <w:rPr>
                <w:noProof/>
                <w:webHidden/>
              </w:rPr>
              <w:fldChar w:fldCharType="end"/>
            </w:r>
          </w:hyperlink>
        </w:p>
        <w:p w14:paraId="5946541D" w14:textId="159F8B1F"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49" w:history="1">
            <w:r w:rsidR="00246BEA" w:rsidRPr="00A770AB">
              <w:rPr>
                <w:rStyle w:val="Hipervnculo"/>
                <w:noProof/>
              </w:rPr>
              <w:t>Etiología y factores de riesgo de la hemorragia posparto</w:t>
            </w:r>
            <w:r w:rsidR="00246BEA">
              <w:rPr>
                <w:noProof/>
                <w:webHidden/>
              </w:rPr>
              <w:tab/>
            </w:r>
            <w:r w:rsidR="00246BEA">
              <w:rPr>
                <w:noProof/>
                <w:webHidden/>
              </w:rPr>
              <w:fldChar w:fldCharType="begin"/>
            </w:r>
            <w:r w:rsidR="00246BEA">
              <w:rPr>
                <w:noProof/>
                <w:webHidden/>
              </w:rPr>
              <w:instrText xml:space="preserve"> PAGEREF _Toc235815349 \h </w:instrText>
            </w:r>
            <w:r w:rsidR="00246BEA">
              <w:rPr>
                <w:noProof/>
                <w:webHidden/>
              </w:rPr>
            </w:r>
            <w:r w:rsidR="00246BEA">
              <w:rPr>
                <w:noProof/>
                <w:webHidden/>
              </w:rPr>
              <w:fldChar w:fldCharType="separate"/>
            </w:r>
            <w:r w:rsidR="00C40E1E">
              <w:rPr>
                <w:noProof/>
                <w:webHidden/>
              </w:rPr>
              <w:t>22</w:t>
            </w:r>
            <w:r w:rsidR="00246BEA">
              <w:rPr>
                <w:noProof/>
                <w:webHidden/>
              </w:rPr>
              <w:fldChar w:fldCharType="end"/>
            </w:r>
          </w:hyperlink>
        </w:p>
        <w:p w14:paraId="7A15C282" w14:textId="7EEA427D"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0" w:history="1">
            <w:r w:rsidR="00246BEA" w:rsidRPr="00A770AB">
              <w:rPr>
                <w:rStyle w:val="Hipervnculo"/>
                <w:noProof/>
              </w:rPr>
              <w:t>Prevención de la hemorragia posparto</w:t>
            </w:r>
            <w:r w:rsidR="00246BEA">
              <w:rPr>
                <w:noProof/>
                <w:webHidden/>
              </w:rPr>
              <w:tab/>
            </w:r>
            <w:r w:rsidR="00246BEA">
              <w:rPr>
                <w:noProof/>
                <w:webHidden/>
              </w:rPr>
              <w:fldChar w:fldCharType="begin"/>
            </w:r>
            <w:r w:rsidR="00246BEA">
              <w:rPr>
                <w:noProof/>
                <w:webHidden/>
              </w:rPr>
              <w:instrText xml:space="preserve"> PAGEREF _Toc235815350 \h </w:instrText>
            </w:r>
            <w:r w:rsidR="00246BEA">
              <w:rPr>
                <w:noProof/>
                <w:webHidden/>
              </w:rPr>
            </w:r>
            <w:r w:rsidR="00246BEA">
              <w:rPr>
                <w:noProof/>
                <w:webHidden/>
              </w:rPr>
              <w:fldChar w:fldCharType="separate"/>
            </w:r>
            <w:r w:rsidR="00C40E1E">
              <w:rPr>
                <w:noProof/>
                <w:webHidden/>
              </w:rPr>
              <w:t>23</w:t>
            </w:r>
            <w:r w:rsidR="00246BEA">
              <w:rPr>
                <w:noProof/>
                <w:webHidden/>
              </w:rPr>
              <w:fldChar w:fldCharType="end"/>
            </w:r>
          </w:hyperlink>
        </w:p>
        <w:p w14:paraId="2FD3FD99" w14:textId="0245F783"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1" w:history="1">
            <w:r w:rsidR="00246BEA" w:rsidRPr="00A770AB">
              <w:rPr>
                <w:rStyle w:val="Hipervnculo"/>
                <w:noProof/>
              </w:rPr>
              <w:t>Uterotónicos utilizados en la prevención de hemorragia posparto</w:t>
            </w:r>
            <w:r w:rsidR="00246BEA">
              <w:rPr>
                <w:noProof/>
                <w:webHidden/>
              </w:rPr>
              <w:tab/>
            </w:r>
            <w:r w:rsidR="00246BEA">
              <w:rPr>
                <w:noProof/>
                <w:webHidden/>
              </w:rPr>
              <w:fldChar w:fldCharType="begin"/>
            </w:r>
            <w:r w:rsidR="00246BEA">
              <w:rPr>
                <w:noProof/>
                <w:webHidden/>
              </w:rPr>
              <w:instrText xml:space="preserve"> PAGEREF _Toc235815351 \h </w:instrText>
            </w:r>
            <w:r w:rsidR="00246BEA">
              <w:rPr>
                <w:noProof/>
                <w:webHidden/>
              </w:rPr>
            </w:r>
            <w:r w:rsidR="00246BEA">
              <w:rPr>
                <w:noProof/>
                <w:webHidden/>
              </w:rPr>
              <w:fldChar w:fldCharType="separate"/>
            </w:r>
            <w:r w:rsidR="00C40E1E">
              <w:rPr>
                <w:noProof/>
                <w:webHidden/>
              </w:rPr>
              <w:t>24</w:t>
            </w:r>
            <w:r w:rsidR="00246BEA">
              <w:rPr>
                <w:noProof/>
                <w:webHidden/>
              </w:rPr>
              <w:fldChar w:fldCharType="end"/>
            </w:r>
          </w:hyperlink>
        </w:p>
        <w:p w14:paraId="72B4A089" w14:textId="7CA7A2FC"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2" w:history="1">
            <w:r w:rsidR="00246BEA" w:rsidRPr="00A770AB">
              <w:rPr>
                <w:rStyle w:val="Hipervnculo"/>
                <w:noProof/>
              </w:rPr>
              <w:t>Misoprostol: características generales y mecanismo de acción</w:t>
            </w:r>
            <w:r w:rsidR="00246BEA">
              <w:rPr>
                <w:noProof/>
                <w:webHidden/>
              </w:rPr>
              <w:tab/>
            </w:r>
            <w:r w:rsidR="00246BEA">
              <w:rPr>
                <w:noProof/>
                <w:webHidden/>
              </w:rPr>
              <w:fldChar w:fldCharType="begin"/>
            </w:r>
            <w:r w:rsidR="00246BEA">
              <w:rPr>
                <w:noProof/>
                <w:webHidden/>
              </w:rPr>
              <w:instrText xml:space="preserve"> PAGEREF _Toc235815352 \h </w:instrText>
            </w:r>
            <w:r w:rsidR="00246BEA">
              <w:rPr>
                <w:noProof/>
                <w:webHidden/>
              </w:rPr>
            </w:r>
            <w:r w:rsidR="00246BEA">
              <w:rPr>
                <w:noProof/>
                <w:webHidden/>
              </w:rPr>
              <w:fldChar w:fldCharType="separate"/>
            </w:r>
            <w:r w:rsidR="00C40E1E">
              <w:rPr>
                <w:noProof/>
                <w:webHidden/>
              </w:rPr>
              <w:t>25</w:t>
            </w:r>
            <w:r w:rsidR="00246BEA">
              <w:rPr>
                <w:noProof/>
                <w:webHidden/>
              </w:rPr>
              <w:fldChar w:fldCharType="end"/>
            </w:r>
          </w:hyperlink>
        </w:p>
        <w:p w14:paraId="167F8C54" w14:textId="03439D44"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3" w:history="1">
            <w:r w:rsidR="00246BEA" w:rsidRPr="00A770AB">
              <w:rPr>
                <w:rStyle w:val="Hipervnculo"/>
                <w:noProof/>
              </w:rPr>
              <w:t>Farmacocinética del misoprostol administrado por vía oral</w:t>
            </w:r>
            <w:r w:rsidR="00246BEA">
              <w:rPr>
                <w:noProof/>
                <w:webHidden/>
              </w:rPr>
              <w:tab/>
            </w:r>
            <w:r w:rsidR="00246BEA">
              <w:rPr>
                <w:noProof/>
                <w:webHidden/>
              </w:rPr>
              <w:fldChar w:fldCharType="begin"/>
            </w:r>
            <w:r w:rsidR="00246BEA">
              <w:rPr>
                <w:noProof/>
                <w:webHidden/>
              </w:rPr>
              <w:instrText xml:space="preserve"> PAGEREF _Toc235815353 \h </w:instrText>
            </w:r>
            <w:r w:rsidR="00246BEA">
              <w:rPr>
                <w:noProof/>
                <w:webHidden/>
              </w:rPr>
            </w:r>
            <w:r w:rsidR="00246BEA">
              <w:rPr>
                <w:noProof/>
                <w:webHidden/>
              </w:rPr>
              <w:fldChar w:fldCharType="separate"/>
            </w:r>
            <w:r w:rsidR="00C40E1E">
              <w:rPr>
                <w:noProof/>
                <w:webHidden/>
              </w:rPr>
              <w:t>26</w:t>
            </w:r>
            <w:r w:rsidR="00246BEA">
              <w:rPr>
                <w:noProof/>
                <w:webHidden/>
              </w:rPr>
              <w:fldChar w:fldCharType="end"/>
            </w:r>
          </w:hyperlink>
        </w:p>
        <w:p w14:paraId="36371D00" w14:textId="75E87322"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4" w:history="1">
            <w:r w:rsidR="00246BEA" w:rsidRPr="00A770AB">
              <w:rPr>
                <w:rStyle w:val="Hipervnculo"/>
                <w:noProof/>
              </w:rPr>
              <w:t>Farmacocinética del misoprostol administrado por vía sublingual</w:t>
            </w:r>
            <w:r w:rsidR="00246BEA">
              <w:rPr>
                <w:noProof/>
                <w:webHidden/>
              </w:rPr>
              <w:tab/>
            </w:r>
            <w:r w:rsidR="00246BEA">
              <w:rPr>
                <w:noProof/>
                <w:webHidden/>
              </w:rPr>
              <w:fldChar w:fldCharType="begin"/>
            </w:r>
            <w:r w:rsidR="00246BEA">
              <w:rPr>
                <w:noProof/>
                <w:webHidden/>
              </w:rPr>
              <w:instrText xml:space="preserve"> PAGEREF _Toc235815354 \h </w:instrText>
            </w:r>
            <w:r w:rsidR="00246BEA">
              <w:rPr>
                <w:noProof/>
                <w:webHidden/>
              </w:rPr>
            </w:r>
            <w:r w:rsidR="00246BEA">
              <w:rPr>
                <w:noProof/>
                <w:webHidden/>
              </w:rPr>
              <w:fldChar w:fldCharType="separate"/>
            </w:r>
            <w:r w:rsidR="00C40E1E">
              <w:rPr>
                <w:noProof/>
                <w:webHidden/>
              </w:rPr>
              <w:t>27</w:t>
            </w:r>
            <w:r w:rsidR="00246BEA">
              <w:rPr>
                <w:noProof/>
                <w:webHidden/>
              </w:rPr>
              <w:fldChar w:fldCharType="end"/>
            </w:r>
          </w:hyperlink>
        </w:p>
        <w:p w14:paraId="7B606276" w14:textId="1BF92FFE"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5" w:history="1">
            <w:r w:rsidR="00246BEA" w:rsidRPr="00A770AB">
              <w:rPr>
                <w:rStyle w:val="Hipervnculo"/>
                <w:noProof/>
              </w:rPr>
              <w:t>Diferencias entre vía oral y vía sublingual</w:t>
            </w:r>
            <w:r w:rsidR="00246BEA">
              <w:rPr>
                <w:noProof/>
                <w:webHidden/>
              </w:rPr>
              <w:tab/>
            </w:r>
            <w:r w:rsidR="00246BEA">
              <w:rPr>
                <w:noProof/>
                <w:webHidden/>
              </w:rPr>
              <w:fldChar w:fldCharType="begin"/>
            </w:r>
            <w:r w:rsidR="00246BEA">
              <w:rPr>
                <w:noProof/>
                <w:webHidden/>
              </w:rPr>
              <w:instrText xml:space="preserve"> PAGEREF _Toc235815355 \h </w:instrText>
            </w:r>
            <w:r w:rsidR="00246BEA">
              <w:rPr>
                <w:noProof/>
                <w:webHidden/>
              </w:rPr>
            </w:r>
            <w:r w:rsidR="00246BEA">
              <w:rPr>
                <w:noProof/>
                <w:webHidden/>
              </w:rPr>
              <w:fldChar w:fldCharType="separate"/>
            </w:r>
            <w:r w:rsidR="00C40E1E">
              <w:rPr>
                <w:noProof/>
                <w:webHidden/>
              </w:rPr>
              <w:t>27</w:t>
            </w:r>
            <w:r w:rsidR="00246BEA">
              <w:rPr>
                <w:noProof/>
                <w:webHidden/>
              </w:rPr>
              <w:fldChar w:fldCharType="end"/>
            </w:r>
          </w:hyperlink>
        </w:p>
        <w:p w14:paraId="3BAE446D" w14:textId="07C53451"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6" w:history="1">
            <w:r w:rsidR="00246BEA" w:rsidRPr="00A770AB">
              <w:rPr>
                <w:rStyle w:val="Hipervnculo"/>
                <w:noProof/>
              </w:rPr>
              <w:t>Efectividad del misoprostol en la prevención de hemorragia posparto</w:t>
            </w:r>
            <w:r w:rsidR="00246BEA">
              <w:rPr>
                <w:noProof/>
                <w:webHidden/>
              </w:rPr>
              <w:tab/>
            </w:r>
            <w:r w:rsidR="00246BEA">
              <w:rPr>
                <w:noProof/>
                <w:webHidden/>
              </w:rPr>
              <w:fldChar w:fldCharType="begin"/>
            </w:r>
            <w:r w:rsidR="00246BEA">
              <w:rPr>
                <w:noProof/>
                <w:webHidden/>
              </w:rPr>
              <w:instrText xml:space="preserve"> PAGEREF _Toc235815356 \h </w:instrText>
            </w:r>
            <w:r w:rsidR="00246BEA">
              <w:rPr>
                <w:noProof/>
                <w:webHidden/>
              </w:rPr>
            </w:r>
            <w:r w:rsidR="00246BEA">
              <w:rPr>
                <w:noProof/>
                <w:webHidden/>
              </w:rPr>
              <w:fldChar w:fldCharType="separate"/>
            </w:r>
            <w:r w:rsidR="00C40E1E">
              <w:rPr>
                <w:noProof/>
                <w:webHidden/>
              </w:rPr>
              <w:t>28</w:t>
            </w:r>
            <w:r w:rsidR="00246BEA">
              <w:rPr>
                <w:noProof/>
                <w:webHidden/>
              </w:rPr>
              <w:fldChar w:fldCharType="end"/>
            </w:r>
          </w:hyperlink>
        </w:p>
        <w:p w14:paraId="2783D14E" w14:textId="2301A143"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7" w:history="1">
            <w:r w:rsidR="00246BEA" w:rsidRPr="00A770AB">
              <w:rPr>
                <w:rStyle w:val="Hipervnculo"/>
                <w:noProof/>
              </w:rPr>
              <w:t>Seguridad y efectos adversos del misoprostol</w:t>
            </w:r>
            <w:r w:rsidR="00246BEA">
              <w:rPr>
                <w:noProof/>
                <w:webHidden/>
              </w:rPr>
              <w:tab/>
            </w:r>
            <w:r w:rsidR="00246BEA">
              <w:rPr>
                <w:noProof/>
                <w:webHidden/>
              </w:rPr>
              <w:fldChar w:fldCharType="begin"/>
            </w:r>
            <w:r w:rsidR="00246BEA">
              <w:rPr>
                <w:noProof/>
                <w:webHidden/>
              </w:rPr>
              <w:instrText xml:space="preserve"> PAGEREF _Toc235815357 \h </w:instrText>
            </w:r>
            <w:r w:rsidR="00246BEA">
              <w:rPr>
                <w:noProof/>
                <w:webHidden/>
              </w:rPr>
            </w:r>
            <w:r w:rsidR="00246BEA">
              <w:rPr>
                <w:noProof/>
                <w:webHidden/>
              </w:rPr>
              <w:fldChar w:fldCharType="separate"/>
            </w:r>
            <w:r w:rsidR="00C40E1E">
              <w:rPr>
                <w:noProof/>
                <w:webHidden/>
              </w:rPr>
              <w:t>29</w:t>
            </w:r>
            <w:r w:rsidR="00246BEA">
              <w:rPr>
                <w:noProof/>
                <w:webHidden/>
              </w:rPr>
              <w:fldChar w:fldCharType="end"/>
            </w:r>
          </w:hyperlink>
        </w:p>
        <w:p w14:paraId="070170A9" w14:textId="2264ACCE"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8" w:history="1">
            <w:r w:rsidR="00246BEA" w:rsidRPr="00A770AB">
              <w:rPr>
                <w:rStyle w:val="Hipervnculo"/>
                <w:noProof/>
              </w:rPr>
              <w:t>Misoprostol en contextos de bajos recursos</w:t>
            </w:r>
            <w:r w:rsidR="00246BEA">
              <w:rPr>
                <w:noProof/>
                <w:webHidden/>
              </w:rPr>
              <w:tab/>
            </w:r>
            <w:r w:rsidR="00246BEA">
              <w:rPr>
                <w:noProof/>
                <w:webHidden/>
              </w:rPr>
              <w:fldChar w:fldCharType="begin"/>
            </w:r>
            <w:r w:rsidR="00246BEA">
              <w:rPr>
                <w:noProof/>
                <w:webHidden/>
              </w:rPr>
              <w:instrText xml:space="preserve"> PAGEREF _Toc235815358 \h </w:instrText>
            </w:r>
            <w:r w:rsidR="00246BEA">
              <w:rPr>
                <w:noProof/>
                <w:webHidden/>
              </w:rPr>
            </w:r>
            <w:r w:rsidR="00246BEA">
              <w:rPr>
                <w:noProof/>
                <w:webHidden/>
              </w:rPr>
              <w:fldChar w:fldCharType="separate"/>
            </w:r>
            <w:r w:rsidR="00C40E1E">
              <w:rPr>
                <w:noProof/>
                <w:webHidden/>
              </w:rPr>
              <w:t>30</w:t>
            </w:r>
            <w:r w:rsidR="00246BEA">
              <w:rPr>
                <w:noProof/>
                <w:webHidden/>
              </w:rPr>
              <w:fldChar w:fldCharType="end"/>
            </w:r>
          </w:hyperlink>
        </w:p>
        <w:p w14:paraId="5D4BB645" w14:textId="1D8DF779"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59" w:history="1">
            <w:r w:rsidR="00246BEA" w:rsidRPr="00A770AB">
              <w:rPr>
                <w:rStyle w:val="Hipervnculo"/>
                <w:noProof/>
              </w:rPr>
              <w:t>Evidencia regional y necesidad de síntesis</w:t>
            </w:r>
            <w:r w:rsidR="00246BEA">
              <w:rPr>
                <w:noProof/>
                <w:webHidden/>
              </w:rPr>
              <w:tab/>
            </w:r>
            <w:r w:rsidR="00246BEA">
              <w:rPr>
                <w:noProof/>
                <w:webHidden/>
              </w:rPr>
              <w:fldChar w:fldCharType="begin"/>
            </w:r>
            <w:r w:rsidR="00246BEA">
              <w:rPr>
                <w:noProof/>
                <w:webHidden/>
              </w:rPr>
              <w:instrText xml:space="preserve"> PAGEREF _Toc235815359 \h </w:instrText>
            </w:r>
            <w:r w:rsidR="00246BEA">
              <w:rPr>
                <w:noProof/>
                <w:webHidden/>
              </w:rPr>
            </w:r>
            <w:r w:rsidR="00246BEA">
              <w:rPr>
                <w:noProof/>
                <w:webHidden/>
              </w:rPr>
              <w:fldChar w:fldCharType="separate"/>
            </w:r>
            <w:r w:rsidR="00C40E1E">
              <w:rPr>
                <w:noProof/>
                <w:webHidden/>
              </w:rPr>
              <w:t>31</w:t>
            </w:r>
            <w:r w:rsidR="00246BEA">
              <w:rPr>
                <w:noProof/>
                <w:webHidden/>
              </w:rPr>
              <w:fldChar w:fldCharType="end"/>
            </w:r>
          </w:hyperlink>
        </w:p>
        <w:p w14:paraId="3C9C5BB8" w14:textId="57FFAA21"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60" w:history="1">
            <w:r w:rsidR="00246BEA" w:rsidRPr="00A770AB">
              <w:rPr>
                <w:rStyle w:val="Hipervnculo"/>
                <w:noProof/>
              </w:rPr>
              <w:t>Aplicabilidad clínica de la comparación entre misoprostol sublingual y oral</w:t>
            </w:r>
            <w:r w:rsidR="00246BEA">
              <w:rPr>
                <w:noProof/>
                <w:webHidden/>
              </w:rPr>
              <w:tab/>
            </w:r>
            <w:r w:rsidR="00246BEA">
              <w:rPr>
                <w:noProof/>
                <w:webHidden/>
              </w:rPr>
              <w:fldChar w:fldCharType="begin"/>
            </w:r>
            <w:r w:rsidR="00246BEA">
              <w:rPr>
                <w:noProof/>
                <w:webHidden/>
              </w:rPr>
              <w:instrText xml:space="preserve"> PAGEREF _Toc235815360 \h </w:instrText>
            </w:r>
            <w:r w:rsidR="00246BEA">
              <w:rPr>
                <w:noProof/>
                <w:webHidden/>
              </w:rPr>
            </w:r>
            <w:r w:rsidR="00246BEA">
              <w:rPr>
                <w:noProof/>
                <w:webHidden/>
              </w:rPr>
              <w:fldChar w:fldCharType="separate"/>
            </w:r>
            <w:r w:rsidR="00C40E1E">
              <w:rPr>
                <w:noProof/>
                <w:webHidden/>
              </w:rPr>
              <w:t>32</w:t>
            </w:r>
            <w:r w:rsidR="00246BEA">
              <w:rPr>
                <w:noProof/>
                <w:webHidden/>
              </w:rPr>
              <w:fldChar w:fldCharType="end"/>
            </w:r>
          </w:hyperlink>
        </w:p>
        <w:p w14:paraId="557775D6" w14:textId="45E96E52"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61" w:history="1">
            <w:r w:rsidR="00246BEA" w:rsidRPr="00A770AB">
              <w:rPr>
                <w:rStyle w:val="Hipervnculo"/>
                <w:noProof/>
              </w:rPr>
              <w:t>Fundamento de la revisión sistemática</w:t>
            </w:r>
            <w:r w:rsidR="00246BEA">
              <w:rPr>
                <w:noProof/>
                <w:webHidden/>
              </w:rPr>
              <w:tab/>
            </w:r>
            <w:r w:rsidR="00246BEA">
              <w:rPr>
                <w:noProof/>
                <w:webHidden/>
              </w:rPr>
              <w:fldChar w:fldCharType="begin"/>
            </w:r>
            <w:r w:rsidR="00246BEA">
              <w:rPr>
                <w:noProof/>
                <w:webHidden/>
              </w:rPr>
              <w:instrText xml:space="preserve"> PAGEREF _Toc235815361 \h </w:instrText>
            </w:r>
            <w:r w:rsidR="00246BEA">
              <w:rPr>
                <w:noProof/>
                <w:webHidden/>
              </w:rPr>
            </w:r>
            <w:r w:rsidR="00246BEA">
              <w:rPr>
                <w:noProof/>
                <w:webHidden/>
              </w:rPr>
              <w:fldChar w:fldCharType="separate"/>
            </w:r>
            <w:r w:rsidR="00C40E1E">
              <w:rPr>
                <w:noProof/>
                <w:webHidden/>
              </w:rPr>
              <w:t>33</w:t>
            </w:r>
            <w:r w:rsidR="00246BEA">
              <w:rPr>
                <w:noProof/>
                <w:webHidden/>
              </w:rPr>
              <w:fldChar w:fldCharType="end"/>
            </w:r>
          </w:hyperlink>
        </w:p>
        <w:p w14:paraId="62F08455" w14:textId="7C88750D"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62" w:history="1">
            <w:r w:rsidR="00246BEA" w:rsidRPr="00A770AB">
              <w:rPr>
                <w:rStyle w:val="Hipervnculo"/>
                <w:noProof/>
              </w:rPr>
              <w:t>Material y método</w:t>
            </w:r>
            <w:r w:rsidR="00246BEA">
              <w:rPr>
                <w:noProof/>
                <w:webHidden/>
              </w:rPr>
              <w:tab/>
            </w:r>
            <w:r w:rsidR="00246BEA">
              <w:rPr>
                <w:noProof/>
                <w:webHidden/>
              </w:rPr>
              <w:fldChar w:fldCharType="begin"/>
            </w:r>
            <w:r w:rsidR="00246BEA">
              <w:rPr>
                <w:noProof/>
                <w:webHidden/>
              </w:rPr>
              <w:instrText xml:space="preserve"> PAGEREF _Toc235815362 \h </w:instrText>
            </w:r>
            <w:r w:rsidR="00246BEA">
              <w:rPr>
                <w:noProof/>
                <w:webHidden/>
              </w:rPr>
            </w:r>
            <w:r w:rsidR="00246BEA">
              <w:rPr>
                <w:noProof/>
                <w:webHidden/>
              </w:rPr>
              <w:fldChar w:fldCharType="separate"/>
            </w:r>
            <w:r w:rsidR="00C40E1E">
              <w:rPr>
                <w:noProof/>
                <w:webHidden/>
              </w:rPr>
              <w:t>34</w:t>
            </w:r>
            <w:r w:rsidR="00246BEA">
              <w:rPr>
                <w:noProof/>
                <w:webHidden/>
              </w:rPr>
              <w:fldChar w:fldCharType="end"/>
            </w:r>
          </w:hyperlink>
        </w:p>
        <w:p w14:paraId="401198CE" w14:textId="77C46034"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63" w:history="1">
            <w:r w:rsidR="00246BEA" w:rsidRPr="00A770AB">
              <w:rPr>
                <w:rStyle w:val="Hipervnculo"/>
                <w:noProof/>
              </w:rPr>
              <w:t>Formato de reporte</w:t>
            </w:r>
            <w:r w:rsidR="00246BEA">
              <w:rPr>
                <w:noProof/>
                <w:webHidden/>
              </w:rPr>
              <w:tab/>
            </w:r>
            <w:r w:rsidR="00246BEA">
              <w:rPr>
                <w:noProof/>
                <w:webHidden/>
              </w:rPr>
              <w:fldChar w:fldCharType="begin"/>
            </w:r>
            <w:r w:rsidR="00246BEA">
              <w:rPr>
                <w:noProof/>
                <w:webHidden/>
              </w:rPr>
              <w:instrText xml:space="preserve"> PAGEREF _Toc235815363 \h </w:instrText>
            </w:r>
            <w:r w:rsidR="00246BEA">
              <w:rPr>
                <w:noProof/>
                <w:webHidden/>
              </w:rPr>
            </w:r>
            <w:r w:rsidR="00246BEA">
              <w:rPr>
                <w:noProof/>
                <w:webHidden/>
              </w:rPr>
              <w:fldChar w:fldCharType="separate"/>
            </w:r>
            <w:r w:rsidR="00C40E1E">
              <w:rPr>
                <w:noProof/>
                <w:webHidden/>
              </w:rPr>
              <w:t>34</w:t>
            </w:r>
            <w:r w:rsidR="00246BEA">
              <w:rPr>
                <w:noProof/>
                <w:webHidden/>
              </w:rPr>
              <w:fldChar w:fldCharType="end"/>
            </w:r>
          </w:hyperlink>
        </w:p>
        <w:p w14:paraId="7E1FEE33" w14:textId="2B98EBD9"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64" w:history="1">
            <w:r w:rsidR="00246BEA" w:rsidRPr="00A770AB">
              <w:rPr>
                <w:rStyle w:val="Hipervnculo"/>
                <w:noProof/>
              </w:rPr>
              <w:t>Criterios de elegibilidad</w:t>
            </w:r>
            <w:r w:rsidR="00246BEA">
              <w:rPr>
                <w:noProof/>
                <w:webHidden/>
              </w:rPr>
              <w:tab/>
            </w:r>
            <w:r w:rsidR="00246BEA">
              <w:rPr>
                <w:noProof/>
                <w:webHidden/>
              </w:rPr>
              <w:fldChar w:fldCharType="begin"/>
            </w:r>
            <w:r w:rsidR="00246BEA">
              <w:rPr>
                <w:noProof/>
                <w:webHidden/>
              </w:rPr>
              <w:instrText xml:space="preserve"> PAGEREF _Toc235815364 \h </w:instrText>
            </w:r>
            <w:r w:rsidR="00246BEA">
              <w:rPr>
                <w:noProof/>
                <w:webHidden/>
              </w:rPr>
            </w:r>
            <w:r w:rsidR="00246BEA">
              <w:rPr>
                <w:noProof/>
                <w:webHidden/>
              </w:rPr>
              <w:fldChar w:fldCharType="separate"/>
            </w:r>
            <w:r w:rsidR="00C40E1E">
              <w:rPr>
                <w:noProof/>
                <w:webHidden/>
              </w:rPr>
              <w:t>34</w:t>
            </w:r>
            <w:r w:rsidR="00246BEA">
              <w:rPr>
                <w:noProof/>
                <w:webHidden/>
              </w:rPr>
              <w:fldChar w:fldCharType="end"/>
            </w:r>
          </w:hyperlink>
        </w:p>
        <w:p w14:paraId="2A0212CA" w14:textId="2C505F38" w:rsidR="00246BEA" w:rsidRDefault="00A00B24">
          <w:pPr>
            <w:pStyle w:val="TDC3"/>
            <w:tabs>
              <w:tab w:val="right" w:leader="dot" w:pos="8828"/>
            </w:tabs>
            <w:rPr>
              <w:rFonts w:asciiTheme="minorHAnsi" w:eastAsiaTheme="minorEastAsia" w:hAnsiTheme="minorHAnsi"/>
              <w:noProof/>
              <w:kern w:val="0"/>
              <w:sz w:val="22"/>
              <w:szCs w:val="22"/>
              <w:lang w:val="es-ES" w:eastAsia="es-ES"/>
              <w14:ligatures w14:val="none"/>
            </w:rPr>
          </w:pPr>
          <w:hyperlink w:anchor="_Toc235815365" w:history="1">
            <w:r w:rsidR="00246BEA" w:rsidRPr="00A770AB">
              <w:rPr>
                <w:rStyle w:val="Hipervnculo"/>
                <w:noProof/>
              </w:rPr>
              <w:t>Criterios de inclusión</w:t>
            </w:r>
            <w:r w:rsidR="00246BEA">
              <w:rPr>
                <w:noProof/>
                <w:webHidden/>
              </w:rPr>
              <w:tab/>
            </w:r>
            <w:r w:rsidR="00246BEA">
              <w:rPr>
                <w:noProof/>
                <w:webHidden/>
              </w:rPr>
              <w:fldChar w:fldCharType="begin"/>
            </w:r>
            <w:r w:rsidR="00246BEA">
              <w:rPr>
                <w:noProof/>
                <w:webHidden/>
              </w:rPr>
              <w:instrText xml:space="preserve"> PAGEREF _Toc235815365 \h </w:instrText>
            </w:r>
            <w:r w:rsidR="00246BEA">
              <w:rPr>
                <w:noProof/>
                <w:webHidden/>
              </w:rPr>
            </w:r>
            <w:r w:rsidR="00246BEA">
              <w:rPr>
                <w:noProof/>
                <w:webHidden/>
              </w:rPr>
              <w:fldChar w:fldCharType="separate"/>
            </w:r>
            <w:r w:rsidR="00C40E1E">
              <w:rPr>
                <w:noProof/>
                <w:webHidden/>
              </w:rPr>
              <w:t>34</w:t>
            </w:r>
            <w:r w:rsidR="00246BEA">
              <w:rPr>
                <w:noProof/>
                <w:webHidden/>
              </w:rPr>
              <w:fldChar w:fldCharType="end"/>
            </w:r>
          </w:hyperlink>
        </w:p>
        <w:p w14:paraId="2C979764" w14:textId="17A80301" w:rsidR="00246BEA" w:rsidRDefault="00A00B24">
          <w:pPr>
            <w:pStyle w:val="TDC3"/>
            <w:tabs>
              <w:tab w:val="right" w:leader="dot" w:pos="8828"/>
            </w:tabs>
            <w:rPr>
              <w:rFonts w:asciiTheme="minorHAnsi" w:eastAsiaTheme="minorEastAsia" w:hAnsiTheme="minorHAnsi"/>
              <w:noProof/>
              <w:kern w:val="0"/>
              <w:sz w:val="22"/>
              <w:szCs w:val="22"/>
              <w:lang w:val="es-ES" w:eastAsia="es-ES"/>
              <w14:ligatures w14:val="none"/>
            </w:rPr>
          </w:pPr>
          <w:hyperlink w:anchor="_Toc235815366" w:history="1">
            <w:r w:rsidR="00246BEA" w:rsidRPr="00A770AB">
              <w:rPr>
                <w:rStyle w:val="Hipervnculo"/>
                <w:noProof/>
              </w:rPr>
              <w:t>Criterios de exclusión</w:t>
            </w:r>
            <w:r w:rsidR="00246BEA">
              <w:rPr>
                <w:noProof/>
                <w:webHidden/>
              </w:rPr>
              <w:tab/>
            </w:r>
            <w:r w:rsidR="00246BEA">
              <w:rPr>
                <w:noProof/>
                <w:webHidden/>
              </w:rPr>
              <w:fldChar w:fldCharType="begin"/>
            </w:r>
            <w:r w:rsidR="00246BEA">
              <w:rPr>
                <w:noProof/>
                <w:webHidden/>
              </w:rPr>
              <w:instrText xml:space="preserve"> PAGEREF _Toc235815366 \h </w:instrText>
            </w:r>
            <w:r w:rsidR="00246BEA">
              <w:rPr>
                <w:noProof/>
                <w:webHidden/>
              </w:rPr>
            </w:r>
            <w:r w:rsidR="00246BEA">
              <w:rPr>
                <w:noProof/>
                <w:webHidden/>
              </w:rPr>
              <w:fldChar w:fldCharType="separate"/>
            </w:r>
            <w:r w:rsidR="00C40E1E">
              <w:rPr>
                <w:noProof/>
                <w:webHidden/>
              </w:rPr>
              <w:t>36</w:t>
            </w:r>
            <w:r w:rsidR="00246BEA">
              <w:rPr>
                <w:noProof/>
                <w:webHidden/>
              </w:rPr>
              <w:fldChar w:fldCharType="end"/>
            </w:r>
          </w:hyperlink>
        </w:p>
        <w:p w14:paraId="4E97A028" w14:textId="32A7C8D6"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67" w:history="1">
            <w:r w:rsidR="00246BEA" w:rsidRPr="00A770AB">
              <w:rPr>
                <w:rStyle w:val="Hipervnculo"/>
                <w:noProof/>
              </w:rPr>
              <w:t>Fuentes de información y estrategia de búsqueda</w:t>
            </w:r>
            <w:r w:rsidR="00246BEA">
              <w:rPr>
                <w:noProof/>
                <w:webHidden/>
              </w:rPr>
              <w:tab/>
            </w:r>
            <w:r w:rsidR="00246BEA">
              <w:rPr>
                <w:noProof/>
                <w:webHidden/>
              </w:rPr>
              <w:fldChar w:fldCharType="begin"/>
            </w:r>
            <w:r w:rsidR="00246BEA">
              <w:rPr>
                <w:noProof/>
                <w:webHidden/>
              </w:rPr>
              <w:instrText xml:space="preserve"> PAGEREF _Toc235815367 \h </w:instrText>
            </w:r>
            <w:r w:rsidR="00246BEA">
              <w:rPr>
                <w:noProof/>
                <w:webHidden/>
              </w:rPr>
            </w:r>
            <w:r w:rsidR="00246BEA">
              <w:rPr>
                <w:noProof/>
                <w:webHidden/>
              </w:rPr>
              <w:fldChar w:fldCharType="separate"/>
            </w:r>
            <w:r w:rsidR="00C40E1E">
              <w:rPr>
                <w:noProof/>
                <w:webHidden/>
              </w:rPr>
              <w:t>36</w:t>
            </w:r>
            <w:r w:rsidR="00246BEA">
              <w:rPr>
                <w:noProof/>
                <w:webHidden/>
              </w:rPr>
              <w:fldChar w:fldCharType="end"/>
            </w:r>
          </w:hyperlink>
        </w:p>
        <w:p w14:paraId="29E80DA7" w14:textId="013EF25E"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68" w:history="1">
            <w:r w:rsidR="00246BEA" w:rsidRPr="00A770AB">
              <w:rPr>
                <w:rStyle w:val="Hipervnculo"/>
                <w:noProof/>
              </w:rPr>
              <w:t>Proceso de selección de estudios</w:t>
            </w:r>
            <w:r w:rsidR="00246BEA">
              <w:rPr>
                <w:noProof/>
                <w:webHidden/>
              </w:rPr>
              <w:tab/>
            </w:r>
            <w:r w:rsidR="00246BEA">
              <w:rPr>
                <w:noProof/>
                <w:webHidden/>
              </w:rPr>
              <w:fldChar w:fldCharType="begin"/>
            </w:r>
            <w:r w:rsidR="00246BEA">
              <w:rPr>
                <w:noProof/>
                <w:webHidden/>
              </w:rPr>
              <w:instrText xml:space="preserve"> PAGEREF _Toc235815368 \h </w:instrText>
            </w:r>
            <w:r w:rsidR="00246BEA">
              <w:rPr>
                <w:noProof/>
                <w:webHidden/>
              </w:rPr>
            </w:r>
            <w:r w:rsidR="00246BEA">
              <w:rPr>
                <w:noProof/>
                <w:webHidden/>
              </w:rPr>
              <w:fldChar w:fldCharType="separate"/>
            </w:r>
            <w:r w:rsidR="00C40E1E">
              <w:rPr>
                <w:noProof/>
                <w:webHidden/>
              </w:rPr>
              <w:t>38</w:t>
            </w:r>
            <w:r w:rsidR="00246BEA">
              <w:rPr>
                <w:noProof/>
                <w:webHidden/>
              </w:rPr>
              <w:fldChar w:fldCharType="end"/>
            </w:r>
          </w:hyperlink>
        </w:p>
        <w:p w14:paraId="46608174" w14:textId="6C8A0CCA"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69" w:history="1">
            <w:r w:rsidR="00246BEA" w:rsidRPr="00A770AB">
              <w:rPr>
                <w:rStyle w:val="Hipervnculo"/>
                <w:noProof/>
              </w:rPr>
              <w:t>Extracción de datos</w:t>
            </w:r>
            <w:r w:rsidR="00246BEA">
              <w:rPr>
                <w:noProof/>
                <w:webHidden/>
              </w:rPr>
              <w:tab/>
            </w:r>
            <w:r w:rsidR="00246BEA">
              <w:rPr>
                <w:noProof/>
                <w:webHidden/>
              </w:rPr>
              <w:fldChar w:fldCharType="begin"/>
            </w:r>
            <w:r w:rsidR="00246BEA">
              <w:rPr>
                <w:noProof/>
                <w:webHidden/>
              </w:rPr>
              <w:instrText xml:space="preserve"> PAGEREF _Toc235815369 \h </w:instrText>
            </w:r>
            <w:r w:rsidR="00246BEA">
              <w:rPr>
                <w:noProof/>
                <w:webHidden/>
              </w:rPr>
            </w:r>
            <w:r w:rsidR="00246BEA">
              <w:rPr>
                <w:noProof/>
                <w:webHidden/>
              </w:rPr>
              <w:fldChar w:fldCharType="separate"/>
            </w:r>
            <w:r w:rsidR="00C40E1E">
              <w:rPr>
                <w:noProof/>
                <w:webHidden/>
              </w:rPr>
              <w:t>38</w:t>
            </w:r>
            <w:r w:rsidR="00246BEA">
              <w:rPr>
                <w:noProof/>
                <w:webHidden/>
              </w:rPr>
              <w:fldChar w:fldCharType="end"/>
            </w:r>
          </w:hyperlink>
        </w:p>
        <w:p w14:paraId="7F532B69" w14:textId="7CA69141"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70" w:history="1">
            <w:r w:rsidR="00246BEA" w:rsidRPr="00A770AB">
              <w:rPr>
                <w:rStyle w:val="Hipervnculo"/>
                <w:noProof/>
              </w:rPr>
              <w:t>Evaluación del riesgo de sesgo</w:t>
            </w:r>
            <w:r w:rsidR="00246BEA">
              <w:rPr>
                <w:noProof/>
                <w:webHidden/>
              </w:rPr>
              <w:tab/>
            </w:r>
            <w:r w:rsidR="00246BEA">
              <w:rPr>
                <w:noProof/>
                <w:webHidden/>
              </w:rPr>
              <w:fldChar w:fldCharType="begin"/>
            </w:r>
            <w:r w:rsidR="00246BEA">
              <w:rPr>
                <w:noProof/>
                <w:webHidden/>
              </w:rPr>
              <w:instrText xml:space="preserve"> PAGEREF _Toc235815370 \h </w:instrText>
            </w:r>
            <w:r w:rsidR="00246BEA">
              <w:rPr>
                <w:noProof/>
                <w:webHidden/>
              </w:rPr>
            </w:r>
            <w:r w:rsidR="00246BEA">
              <w:rPr>
                <w:noProof/>
                <w:webHidden/>
              </w:rPr>
              <w:fldChar w:fldCharType="separate"/>
            </w:r>
            <w:r w:rsidR="00C40E1E">
              <w:rPr>
                <w:noProof/>
                <w:webHidden/>
              </w:rPr>
              <w:t>40</w:t>
            </w:r>
            <w:r w:rsidR="00246BEA">
              <w:rPr>
                <w:noProof/>
                <w:webHidden/>
              </w:rPr>
              <w:fldChar w:fldCharType="end"/>
            </w:r>
          </w:hyperlink>
        </w:p>
        <w:p w14:paraId="34B5470B" w14:textId="585790D9"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71" w:history="1">
            <w:r w:rsidR="00246BEA" w:rsidRPr="00A770AB">
              <w:rPr>
                <w:rStyle w:val="Hipervnculo"/>
                <w:noProof/>
              </w:rPr>
              <w:t>Métodos de síntesis</w:t>
            </w:r>
            <w:r w:rsidR="00246BEA">
              <w:rPr>
                <w:noProof/>
                <w:webHidden/>
              </w:rPr>
              <w:tab/>
            </w:r>
            <w:r w:rsidR="00246BEA">
              <w:rPr>
                <w:noProof/>
                <w:webHidden/>
              </w:rPr>
              <w:fldChar w:fldCharType="begin"/>
            </w:r>
            <w:r w:rsidR="00246BEA">
              <w:rPr>
                <w:noProof/>
                <w:webHidden/>
              </w:rPr>
              <w:instrText xml:space="preserve"> PAGEREF _Toc235815371 \h </w:instrText>
            </w:r>
            <w:r w:rsidR="00246BEA">
              <w:rPr>
                <w:noProof/>
                <w:webHidden/>
              </w:rPr>
            </w:r>
            <w:r w:rsidR="00246BEA">
              <w:rPr>
                <w:noProof/>
                <w:webHidden/>
              </w:rPr>
              <w:fldChar w:fldCharType="separate"/>
            </w:r>
            <w:r w:rsidR="00C40E1E">
              <w:rPr>
                <w:noProof/>
                <w:webHidden/>
              </w:rPr>
              <w:t>41</w:t>
            </w:r>
            <w:r w:rsidR="00246BEA">
              <w:rPr>
                <w:noProof/>
                <w:webHidden/>
              </w:rPr>
              <w:fldChar w:fldCharType="end"/>
            </w:r>
          </w:hyperlink>
        </w:p>
        <w:p w14:paraId="29733A0E" w14:textId="2A91580B"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72" w:history="1">
            <w:r w:rsidR="00246BEA" w:rsidRPr="00A770AB">
              <w:rPr>
                <w:rStyle w:val="Hipervnculo"/>
                <w:noProof/>
              </w:rPr>
              <w:t>Evaluación del sesgo de publicación</w:t>
            </w:r>
            <w:r w:rsidR="00246BEA">
              <w:rPr>
                <w:noProof/>
                <w:webHidden/>
              </w:rPr>
              <w:tab/>
            </w:r>
            <w:r w:rsidR="00246BEA">
              <w:rPr>
                <w:noProof/>
                <w:webHidden/>
              </w:rPr>
              <w:fldChar w:fldCharType="begin"/>
            </w:r>
            <w:r w:rsidR="00246BEA">
              <w:rPr>
                <w:noProof/>
                <w:webHidden/>
              </w:rPr>
              <w:instrText xml:space="preserve"> PAGEREF _Toc235815372 \h </w:instrText>
            </w:r>
            <w:r w:rsidR="00246BEA">
              <w:rPr>
                <w:noProof/>
                <w:webHidden/>
              </w:rPr>
            </w:r>
            <w:r w:rsidR="00246BEA">
              <w:rPr>
                <w:noProof/>
                <w:webHidden/>
              </w:rPr>
              <w:fldChar w:fldCharType="separate"/>
            </w:r>
            <w:r w:rsidR="00C40E1E">
              <w:rPr>
                <w:noProof/>
                <w:webHidden/>
              </w:rPr>
              <w:t>42</w:t>
            </w:r>
            <w:r w:rsidR="00246BEA">
              <w:rPr>
                <w:noProof/>
                <w:webHidden/>
              </w:rPr>
              <w:fldChar w:fldCharType="end"/>
            </w:r>
          </w:hyperlink>
        </w:p>
        <w:p w14:paraId="4486E262" w14:textId="763097A1"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73" w:history="1">
            <w:r w:rsidR="00246BEA" w:rsidRPr="00A770AB">
              <w:rPr>
                <w:rStyle w:val="Hipervnculo"/>
                <w:noProof/>
              </w:rPr>
              <w:t>Resultados</w:t>
            </w:r>
            <w:r w:rsidR="00246BEA">
              <w:rPr>
                <w:noProof/>
                <w:webHidden/>
              </w:rPr>
              <w:tab/>
            </w:r>
            <w:r w:rsidR="00246BEA">
              <w:rPr>
                <w:noProof/>
                <w:webHidden/>
              </w:rPr>
              <w:fldChar w:fldCharType="begin"/>
            </w:r>
            <w:r w:rsidR="00246BEA">
              <w:rPr>
                <w:noProof/>
                <w:webHidden/>
              </w:rPr>
              <w:instrText xml:space="preserve"> PAGEREF _Toc235815373 \h </w:instrText>
            </w:r>
            <w:r w:rsidR="00246BEA">
              <w:rPr>
                <w:noProof/>
                <w:webHidden/>
              </w:rPr>
            </w:r>
            <w:r w:rsidR="00246BEA">
              <w:rPr>
                <w:noProof/>
                <w:webHidden/>
              </w:rPr>
              <w:fldChar w:fldCharType="separate"/>
            </w:r>
            <w:r w:rsidR="00C40E1E">
              <w:rPr>
                <w:noProof/>
                <w:webHidden/>
              </w:rPr>
              <w:t>43</w:t>
            </w:r>
            <w:r w:rsidR="00246BEA">
              <w:rPr>
                <w:noProof/>
                <w:webHidden/>
              </w:rPr>
              <w:fldChar w:fldCharType="end"/>
            </w:r>
          </w:hyperlink>
        </w:p>
        <w:p w14:paraId="05A7A565" w14:textId="4EA6AB64"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74" w:history="1">
            <w:r w:rsidR="00246BEA" w:rsidRPr="00A770AB">
              <w:rPr>
                <w:rStyle w:val="Hipervnculo"/>
                <w:noProof/>
              </w:rPr>
              <w:t>Resultados del proceso de identificación y selección de estudios</w:t>
            </w:r>
            <w:r w:rsidR="00246BEA">
              <w:rPr>
                <w:noProof/>
                <w:webHidden/>
              </w:rPr>
              <w:tab/>
            </w:r>
            <w:r w:rsidR="00246BEA">
              <w:rPr>
                <w:noProof/>
                <w:webHidden/>
              </w:rPr>
              <w:fldChar w:fldCharType="begin"/>
            </w:r>
            <w:r w:rsidR="00246BEA">
              <w:rPr>
                <w:noProof/>
                <w:webHidden/>
              </w:rPr>
              <w:instrText xml:space="preserve"> PAGEREF _Toc235815374 \h </w:instrText>
            </w:r>
            <w:r w:rsidR="00246BEA">
              <w:rPr>
                <w:noProof/>
                <w:webHidden/>
              </w:rPr>
            </w:r>
            <w:r w:rsidR="00246BEA">
              <w:rPr>
                <w:noProof/>
                <w:webHidden/>
              </w:rPr>
              <w:fldChar w:fldCharType="separate"/>
            </w:r>
            <w:r w:rsidR="00C40E1E">
              <w:rPr>
                <w:noProof/>
                <w:webHidden/>
              </w:rPr>
              <w:t>43</w:t>
            </w:r>
            <w:r w:rsidR="00246BEA">
              <w:rPr>
                <w:noProof/>
                <w:webHidden/>
              </w:rPr>
              <w:fldChar w:fldCharType="end"/>
            </w:r>
          </w:hyperlink>
        </w:p>
        <w:p w14:paraId="0B80B45D" w14:textId="7776EB25"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75" w:history="1">
            <w:r w:rsidR="00246BEA" w:rsidRPr="00A770AB">
              <w:rPr>
                <w:rStyle w:val="Hipervnculo"/>
                <w:noProof/>
              </w:rPr>
              <w:t>Características generales de los estudios</w:t>
            </w:r>
            <w:r w:rsidR="00246BEA">
              <w:rPr>
                <w:noProof/>
                <w:webHidden/>
              </w:rPr>
              <w:tab/>
            </w:r>
            <w:r w:rsidR="00246BEA">
              <w:rPr>
                <w:noProof/>
                <w:webHidden/>
              </w:rPr>
              <w:fldChar w:fldCharType="begin"/>
            </w:r>
            <w:r w:rsidR="00246BEA">
              <w:rPr>
                <w:noProof/>
                <w:webHidden/>
              </w:rPr>
              <w:instrText xml:space="preserve"> PAGEREF _Toc235815375 \h </w:instrText>
            </w:r>
            <w:r w:rsidR="00246BEA">
              <w:rPr>
                <w:noProof/>
                <w:webHidden/>
              </w:rPr>
            </w:r>
            <w:r w:rsidR="00246BEA">
              <w:rPr>
                <w:noProof/>
                <w:webHidden/>
              </w:rPr>
              <w:fldChar w:fldCharType="separate"/>
            </w:r>
            <w:r w:rsidR="00C40E1E">
              <w:rPr>
                <w:noProof/>
                <w:webHidden/>
              </w:rPr>
              <w:t>44</w:t>
            </w:r>
            <w:r w:rsidR="00246BEA">
              <w:rPr>
                <w:noProof/>
                <w:webHidden/>
              </w:rPr>
              <w:fldChar w:fldCharType="end"/>
            </w:r>
          </w:hyperlink>
        </w:p>
        <w:p w14:paraId="63940EC0" w14:textId="1C8FE2A4"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76" w:history="1">
            <w:r w:rsidR="00246BEA" w:rsidRPr="00A770AB">
              <w:rPr>
                <w:rStyle w:val="Hipervnculo"/>
                <w:noProof/>
              </w:rPr>
              <w:t>Evaluación del riesgo de sesgo en los estudios seleccionados</w:t>
            </w:r>
            <w:r w:rsidR="00246BEA">
              <w:rPr>
                <w:noProof/>
                <w:webHidden/>
              </w:rPr>
              <w:tab/>
            </w:r>
            <w:r w:rsidR="00246BEA">
              <w:rPr>
                <w:noProof/>
                <w:webHidden/>
              </w:rPr>
              <w:fldChar w:fldCharType="begin"/>
            </w:r>
            <w:r w:rsidR="00246BEA">
              <w:rPr>
                <w:noProof/>
                <w:webHidden/>
              </w:rPr>
              <w:instrText xml:space="preserve"> PAGEREF _Toc235815376 \h </w:instrText>
            </w:r>
            <w:r w:rsidR="00246BEA">
              <w:rPr>
                <w:noProof/>
                <w:webHidden/>
              </w:rPr>
            </w:r>
            <w:r w:rsidR="00246BEA">
              <w:rPr>
                <w:noProof/>
                <w:webHidden/>
              </w:rPr>
              <w:fldChar w:fldCharType="separate"/>
            </w:r>
            <w:r w:rsidR="00C40E1E">
              <w:rPr>
                <w:noProof/>
                <w:webHidden/>
              </w:rPr>
              <w:t>50</w:t>
            </w:r>
            <w:r w:rsidR="00246BEA">
              <w:rPr>
                <w:noProof/>
                <w:webHidden/>
              </w:rPr>
              <w:fldChar w:fldCharType="end"/>
            </w:r>
          </w:hyperlink>
        </w:p>
        <w:p w14:paraId="4206DA14" w14:textId="484061DD"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77" w:history="1">
            <w:r w:rsidR="00246BEA" w:rsidRPr="00A770AB">
              <w:rPr>
                <w:rStyle w:val="Hipervnculo"/>
                <w:noProof/>
              </w:rPr>
              <w:t>Eficacia de las intervenciones</w:t>
            </w:r>
            <w:r w:rsidR="00246BEA">
              <w:rPr>
                <w:noProof/>
                <w:webHidden/>
              </w:rPr>
              <w:tab/>
            </w:r>
            <w:r w:rsidR="00246BEA">
              <w:rPr>
                <w:noProof/>
                <w:webHidden/>
              </w:rPr>
              <w:fldChar w:fldCharType="begin"/>
            </w:r>
            <w:r w:rsidR="00246BEA">
              <w:rPr>
                <w:noProof/>
                <w:webHidden/>
              </w:rPr>
              <w:instrText xml:space="preserve"> PAGEREF _Toc235815377 \h </w:instrText>
            </w:r>
            <w:r w:rsidR="00246BEA">
              <w:rPr>
                <w:noProof/>
                <w:webHidden/>
              </w:rPr>
            </w:r>
            <w:r w:rsidR="00246BEA">
              <w:rPr>
                <w:noProof/>
                <w:webHidden/>
              </w:rPr>
              <w:fldChar w:fldCharType="separate"/>
            </w:r>
            <w:r w:rsidR="00C40E1E">
              <w:rPr>
                <w:noProof/>
                <w:webHidden/>
              </w:rPr>
              <w:t>56</w:t>
            </w:r>
            <w:r w:rsidR="00246BEA">
              <w:rPr>
                <w:noProof/>
                <w:webHidden/>
              </w:rPr>
              <w:fldChar w:fldCharType="end"/>
            </w:r>
          </w:hyperlink>
        </w:p>
        <w:p w14:paraId="1BE9148C" w14:textId="71B1DC48" w:rsidR="00246BEA" w:rsidRDefault="00A00B24">
          <w:pPr>
            <w:pStyle w:val="TDC3"/>
            <w:tabs>
              <w:tab w:val="right" w:leader="dot" w:pos="8828"/>
            </w:tabs>
            <w:rPr>
              <w:rFonts w:asciiTheme="minorHAnsi" w:eastAsiaTheme="minorEastAsia" w:hAnsiTheme="minorHAnsi"/>
              <w:noProof/>
              <w:kern w:val="0"/>
              <w:sz w:val="22"/>
              <w:szCs w:val="22"/>
              <w:lang w:val="es-ES" w:eastAsia="es-ES"/>
              <w14:ligatures w14:val="none"/>
            </w:rPr>
          </w:pPr>
          <w:hyperlink w:anchor="_Toc235815378" w:history="1">
            <w:r w:rsidR="00246BEA" w:rsidRPr="00A770AB">
              <w:rPr>
                <w:rStyle w:val="Hipervnculo"/>
                <w:noProof/>
              </w:rPr>
              <w:t>Evaluación de la viabilidad para realizar metanálisis comparativo</w:t>
            </w:r>
            <w:r w:rsidR="00246BEA">
              <w:rPr>
                <w:noProof/>
                <w:webHidden/>
              </w:rPr>
              <w:tab/>
            </w:r>
            <w:r w:rsidR="00246BEA">
              <w:rPr>
                <w:noProof/>
                <w:webHidden/>
              </w:rPr>
              <w:fldChar w:fldCharType="begin"/>
            </w:r>
            <w:r w:rsidR="00246BEA">
              <w:rPr>
                <w:noProof/>
                <w:webHidden/>
              </w:rPr>
              <w:instrText xml:space="preserve"> PAGEREF _Toc235815378 \h </w:instrText>
            </w:r>
            <w:r w:rsidR="00246BEA">
              <w:rPr>
                <w:noProof/>
                <w:webHidden/>
              </w:rPr>
            </w:r>
            <w:r w:rsidR="00246BEA">
              <w:rPr>
                <w:noProof/>
                <w:webHidden/>
              </w:rPr>
              <w:fldChar w:fldCharType="separate"/>
            </w:r>
            <w:r w:rsidR="00C40E1E">
              <w:rPr>
                <w:noProof/>
                <w:webHidden/>
              </w:rPr>
              <w:t>60</w:t>
            </w:r>
            <w:r w:rsidR="00246BEA">
              <w:rPr>
                <w:noProof/>
                <w:webHidden/>
              </w:rPr>
              <w:fldChar w:fldCharType="end"/>
            </w:r>
          </w:hyperlink>
        </w:p>
        <w:p w14:paraId="57C60C2F" w14:textId="3148AA8E" w:rsidR="00246BEA" w:rsidRDefault="00A00B24">
          <w:pPr>
            <w:pStyle w:val="TDC3"/>
            <w:tabs>
              <w:tab w:val="right" w:leader="dot" w:pos="8828"/>
            </w:tabs>
            <w:rPr>
              <w:rFonts w:asciiTheme="minorHAnsi" w:eastAsiaTheme="minorEastAsia" w:hAnsiTheme="minorHAnsi"/>
              <w:noProof/>
              <w:kern w:val="0"/>
              <w:sz w:val="22"/>
              <w:szCs w:val="22"/>
              <w:lang w:val="es-ES" w:eastAsia="es-ES"/>
              <w14:ligatures w14:val="none"/>
            </w:rPr>
          </w:pPr>
          <w:hyperlink w:anchor="_Toc235815379" w:history="1">
            <w:r w:rsidR="00246BEA" w:rsidRPr="00A770AB">
              <w:rPr>
                <w:rStyle w:val="Hipervnculo"/>
                <w:noProof/>
              </w:rPr>
              <w:t>Frecuencia de HPP según vía de administración</w:t>
            </w:r>
            <w:r w:rsidR="00246BEA">
              <w:rPr>
                <w:noProof/>
                <w:webHidden/>
              </w:rPr>
              <w:tab/>
            </w:r>
            <w:r w:rsidR="00246BEA">
              <w:rPr>
                <w:noProof/>
                <w:webHidden/>
              </w:rPr>
              <w:fldChar w:fldCharType="begin"/>
            </w:r>
            <w:r w:rsidR="00246BEA">
              <w:rPr>
                <w:noProof/>
                <w:webHidden/>
              </w:rPr>
              <w:instrText xml:space="preserve"> PAGEREF _Toc235815379 \h </w:instrText>
            </w:r>
            <w:r w:rsidR="00246BEA">
              <w:rPr>
                <w:noProof/>
                <w:webHidden/>
              </w:rPr>
            </w:r>
            <w:r w:rsidR="00246BEA">
              <w:rPr>
                <w:noProof/>
                <w:webHidden/>
              </w:rPr>
              <w:fldChar w:fldCharType="separate"/>
            </w:r>
            <w:r w:rsidR="00C40E1E">
              <w:rPr>
                <w:noProof/>
                <w:webHidden/>
              </w:rPr>
              <w:t>63</w:t>
            </w:r>
            <w:r w:rsidR="00246BEA">
              <w:rPr>
                <w:noProof/>
                <w:webHidden/>
              </w:rPr>
              <w:fldChar w:fldCharType="end"/>
            </w:r>
          </w:hyperlink>
        </w:p>
        <w:p w14:paraId="63CE524B" w14:textId="320A6006" w:rsidR="00246BEA" w:rsidRDefault="00A00B24">
          <w:pPr>
            <w:pStyle w:val="TDC3"/>
            <w:tabs>
              <w:tab w:val="right" w:leader="dot" w:pos="8828"/>
            </w:tabs>
            <w:rPr>
              <w:rFonts w:asciiTheme="minorHAnsi" w:eastAsiaTheme="minorEastAsia" w:hAnsiTheme="minorHAnsi"/>
              <w:noProof/>
              <w:kern w:val="0"/>
              <w:sz w:val="22"/>
              <w:szCs w:val="22"/>
              <w:lang w:val="es-ES" w:eastAsia="es-ES"/>
              <w14:ligatures w14:val="none"/>
            </w:rPr>
          </w:pPr>
          <w:hyperlink w:anchor="_Toc235815380" w:history="1">
            <w:r w:rsidR="00246BEA" w:rsidRPr="00A770AB">
              <w:rPr>
                <w:rStyle w:val="Hipervnculo"/>
                <w:noProof/>
              </w:rPr>
              <w:t>Metanálisis de proporciones con misoprostol sublingual</w:t>
            </w:r>
            <w:r w:rsidR="00246BEA">
              <w:rPr>
                <w:noProof/>
                <w:webHidden/>
              </w:rPr>
              <w:tab/>
            </w:r>
            <w:r w:rsidR="00246BEA">
              <w:rPr>
                <w:noProof/>
                <w:webHidden/>
              </w:rPr>
              <w:fldChar w:fldCharType="begin"/>
            </w:r>
            <w:r w:rsidR="00246BEA">
              <w:rPr>
                <w:noProof/>
                <w:webHidden/>
              </w:rPr>
              <w:instrText xml:space="preserve"> PAGEREF _Toc235815380 \h </w:instrText>
            </w:r>
            <w:r w:rsidR="00246BEA">
              <w:rPr>
                <w:noProof/>
                <w:webHidden/>
              </w:rPr>
            </w:r>
            <w:r w:rsidR="00246BEA">
              <w:rPr>
                <w:noProof/>
                <w:webHidden/>
              </w:rPr>
              <w:fldChar w:fldCharType="separate"/>
            </w:r>
            <w:r w:rsidR="00C40E1E">
              <w:rPr>
                <w:noProof/>
                <w:webHidden/>
              </w:rPr>
              <w:t>65</w:t>
            </w:r>
            <w:r w:rsidR="00246BEA">
              <w:rPr>
                <w:noProof/>
                <w:webHidden/>
              </w:rPr>
              <w:fldChar w:fldCharType="end"/>
            </w:r>
          </w:hyperlink>
        </w:p>
        <w:p w14:paraId="7D3804AC" w14:textId="0CB70FCF" w:rsidR="00246BEA" w:rsidRDefault="00A00B24">
          <w:pPr>
            <w:pStyle w:val="TDC3"/>
            <w:tabs>
              <w:tab w:val="right" w:leader="dot" w:pos="8828"/>
            </w:tabs>
            <w:rPr>
              <w:rFonts w:asciiTheme="minorHAnsi" w:eastAsiaTheme="minorEastAsia" w:hAnsiTheme="minorHAnsi"/>
              <w:noProof/>
              <w:kern w:val="0"/>
              <w:sz w:val="22"/>
              <w:szCs w:val="22"/>
              <w:lang w:val="es-ES" w:eastAsia="es-ES"/>
              <w14:ligatures w14:val="none"/>
            </w:rPr>
          </w:pPr>
          <w:hyperlink w:anchor="_Toc235815381" w:history="1">
            <w:r w:rsidR="00246BEA" w:rsidRPr="00A770AB">
              <w:rPr>
                <w:rStyle w:val="Hipervnculo"/>
                <w:noProof/>
              </w:rPr>
              <w:t>Metanálisis de proporciones con misoprostol oral</w:t>
            </w:r>
            <w:r w:rsidR="00246BEA">
              <w:rPr>
                <w:noProof/>
                <w:webHidden/>
              </w:rPr>
              <w:tab/>
            </w:r>
            <w:r w:rsidR="00246BEA">
              <w:rPr>
                <w:noProof/>
                <w:webHidden/>
              </w:rPr>
              <w:fldChar w:fldCharType="begin"/>
            </w:r>
            <w:r w:rsidR="00246BEA">
              <w:rPr>
                <w:noProof/>
                <w:webHidden/>
              </w:rPr>
              <w:instrText xml:space="preserve"> PAGEREF _Toc235815381 \h </w:instrText>
            </w:r>
            <w:r w:rsidR="00246BEA">
              <w:rPr>
                <w:noProof/>
                <w:webHidden/>
              </w:rPr>
            </w:r>
            <w:r w:rsidR="00246BEA">
              <w:rPr>
                <w:noProof/>
                <w:webHidden/>
              </w:rPr>
              <w:fldChar w:fldCharType="separate"/>
            </w:r>
            <w:r w:rsidR="00C40E1E">
              <w:rPr>
                <w:noProof/>
                <w:webHidden/>
              </w:rPr>
              <w:t>67</w:t>
            </w:r>
            <w:r w:rsidR="00246BEA">
              <w:rPr>
                <w:noProof/>
                <w:webHidden/>
              </w:rPr>
              <w:fldChar w:fldCharType="end"/>
            </w:r>
          </w:hyperlink>
        </w:p>
        <w:p w14:paraId="69183D3B" w14:textId="4D8D5655" w:rsidR="00246BEA" w:rsidRDefault="00A00B24">
          <w:pPr>
            <w:pStyle w:val="TDC3"/>
            <w:tabs>
              <w:tab w:val="right" w:leader="dot" w:pos="8828"/>
            </w:tabs>
            <w:rPr>
              <w:rFonts w:asciiTheme="minorHAnsi" w:eastAsiaTheme="minorEastAsia" w:hAnsiTheme="minorHAnsi"/>
              <w:noProof/>
              <w:kern w:val="0"/>
              <w:sz w:val="22"/>
              <w:szCs w:val="22"/>
              <w:lang w:val="es-ES" w:eastAsia="es-ES"/>
              <w14:ligatures w14:val="none"/>
            </w:rPr>
          </w:pPr>
          <w:hyperlink w:anchor="_Toc235815382" w:history="1">
            <w:r w:rsidR="00246BEA" w:rsidRPr="00A770AB">
              <w:rPr>
                <w:rStyle w:val="Hipervnculo"/>
                <w:noProof/>
              </w:rPr>
              <w:t>Evaluación del sesgo de publicación de los estudios incluidos en el metanálisis</w:t>
            </w:r>
            <w:r w:rsidR="00246BEA">
              <w:rPr>
                <w:noProof/>
                <w:webHidden/>
              </w:rPr>
              <w:tab/>
            </w:r>
            <w:r w:rsidR="00246BEA">
              <w:rPr>
                <w:noProof/>
                <w:webHidden/>
              </w:rPr>
              <w:fldChar w:fldCharType="begin"/>
            </w:r>
            <w:r w:rsidR="00246BEA">
              <w:rPr>
                <w:noProof/>
                <w:webHidden/>
              </w:rPr>
              <w:instrText xml:space="preserve"> PAGEREF _Toc235815382 \h </w:instrText>
            </w:r>
            <w:r w:rsidR="00246BEA">
              <w:rPr>
                <w:noProof/>
                <w:webHidden/>
              </w:rPr>
            </w:r>
            <w:r w:rsidR="00246BEA">
              <w:rPr>
                <w:noProof/>
                <w:webHidden/>
              </w:rPr>
              <w:fldChar w:fldCharType="separate"/>
            </w:r>
            <w:r w:rsidR="00C40E1E">
              <w:rPr>
                <w:noProof/>
                <w:webHidden/>
              </w:rPr>
              <w:t>70</w:t>
            </w:r>
            <w:r w:rsidR="00246BEA">
              <w:rPr>
                <w:noProof/>
                <w:webHidden/>
              </w:rPr>
              <w:fldChar w:fldCharType="end"/>
            </w:r>
          </w:hyperlink>
        </w:p>
        <w:p w14:paraId="61F1FF49" w14:textId="28B52B6B"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83" w:history="1">
            <w:r w:rsidR="00246BEA" w:rsidRPr="00A770AB">
              <w:rPr>
                <w:rStyle w:val="Hipervnculo"/>
                <w:noProof/>
              </w:rPr>
              <w:t>Seguridad del misoprostol sublingual y oral</w:t>
            </w:r>
            <w:r w:rsidR="00246BEA">
              <w:rPr>
                <w:noProof/>
                <w:webHidden/>
              </w:rPr>
              <w:tab/>
            </w:r>
            <w:r w:rsidR="00246BEA">
              <w:rPr>
                <w:noProof/>
                <w:webHidden/>
              </w:rPr>
              <w:fldChar w:fldCharType="begin"/>
            </w:r>
            <w:r w:rsidR="00246BEA">
              <w:rPr>
                <w:noProof/>
                <w:webHidden/>
              </w:rPr>
              <w:instrText xml:space="preserve"> PAGEREF _Toc235815383 \h </w:instrText>
            </w:r>
            <w:r w:rsidR="00246BEA">
              <w:rPr>
                <w:noProof/>
                <w:webHidden/>
              </w:rPr>
            </w:r>
            <w:r w:rsidR="00246BEA">
              <w:rPr>
                <w:noProof/>
                <w:webHidden/>
              </w:rPr>
              <w:fldChar w:fldCharType="separate"/>
            </w:r>
            <w:r w:rsidR="00C40E1E">
              <w:rPr>
                <w:noProof/>
                <w:webHidden/>
              </w:rPr>
              <w:t>72</w:t>
            </w:r>
            <w:r w:rsidR="00246BEA">
              <w:rPr>
                <w:noProof/>
                <w:webHidden/>
              </w:rPr>
              <w:fldChar w:fldCharType="end"/>
            </w:r>
          </w:hyperlink>
        </w:p>
        <w:p w14:paraId="1BDB8138" w14:textId="0924A0D2"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84" w:history="1">
            <w:r w:rsidR="00246BEA" w:rsidRPr="00A770AB">
              <w:rPr>
                <w:rStyle w:val="Hipervnculo"/>
                <w:noProof/>
              </w:rPr>
              <w:t>Discusión</w:t>
            </w:r>
            <w:r w:rsidR="00246BEA">
              <w:rPr>
                <w:noProof/>
                <w:webHidden/>
              </w:rPr>
              <w:tab/>
            </w:r>
            <w:r w:rsidR="00246BEA">
              <w:rPr>
                <w:noProof/>
                <w:webHidden/>
              </w:rPr>
              <w:fldChar w:fldCharType="begin"/>
            </w:r>
            <w:r w:rsidR="00246BEA">
              <w:rPr>
                <w:noProof/>
                <w:webHidden/>
              </w:rPr>
              <w:instrText xml:space="preserve"> PAGEREF _Toc235815384 \h </w:instrText>
            </w:r>
            <w:r w:rsidR="00246BEA">
              <w:rPr>
                <w:noProof/>
                <w:webHidden/>
              </w:rPr>
            </w:r>
            <w:r w:rsidR="00246BEA">
              <w:rPr>
                <w:noProof/>
                <w:webHidden/>
              </w:rPr>
              <w:fldChar w:fldCharType="separate"/>
            </w:r>
            <w:r w:rsidR="00C40E1E">
              <w:rPr>
                <w:noProof/>
                <w:webHidden/>
              </w:rPr>
              <w:t>75</w:t>
            </w:r>
            <w:r w:rsidR="00246BEA">
              <w:rPr>
                <w:noProof/>
                <w:webHidden/>
              </w:rPr>
              <w:fldChar w:fldCharType="end"/>
            </w:r>
          </w:hyperlink>
        </w:p>
        <w:p w14:paraId="4EF8F1D2" w14:textId="2059D14D"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85" w:history="1">
            <w:r w:rsidR="00246BEA" w:rsidRPr="00A770AB">
              <w:rPr>
                <w:rStyle w:val="Hipervnculo"/>
                <w:noProof/>
              </w:rPr>
              <w:t>Síntesis e interpretación de los hallazgos principales</w:t>
            </w:r>
            <w:r w:rsidR="00246BEA">
              <w:rPr>
                <w:noProof/>
                <w:webHidden/>
              </w:rPr>
              <w:tab/>
            </w:r>
            <w:r w:rsidR="00246BEA">
              <w:rPr>
                <w:noProof/>
                <w:webHidden/>
              </w:rPr>
              <w:fldChar w:fldCharType="begin"/>
            </w:r>
            <w:r w:rsidR="00246BEA">
              <w:rPr>
                <w:noProof/>
                <w:webHidden/>
              </w:rPr>
              <w:instrText xml:space="preserve"> PAGEREF _Toc235815385 \h </w:instrText>
            </w:r>
            <w:r w:rsidR="00246BEA">
              <w:rPr>
                <w:noProof/>
                <w:webHidden/>
              </w:rPr>
            </w:r>
            <w:r w:rsidR="00246BEA">
              <w:rPr>
                <w:noProof/>
                <w:webHidden/>
              </w:rPr>
              <w:fldChar w:fldCharType="separate"/>
            </w:r>
            <w:r w:rsidR="00C40E1E">
              <w:rPr>
                <w:noProof/>
                <w:webHidden/>
              </w:rPr>
              <w:t>75</w:t>
            </w:r>
            <w:r w:rsidR="00246BEA">
              <w:rPr>
                <w:noProof/>
                <w:webHidden/>
              </w:rPr>
              <w:fldChar w:fldCharType="end"/>
            </w:r>
          </w:hyperlink>
        </w:p>
        <w:p w14:paraId="3F61F322" w14:textId="31C66433"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86" w:history="1">
            <w:r w:rsidR="00246BEA" w:rsidRPr="00A770AB">
              <w:rPr>
                <w:rStyle w:val="Hipervnculo"/>
                <w:noProof/>
              </w:rPr>
              <w:t>Características y calidad de la evidencia regional</w:t>
            </w:r>
            <w:r w:rsidR="00246BEA">
              <w:rPr>
                <w:noProof/>
                <w:webHidden/>
              </w:rPr>
              <w:tab/>
            </w:r>
            <w:r w:rsidR="00246BEA">
              <w:rPr>
                <w:noProof/>
                <w:webHidden/>
              </w:rPr>
              <w:fldChar w:fldCharType="begin"/>
            </w:r>
            <w:r w:rsidR="00246BEA">
              <w:rPr>
                <w:noProof/>
                <w:webHidden/>
              </w:rPr>
              <w:instrText xml:space="preserve"> PAGEREF _Toc235815386 \h </w:instrText>
            </w:r>
            <w:r w:rsidR="00246BEA">
              <w:rPr>
                <w:noProof/>
                <w:webHidden/>
              </w:rPr>
            </w:r>
            <w:r w:rsidR="00246BEA">
              <w:rPr>
                <w:noProof/>
                <w:webHidden/>
              </w:rPr>
              <w:fldChar w:fldCharType="separate"/>
            </w:r>
            <w:r w:rsidR="00C40E1E">
              <w:rPr>
                <w:noProof/>
                <w:webHidden/>
              </w:rPr>
              <w:t>77</w:t>
            </w:r>
            <w:r w:rsidR="00246BEA">
              <w:rPr>
                <w:noProof/>
                <w:webHidden/>
              </w:rPr>
              <w:fldChar w:fldCharType="end"/>
            </w:r>
          </w:hyperlink>
        </w:p>
        <w:p w14:paraId="2BB94422" w14:textId="22CB297D"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87" w:history="1">
            <w:r w:rsidR="00246BEA" w:rsidRPr="00A770AB">
              <w:rPr>
                <w:rStyle w:val="Hipervnculo"/>
                <w:noProof/>
              </w:rPr>
              <w:t>Evidencia comparativa directa entre misoprostol sublingual y oral</w:t>
            </w:r>
            <w:r w:rsidR="00246BEA">
              <w:rPr>
                <w:noProof/>
                <w:webHidden/>
              </w:rPr>
              <w:tab/>
            </w:r>
            <w:r w:rsidR="00246BEA">
              <w:rPr>
                <w:noProof/>
                <w:webHidden/>
              </w:rPr>
              <w:fldChar w:fldCharType="begin"/>
            </w:r>
            <w:r w:rsidR="00246BEA">
              <w:rPr>
                <w:noProof/>
                <w:webHidden/>
              </w:rPr>
              <w:instrText xml:space="preserve"> PAGEREF _Toc235815387 \h </w:instrText>
            </w:r>
            <w:r w:rsidR="00246BEA">
              <w:rPr>
                <w:noProof/>
                <w:webHidden/>
              </w:rPr>
            </w:r>
            <w:r w:rsidR="00246BEA">
              <w:rPr>
                <w:noProof/>
                <w:webHidden/>
              </w:rPr>
              <w:fldChar w:fldCharType="separate"/>
            </w:r>
            <w:r w:rsidR="00C40E1E">
              <w:rPr>
                <w:noProof/>
                <w:webHidden/>
              </w:rPr>
              <w:t>78</w:t>
            </w:r>
            <w:r w:rsidR="00246BEA">
              <w:rPr>
                <w:noProof/>
                <w:webHidden/>
              </w:rPr>
              <w:fldChar w:fldCharType="end"/>
            </w:r>
          </w:hyperlink>
        </w:p>
        <w:p w14:paraId="7D778B96" w14:textId="096D7255"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88" w:history="1">
            <w:r w:rsidR="00246BEA" w:rsidRPr="00A770AB">
              <w:rPr>
                <w:rStyle w:val="Hipervnculo"/>
                <w:noProof/>
              </w:rPr>
              <w:t>Eficacia observada con misoprostol sublingual</w:t>
            </w:r>
            <w:r w:rsidR="00246BEA">
              <w:rPr>
                <w:noProof/>
                <w:webHidden/>
              </w:rPr>
              <w:tab/>
            </w:r>
            <w:r w:rsidR="00246BEA">
              <w:rPr>
                <w:noProof/>
                <w:webHidden/>
              </w:rPr>
              <w:fldChar w:fldCharType="begin"/>
            </w:r>
            <w:r w:rsidR="00246BEA">
              <w:rPr>
                <w:noProof/>
                <w:webHidden/>
              </w:rPr>
              <w:instrText xml:space="preserve"> PAGEREF _Toc235815388 \h </w:instrText>
            </w:r>
            <w:r w:rsidR="00246BEA">
              <w:rPr>
                <w:noProof/>
                <w:webHidden/>
              </w:rPr>
            </w:r>
            <w:r w:rsidR="00246BEA">
              <w:rPr>
                <w:noProof/>
                <w:webHidden/>
              </w:rPr>
              <w:fldChar w:fldCharType="separate"/>
            </w:r>
            <w:r w:rsidR="00C40E1E">
              <w:rPr>
                <w:noProof/>
                <w:webHidden/>
              </w:rPr>
              <w:t>79</w:t>
            </w:r>
            <w:r w:rsidR="00246BEA">
              <w:rPr>
                <w:noProof/>
                <w:webHidden/>
              </w:rPr>
              <w:fldChar w:fldCharType="end"/>
            </w:r>
          </w:hyperlink>
        </w:p>
        <w:p w14:paraId="6E330561" w14:textId="7E8BEA25"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89" w:history="1">
            <w:r w:rsidR="00246BEA" w:rsidRPr="00A770AB">
              <w:rPr>
                <w:rStyle w:val="Hipervnculo"/>
                <w:noProof/>
              </w:rPr>
              <w:t>Eficacia observada con misoprostol oral</w:t>
            </w:r>
            <w:r w:rsidR="00246BEA">
              <w:rPr>
                <w:noProof/>
                <w:webHidden/>
              </w:rPr>
              <w:tab/>
            </w:r>
            <w:r w:rsidR="00246BEA">
              <w:rPr>
                <w:noProof/>
                <w:webHidden/>
              </w:rPr>
              <w:fldChar w:fldCharType="begin"/>
            </w:r>
            <w:r w:rsidR="00246BEA">
              <w:rPr>
                <w:noProof/>
                <w:webHidden/>
              </w:rPr>
              <w:instrText xml:space="preserve"> PAGEREF _Toc235815389 \h </w:instrText>
            </w:r>
            <w:r w:rsidR="00246BEA">
              <w:rPr>
                <w:noProof/>
                <w:webHidden/>
              </w:rPr>
            </w:r>
            <w:r w:rsidR="00246BEA">
              <w:rPr>
                <w:noProof/>
                <w:webHidden/>
              </w:rPr>
              <w:fldChar w:fldCharType="separate"/>
            </w:r>
            <w:r w:rsidR="00C40E1E">
              <w:rPr>
                <w:noProof/>
                <w:webHidden/>
              </w:rPr>
              <w:t>80</w:t>
            </w:r>
            <w:r w:rsidR="00246BEA">
              <w:rPr>
                <w:noProof/>
                <w:webHidden/>
              </w:rPr>
              <w:fldChar w:fldCharType="end"/>
            </w:r>
          </w:hyperlink>
        </w:p>
        <w:p w14:paraId="36625F3D" w14:textId="708DD456"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0" w:history="1">
            <w:r w:rsidR="00246BEA" w:rsidRPr="00A770AB">
              <w:rPr>
                <w:rStyle w:val="Hipervnculo"/>
                <w:noProof/>
              </w:rPr>
              <w:t>Comparación indirecta de la frecuencia de HPP según la vía</w:t>
            </w:r>
            <w:r w:rsidR="00246BEA">
              <w:rPr>
                <w:noProof/>
                <w:webHidden/>
              </w:rPr>
              <w:tab/>
            </w:r>
            <w:r w:rsidR="00246BEA">
              <w:rPr>
                <w:noProof/>
                <w:webHidden/>
              </w:rPr>
              <w:fldChar w:fldCharType="begin"/>
            </w:r>
            <w:r w:rsidR="00246BEA">
              <w:rPr>
                <w:noProof/>
                <w:webHidden/>
              </w:rPr>
              <w:instrText xml:space="preserve"> PAGEREF _Toc235815390 \h </w:instrText>
            </w:r>
            <w:r w:rsidR="00246BEA">
              <w:rPr>
                <w:noProof/>
                <w:webHidden/>
              </w:rPr>
            </w:r>
            <w:r w:rsidR="00246BEA">
              <w:rPr>
                <w:noProof/>
                <w:webHidden/>
              </w:rPr>
              <w:fldChar w:fldCharType="separate"/>
            </w:r>
            <w:r w:rsidR="00C40E1E">
              <w:rPr>
                <w:noProof/>
                <w:webHidden/>
              </w:rPr>
              <w:t>81</w:t>
            </w:r>
            <w:r w:rsidR="00246BEA">
              <w:rPr>
                <w:noProof/>
                <w:webHidden/>
              </w:rPr>
              <w:fldChar w:fldCharType="end"/>
            </w:r>
          </w:hyperlink>
        </w:p>
        <w:p w14:paraId="76EC6A85" w14:textId="0A6A8582"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1" w:history="1">
            <w:r w:rsidR="00246BEA" w:rsidRPr="00A770AB">
              <w:rPr>
                <w:rStyle w:val="Hipervnculo"/>
                <w:noProof/>
              </w:rPr>
              <w:t>Seguridad de las vías sublingual y oral</w:t>
            </w:r>
            <w:r w:rsidR="00246BEA">
              <w:rPr>
                <w:noProof/>
                <w:webHidden/>
              </w:rPr>
              <w:tab/>
            </w:r>
            <w:r w:rsidR="00246BEA">
              <w:rPr>
                <w:noProof/>
                <w:webHidden/>
              </w:rPr>
              <w:fldChar w:fldCharType="begin"/>
            </w:r>
            <w:r w:rsidR="00246BEA">
              <w:rPr>
                <w:noProof/>
                <w:webHidden/>
              </w:rPr>
              <w:instrText xml:space="preserve"> PAGEREF _Toc235815391 \h </w:instrText>
            </w:r>
            <w:r w:rsidR="00246BEA">
              <w:rPr>
                <w:noProof/>
                <w:webHidden/>
              </w:rPr>
            </w:r>
            <w:r w:rsidR="00246BEA">
              <w:rPr>
                <w:noProof/>
                <w:webHidden/>
              </w:rPr>
              <w:fldChar w:fldCharType="separate"/>
            </w:r>
            <w:r w:rsidR="00C40E1E">
              <w:rPr>
                <w:noProof/>
                <w:webHidden/>
              </w:rPr>
              <w:t>82</w:t>
            </w:r>
            <w:r w:rsidR="00246BEA">
              <w:rPr>
                <w:noProof/>
                <w:webHidden/>
              </w:rPr>
              <w:fldChar w:fldCharType="end"/>
            </w:r>
          </w:hyperlink>
        </w:p>
        <w:p w14:paraId="66BF5578" w14:textId="4B8DF665"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2" w:history="1">
            <w:r w:rsidR="00246BEA" w:rsidRPr="00A770AB">
              <w:rPr>
                <w:rStyle w:val="Hipervnculo"/>
                <w:noProof/>
              </w:rPr>
              <w:t>Comparación con la evidencia internacional</w:t>
            </w:r>
            <w:r w:rsidR="00246BEA">
              <w:rPr>
                <w:noProof/>
                <w:webHidden/>
              </w:rPr>
              <w:tab/>
            </w:r>
            <w:r w:rsidR="00246BEA">
              <w:rPr>
                <w:noProof/>
                <w:webHidden/>
              </w:rPr>
              <w:fldChar w:fldCharType="begin"/>
            </w:r>
            <w:r w:rsidR="00246BEA">
              <w:rPr>
                <w:noProof/>
                <w:webHidden/>
              </w:rPr>
              <w:instrText xml:space="preserve"> PAGEREF _Toc235815392 \h </w:instrText>
            </w:r>
            <w:r w:rsidR="00246BEA">
              <w:rPr>
                <w:noProof/>
                <w:webHidden/>
              </w:rPr>
            </w:r>
            <w:r w:rsidR="00246BEA">
              <w:rPr>
                <w:noProof/>
                <w:webHidden/>
              </w:rPr>
              <w:fldChar w:fldCharType="separate"/>
            </w:r>
            <w:r w:rsidR="00C40E1E">
              <w:rPr>
                <w:noProof/>
                <w:webHidden/>
              </w:rPr>
              <w:t>84</w:t>
            </w:r>
            <w:r w:rsidR="00246BEA">
              <w:rPr>
                <w:noProof/>
                <w:webHidden/>
              </w:rPr>
              <w:fldChar w:fldCharType="end"/>
            </w:r>
          </w:hyperlink>
        </w:p>
        <w:p w14:paraId="553EBED3" w14:textId="48ADAF39"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3" w:history="1">
            <w:r w:rsidR="00246BEA" w:rsidRPr="00A770AB">
              <w:rPr>
                <w:rStyle w:val="Hipervnculo"/>
                <w:noProof/>
              </w:rPr>
              <w:t>Hallazgos adicionales sobre otras comparaciones</w:t>
            </w:r>
            <w:r w:rsidR="00246BEA">
              <w:rPr>
                <w:noProof/>
                <w:webHidden/>
              </w:rPr>
              <w:tab/>
            </w:r>
            <w:r w:rsidR="00246BEA">
              <w:rPr>
                <w:noProof/>
                <w:webHidden/>
              </w:rPr>
              <w:fldChar w:fldCharType="begin"/>
            </w:r>
            <w:r w:rsidR="00246BEA">
              <w:rPr>
                <w:noProof/>
                <w:webHidden/>
              </w:rPr>
              <w:instrText xml:space="preserve"> PAGEREF _Toc235815393 \h </w:instrText>
            </w:r>
            <w:r w:rsidR="00246BEA">
              <w:rPr>
                <w:noProof/>
                <w:webHidden/>
              </w:rPr>
            </w:r>
            <w:r w:rsidR="00246BEA">
              <w:rPr>
                <w:noProof/>
                <w:webHidden/>
              </w:rPr>
              <w:fldChar w:fldCharType="separate"/>
            </w:r>
            <w:r w:rsidR="00C40E1E">
              <w:rPr>
                <w:noProof/>
                <w:webHidden/>
              </w:rPr>
              <w:t>85</w:t>
            </w:r>
            <w:r w:rsidR="00246BEA">
              <w:rPr>
                <w:noProof/>
                <w:webHidden/>
              </w:rPr>
              <w:fldChar w:fldCharType="end"/>
            </w:r>
          </w:hyperlink>
        </w:p>
        <w:p w14:paraId="632B8382" w14:textId="795C3285"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4" w:history="1">
            <w:r w:rsidR="00246BEA" w:rsidRPr="00A770AB">
              <w:rPr>
                <w:rStyle w:val="Hipervnculo"/>
                <w:noProof/>
              </w:rPr>
              <w:t>Implicaciones para la práctica en América Latina</w:t>
            </w:r>
            <w:r w:rsidR="00246BEA">
              <w:rPr>
                <w:noProof/>
                <w:webHidden/>
              </w:rPr>
              <w:tab/>
            </w:r>
            <w:r w:rsidR="00246BEA">
              <w:rPr>
                <w:noProof/>
                <w:webHidden/>
              </w:rPr>
              <w:fldChar w:fldCharType="begin"/>
            </w:r>
            <w:r w:rsidR="00246BEA">
              <w:rPr>
                <w:noProof/>
                <w:webHidden/>
              </w:rPr>
              <w:instrText xml:space="preserve"> PAGEREF _Toc235815394 \h </w:instrText>
            </w:r>
            <w:r w:rsidR="00246BEA">
              <w:rPr>
                <w:noProof/>
                <w:webHidden/>
              </w:rPr>
            </w:r>
            <w:r w:rsidR="00246BEA">
              <w:rPr>
                <w:noProof/>
                <w:webHidden/>
              </w:rPr>
              <w:fldChar w:fldCharType="separate"/>
            </w:r>
            <w:r w:rsidR="00C40E1E">
              <w:rPr>
                <w:noProof/>
                <w:webHidden/>
              </w:rPr>
              <w:t>85</w:t>
            </w:r>
            <w:r w:rsidR="00246BEA">
              <w:rPr>
                <w:noProof/>
                <w:webHidden/>
              </w:rPr>
              <w:fldChar w:fldCharType="end"/>
            </w:r>
          </w:hyperlink>
        </w:p>
        <w:p w14:paraId="176110C9" w14:textId="0267D01A"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5" w:history="1">
            <w:r w:rsidR="00246BEA" w:rsidRPr="00A770AB">
              <w:rPr>
                <w:rStyle w:val="Hipervnculo"/>
                <w:noProof/>
              </w:rPr>
              <w:t>Implicaciones para la práctica en Nicaragua</w:t>
            </w:r>
            <w:r w:rsidR="00246BEA">
              <w:rPr>
                <w:noProof/>
                <w:webHidden/>
              </w:rPr>
              <w:tab/>
            </w:r>
            <w:r w:rsidR="00246BEA">
              <w:rPr>
                <w:noProof/>
                <w:webHidden/>
              </w:rPr>
              <w:fldChar w:fldCharType="begin"/>
            </w:r>
            <w:r w:rsidR="00246BEA">
              <w:rPr>
                <w:noProof/>
                <w:webHidden/>
              </w:rPr>
              <w:instrText xml:space="preserve"> PAGEREF _Toc235815395 \h </w:instrText>
            </w:r>
            <w:r w:rsidR="00246BEA">
              <w:rPr>
                <w:noProof/>
                <w:webHidden/>
              </w:rPr>
            </w:r>
            <w:r w:rsidR="00246BEA">
              <w:rPr>
                <w:noProof/>
                <w:webHidden/>
              </w:rPr>
              <w:fldChar w:fldCharType="separate"/>
            </w:r>
            <w:r w:rsidR="00C40E1E">
              <w:rPr>
                <w:noProof/>
                <w:webHidden/>
              </w:rPr>
              <w:t>87</w:t>
            </w:r>
            <w:r w:rsidR="00246BEA">
              <w:rPr>
                <w:noProof/>
                <w:webHidden/>
              </w:rPr>
              <w:fldChar w:fldCharType="end"/>
            </w:r>
          </w:hyperlink>
        </w:p>
        <w:p w14:paraId="01CD9A7B" w14:textId="215ABA92"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6" w:history="1">
            <w:r w:rsidR="00246BEA" w:rsidRPr="00A770AB">
              <w:rPr>
                <w:rStyle w:val="Hipervnculo"/>
                <w:noProof/>
              </w:rPr>
              <w:t>Fortalezas de la revisión</w:t>
            </w:r>
            <w:r w:rsidR="00246BEA">
              <w:rPr>
                <w:noProof/>
                <w:webHidden/>
              </w:rPr>
              <w:tab/>
            </w:r>
            <w:r w:rsidR="00246BEA">
              <w:rPr>
                <w:noProof/>
                <w:webHidden/>
              </w:rPr>
              <w:fldChar w:fldCharType="begin"/>
            </w:r>
            <w:r w:rsidR="00246BEA">
              <w:rPr>
                <w:noProof/>
                <w:webHidden/>
              </w:rPr>
              <w:instrText xml:space="preserve"> PAGEREF _Toc235815396 \h </w:instrText>
            </w:r>
            <w:r w:rsidR="00246BEA">
              <w:rPr>
                <w:noProof/>
                <w:webHidden/>
              </w:rPr>
            </w:r>
            <w:r w:rsidR="00246BEA">
              <w:rPr>
                <w:noProof/>
                <w:webHidden/>
              </w:rPr>
              <w:fldChar w:fldCharType="separate"/>
            </w:r>
            <w:r w:rsidR="00C40E1E">
              <w:rPr>
                <w:noProof/>
                <w:webHidden/>
              </w:rPr>
              <w:t>88</w:t>
            </w:r>
            <w:r w:rsidR="00246BEA">
              <w:rPr>
                <w:noProof/>
                <w:webHidden/>
              </w:rPr>
              <w:fldChar w:fldCharType="end"/>
            </w:r>
          </w:hyperlink>
        </w:p>
        <w:p w14:paraId="47AC21A5" w14:textId="0DD9BDBA"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7" w:history="1">
            <w:r w:rsidR="00246BEA" w:rsidRPr="00A770AB">
              <w:rPr>
                <w:rStyle w:val="Hipervnculo"/>
                <w:noProof/>
              </w:rPr>
              <w:t>Limitaciones de la revisión</w:t>
            </w:r>
            <w:r w:rsidR="00246BEA">
              <w:rPr>
                <w:noProof/>
                <w:webHidden/>
              </w:rPr>
              <w:tab/>
            </w:r>
            <w:r w:rsidR="00246BEA">
              <w:rPr>
                <w:noProof/>
                <w:webHidden/>
              </w:rPr>
              <w:fldChar w:fldCharType="begin"/>
            </w:r>
            <w:r w:rsidR="00246BEA">
              <w:rPr>
                <w:noProof/>
                <w:webHidden/>
              </w:rPr>
              <w:instrText xml:space="preserve"> PAGEREF _Toc235815397 \h </w:instrText>
            </w:r>
            <w:r w:rsidR="00246BEA">
              <w:rPr>
                <w:noProof/>
                <w:webHidden/>
              </w:rPr>
            </w:r>
            <w:r w:rsidR="00246BEA">
              <w:rPr>
                <w:noProof/>
                <w:webHidden/>
              </w:rPr>
              <w:fldChar w:fldCharType="separate"/>
            </w:r>
            <w:r w:rsidR="00C40E1E">
              <w:rPr>
                <w:noProof/>
                <w:webHidden/>
              </w:rPr>
              <w:t>88</w:t>
            </w:r>
            <w:r w:rsidR="00246BEA">
              <w:rPr>
                <w:noProof/>
                <w:webHidden/>
              </w:rPr>
              <w:fldChar w:fldCharType="end"/>
            </w:r>
          </w:hyperlink>
        </w:p>
        <w:p w14:paraId="3193A34B" w14:textId="232A9DE0"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398" w:history="1">
            <w:r w:rsidR="00246BEA" w:rsidRPr="00A770AB">
              <w:rPr>
                <w:rStyle w:val="Hipervnculo"/>
                <w:noProof/>
              </w:rPr>
              <w:t>Implicaciones para futuras investigaciones</w:t>
            </w:r>
            <w:r w:rsidR="00246BEA">
              <w:rPr>
                <w:noProof/>
                <w:webHidden/>
              </w:rPr>
              <w:tab/>
            </w:r>
            <w:r w:rsidR="00246BEA">
              <w:rPr>
                <w:noProof/>
                <w:webHidden/>
              </w:rPr>
              <w:fldChar w:fldCharType="begin"/>
            </w:r>
            <w:r w:rsidR="00246BEA">
              <w:rPr>
                <w:noProof/>
                <w:webHidden/>
              </w:rPr>
              <w:instrText xml:space="preserve"> PAGEREF _Toc235815398 \h </w:instrText>
            </w:r>
            <w:r w:rsidR="00246BEA">
              <w:rPr>
                <w:noProof/>
                <w:webHidden/>
              </w:rPr>
            </w:r>
            <w:r w:rsidR="00246BEA">
              <w:rPr>
                <w:noProof/>
                <w:webHidden/>
              </w:rPr>
              <w:fldChar w:fldCharType="separate"/>
            </w:r>
            <w:r w:rsidR="00C40E1E">
              <w:rPr>
                <w:noProof/>
                <w:webHidden/>
              </w:rPr>
              <w:t>89</w:t>
            </w:r>
            <w:r w:rsidR="00246BEA">
              <w:rPr>
                <w:noProof/>
                <w:webHidden/>
              </w:rPr>
              <w:fldChar w:fldCharType="end"/>
            </w:r>
          </w:hyperlink>
        </w:p>
        <w:p w14:paraId="07EC3164" w14:textId="13913AE6"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399" w:history="1">
            <w:r w:rsidR="00246BEA" w:rsidRPr="00A770AB">
              <w:rPr>
                <w:rStyle w:val="Hipervnculo"/>
                <w:noProof/>
              </w:rPr>
              <w:t>Conclusiones</w:t>
            </w:r>
            <w:r w:rsidR="00246BEA">
              <w:rPr>
                <w:noProof/>
                <w:webHidden/>
              </w:rPr>
              <w:tab/>
            </w:r>
            <w:r w:rsidR="00246BEA">
              <w:rPr>
                <w:noProof/>
                <w:webHidden/>
              </w:rPr>
              <w:fldChar w:fldCharType="begin"/>
            </w:r>
            <w:r w:rsidR="00246BEA">
              <w:rPr>
                <w:noProof/>
                <w:webHidden/>
              </w:rPr>
              <w:instrText xml:space="preserve"> PAGEREF _Toc235815399 \h </w:instrText>
            </w:r>
            <w:r w:rsidR="00246BEA">
              <w:rPr>
                <w:noProof/>
                <w:webHidden/>
              </w:rPr>
            </w:r>
            <w:r w:rsidR="00246BEA">
              <w:rPr>
                <w:noProof/>
                <w:webHidden/>
              </w:rPr>
              <w:fldChar w:fldCharType="separate"/>
            </w:r>
            <w:r w:rsidR="00C40E1E">
              <w:rPr>
                <w:noProof/>
                <w:webHidden/>
              </w:rPr>
              <w:t>91</w:t>
            </w:r>
            <w:r w:rsidR="00246BEA">
              <w:rPr>
                <w:noProof/>
                <w:webHidden/>
              </w:rPr>
              <w:fldChar w:fldCharType="end"/>
            </w:r>
          </w:hyperlink>
        </w:p>
        <w:p w14:paraId="0B2F8533" w14:textId="5670ED52"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400" w:history="1">
            <w:r w:rsidR="00246BEA" w:rsidRPr="00A770AB">
              <w:rPr>
                <w:rStyle w:val="Hipervnculo"/>
                <w:noProof/>
              </w:rPr>
              <w:t>Recomendaciones</w:t>
            </w:r>
            <w:r w:rsidR="00246BEA">
              <w:rPr>
                <w:noProof/>
                <w:webHidden/>
              </w:rPr>
              <w:tab/>
            </w:r>
            <w:r w:rsidR="00246BEA">
              <w:rPr>
                <w:noProof/>
                <w:webHidden/>
              </w:rPr>
              <w:fldChar w:fldCharType="begin"/>
            </w:r>
            <w:r w:rsidR="00246BEA">
              <w:rPr>
                <w:noProof/>
                <w:webHidden/>
              </w:rPr>
              <w:instrText xml:space="preserve"> PAGEREF _Toc235815400 \h </w:instrText>
            </w:r>
            <w:r w:rsidR="00246BEA">
              <w:rPr>
                <w:noProof/>
                <w:webHidden/>
              </w:rPr>
            </w:r>
            <w:r w:rsidR="00246BEA">
              <w:rPr>
                <w:noProof/>
                <w:webHidden/>
              </w:rPr>
              <w:fldChar w:fldCharType="separate"/>
            </w:r>
            <w:r w:rsidR="00C40E1E">
              <w:rPr>
                <w:noProof/>
                <w:webHidden/>
              </w:rPr>
              <w:t>92</w:t>
            </w:r>
            <w:r w:rsidR="00246BEA">
              <w:rPr>
                <w:noProof/>
                <w:webHidden/>
              </w:rPr>
              <w:fldChar w:fldCharType="end"/>
            </w:r>
          </w:hyperlink>
        </w:p>
        <w:p w14:paraId="3915AE06" w14:textId="3DCE4D2A"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401" w:history="1">
            <w:r w:rsidR="00246BEA" w:rsidRPr="00A770AB">
              <w:rPr>
                <w:rStyle w:val="Hipervnculo"/>
                <w:noProof/>
              </w:rPr>
              <w:t>Para el personal asistencial</w:t>
            </w:r>
            <w:r w:rsidR="00246BEA">
              <w:rPr>
                <w:noProof/>
                <w:webHidden/>
              </w:rPr>
              <w:tab/>
            </w:r>
            <w:r w:rsidR="00246BEA">
              <w:rPr>
                <w:noProof/>
                <w:webHidden/>
              </w:rPr>
              <w:fldChar w:fldCharType="begin"/>
            </w:r>
            <w:r w:rsidR="00246BEA">
              <w:rPr>
                <w:noProof/>
                <w:webHidden/>
              </w:rPr>
              <w:instrText xml:space="preserve"> PAGEREF _Toc235815401 \h </w:instrText>
            </w:r>
            <w:r w:rsidR="00246BEA">
              <w:rPr>
                <w:noProof/>
                <w:webHidden/>
              </w:rPr>
            </w:r>
            <w:r w:rsidR="00246BEA">
              <w:rPr>
                <w:noProof/>
                <w:webHidden/>
              </w:rPr>
              <w:fldChar w:fldCharType="separate"/>
            </w:r>
            <w:r w:rsidR="00C40E1E">
              <w:rPr>
                <w:noProof/>
                <w:webHidden/>
              </w:rPr>
              <w:t>92</w:t>
            </w:r>
            <w:r w:rsidR="00246BEA">
              <w:rPr>
                <w:noProof/>
                <w:webHidden/>
              </w:rPr>
              <w:fldChar w:fldCharType="end"/>
            </w:r>
          </w:hyperlink>
        </w:p>
        <w:p w14:paraId="0FC1F460" w14:textId="0E2BDB3A"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402" w:history="1">
            <w:r w:rsidR="00246BEA" w:rsidRPr="00A770AB">
              <w:rPr>
                <w:rStyle w:val="Hipervnculo"/>
                <w:noProof/>
              </w:rPr>
              <w:t>Para autoridades sanitarias e instituciones de salud</w:t>
            </w:r>
            <w:r w:rsidR="00246BEA">
              <w:rPr>
                <w:noProof/>
                <w:webHidden/>
              </w:rPr>
              <w:tab/>
            </w:r>
            <w:r w:rsidR="00246BEA">
              <w:rPr>
                <w:noProof/>
                <w:webHidden/>
              </w:rPr>
              <w:fldChar w:fldCharType="begin"/>
            </w:r>
            <w:r w:rsidR="00246BEA">
              <w:rPr>
                <w:noProof/>
                <w:webHidden/>
              </w:rPr>
              <w:instrText xml:space="preserve"> PAGEREF _Toc235815402 \h </w:instrText>
            </w:r>
            <w:r w:rsidR="00246BEA">
              <w:rPr>
                <w:noProof/>
                <w:webHidden/>
              </w:rPr>
            </w:r>
            <w:r w:rsidR="00246BEA">
              <w:rPr>
                <w:noProof/>
                <w:webHidden/>
              </w:rPr>
              <w:fldChar w:fldCharType="separate"/>
            </w:r>
            <w:r w:rsidR="00C40E1E">
              <w:rPr>
                <w:noProof/>
                <w:webHidden/>
              </w:rPr>
              <w:t>92</w:t>
            </w:r>
            <w:r w:rsidR="00246BEA">
              <w:rPr>
                <w:noProof/>
                <w:webHidden/>
              </w:rPr>
              <w:fldChar w:fldCharType="end"/>
            </w:r>
          </w:hyperlink>
        </w:p>
        <w:p w14:paraId="1EC8B256" w14:textId="067B00EA"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403" w:history="1">
            <w:r w:rsidR="00246BEA" w:rsidRPr="00A770AB">
              <w:rPr>
                <w:rStyle w:val="Hipervnculo"/>
                <w:noProof/>
              </w:rPr>
              <w:t>Para la comunidad académica e investigadora</w:t>
            </w:r>
            <w:r w:rsidR="00246BEA">
              <w:rPr>
                <w:noProof/>
                <w:webHidden/>
              </w:rPr>
              <w:tab/>
            </w:r>
            <w:r w:rsidR="00246BEA">
              <w:rPr>
                <w:noProof/>
                <w:webHidden/>
              </w:rPr>
              <w:fldChar w:fldCharType="begin"/>
            </w:r>
            <w:r w:rsidR="00246BEA">
              <w:rPr>
                <w:noProof/>
                <w:webHidden/>
              </w:rPr>
              <w:instrText xml:space="preserve"> PAGEREF _Toc235815403 \h </w:instrText>
            </w:r>
            <w:r w:rsidR="00246BEA">
              <w:rPr>
                <w:noProof/>
                <w:webHidden/>
              </w:rPr>
            </w:r>
            <w:r w:rsidR="00246BEA">
              <w:rPr>
                <w:noProof/>
                <w:webHidden/>
              </w:rPr>
              <w:fldChar w:fldCharType="separate"/>
            </w:r>
            <w:r w:rsidR="00C40E1E">
              <w:rPr>
                <w:noProof/>
                <w:webHidden/>
              </w:rPr>
              <w:t>92</w:t>
            </w:r>
            <w:r w:rsidR="00246BEA">
              <w:rPr>
                <w:noProof/>
                <w:webHidden/>
              </w:rPr>
              <w:fldChar w:fldCharType="end"/>
            </w:r>
          </w:hyperlink>
        </w:p>
        <w:p w14:paraId="146E4E35" w14:textId="75617A88"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404" w:history="1">
            <w:r w:rsidR="00246BEA" w:rsidRPr="00A770AB">
              <w:rPr>
                <w:rStyle w:val="Hipervnculo"/>
                <w:noProof/>
              </w:rPr>
              <w:t>Referencias</w:t>
            </w:r>
            <w:r w:rsidR="00246BEA">
              <w:rPr>
                <w:noProof/>
                <w:webHidden/>
              </w:rPr>
              <w:tab/>
            </w:r>
            <w:r w:rsidR="00246BEA">
              <w:rPr>
                <w:noProof/>
                <w:webHidden/>
              </w:rPr>
              <w:fldChar w:fldCharType="begin"/>
            </w:r>
            <w:r w:rsidR="00246BEA">
              <w:rPr>
                <w:noProof/>
                <w:webHidden/>
              </w:rPr>
              <w:instrText xml:space="preserve"> PAGEREF _Toc235815404 \h </w:instrText>
            </w:r>
            <w:r w:rsidR="00246BEA">
              <w:rPr>
                <w:noProof/>
                <w:webHidden/>
              </w:rPr>
            </w:r>
            <w:r w:rsidR="00246BEA">
              <w:rPr>
                <w:noProof/>
                <w:webHidden/>
              </w:rPr>
              <w:fldChar w:fldCharType="separate"/>
            </w:r>
            <w:r w:rsidR="00C40E1E">
              <w:rPr>
                <w:noProof/>
                <w:webHidden/>
              </w:rPr>
              <w:t>94</w:t>
            </w:r>
            <w:r w:rsidR="00246BEA">
              <w:rPr>
                <w:noProof/>
                <w:webHidden/>
              </w:rPr>
              <w:fldChar w:fldCharType="end"/>
            </w:r>
          </w:hyperlink>
        </w:p>
        <w:p w14:paraId="66BB0D3C" w14:textId="0DE6E038" w:rsidR="00246BEA" w:rsidRDefault="00A00B24">
          <w:pPr>
            <w:pStyle w:val="TDC1"/>
            <w:tabs>
              <w:tab w:val="right" w:leader="dot" w:pos="8828"/>
            </w:tabs>
            <w:rPr>
              <w:rFonts w:asciiTheme="minorHAnsi" w:eastAsiaTheme="minorEastAsia" w:hAnsiTheme="minorHAnsi"/>
              <w:b w:val="0"/>
              <w:noProof/>
              <w:kern w:val="0"/>
              <w:sz w:val="22"/>
              <w:szCs w:val="22"/>
              <w:lang w:val="es-ES" w:eastAsia="es-ES"/>
              <w14:ligatures w14:val="none"/>
            </w:rPr>
          </w:pPr>
          <w:hyperlink w:anchor="_Toc235815405" w:history="1">
            <w:r w:rsidR="00246BEA" w:rsidRPr="00A770AB">
              <w:rPr>
                <w:rStyle w:val="Hipervnculo"/>
                <w:noProof/>
              </w:rPr>
              <w:t>Anexos</w:t>
            </w:r>
            <w:r w:rsidR="00246BEA">
              <w:rPr>
                <w:noProof/>
                <w:webHidden/>
              </w:rPr>
              <w:tab/>
            </w:r>
            <w:r w:rsidR="00246BEA">
              <w:rPr>
                <w:noProof/>
                <w:webHidden/>
              </w:rPr>
              <w:fldChar w:fldCharType="begin"/>
            </w:r>
            <w:r w:rsidR="00246BEA">
              <w:rPr>
                <w:noProof/>
                <w:webHidden/>
              </w:rPr>
              <w:instrText xml:space="preserve"> PAGEREF _Toc235815405 \h </w:instrText>
            </w:r>
            <w:r w:rsidR="00246BEA">
              <w:rPr>
                <w:noProof/>
                <w:webHidden/>
              </w:rPr>
            </w:r>
            <w:r w:rsidR="00246BEA">
              <w:rPr>
                <w:noProof/>
                <w:webHidden/>
              </w:rPr>
              <w:fldChar w:fldCharType="separate"/>
            </w:r>
            <w:r w:rsidR="00C40E1E">
              <w:rPr>
                <w:noProof/>
                <w:webHidden/>
              </w:rPr>
              <w:t>100</w:t>
            </w:r>
            <w:r w:rsidR="00246BEA">
              <w:rPr>
                <w:noProof/>
                <w:webHidden/>
              </w:rPr>
              <w:fldChar w:fldCharType="end"/>
            </w:r>
          </w:hyperlink>
        </w:p>
        <w:p w14:paraId="30F7A9AA" w14:textId="132D0AB6"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406" w:history="1">
            <w:r w:rsidR="00246BEA" w:rsidRPr="00A770AB">
              <w:rPr>
                <w:rStyle w:val="Hipervnculo"/>
                <w:noProof/>
              </w:rPr>
              <w:t>Anexo 1. Estrategia de búsqueda</w:t>
            </w:r>
            <w:r w:rsidR="00246BEA">
              <w:rPr>
                <w:noProof/>
                <w:webHidden/>
              </w:rPr>
              <w:tab/>
            </w:r>
            <w:r w:rsidR="00246BEA">
              <w:rPr>
                <w:noProof/>
                <w:webHidden/>
              </w:rPr>
              <w:fldChar w:fldCharType="begin"/>
            </w:r>
            <w:r w:rsidR="00246BEA">
              <w:rPr>
                <w:noProof/>
                <w:webHidden/>
              </w:rPr>
              <w:instrText xml:space="preserve"> PAGEREF _Toc235815406 \h </w:instrText>
            </w:r>
            <w:r w:rsidR="00246BEA">
              <w:rPr>
                <w:noProof/>
                <w:webHidden/>
              </w:rPr>
            </w:r>
            <w:r w:rsidR="00246BEA">
              <w:rPr>
                <w:noProof/>
                <w:webHidden/>
              </w:rPr>
              <w:fldChar w:fldCharType="separate"/>
            </w:r>
            <w:r w:rsidR="00C40E1E">
              <w:rPr>
                <w:noProof/>
                <w:webHidden/>
              </w:rPr>
              <w:t>100</w:t>
            </w:r>
            <w:r w:rsidR="00246BEA">
              <w:rPr>
                <w:noProof/>
                <w:webHidden/>
              </w:rPr>
              <w:fldChar w:fldCharType="end"/>
            </w:r>
          </w:hyperlink>
        </w:p>
        <w:p w14:paraId="2834A3B2" w14:textId="2D6C1BBC" w:rsidR="00246BEA" w:rsidRDefault="00A00B24">
          <w:pPr>
            <w:pStyle w:val="TDC2"/>
            <w:tabs>
              <w:tab w:val="right" w:leader="dot" w:pos="8828"/>
            </w:tabs>
            <w:rPr>
              <w:rFonts w:asciiTheme="minorHAnsi" w:eastAsiaTheme="minorEastAsia" w:hAnsiTheme="minorHAnsi"/>
              <w:noProof/>
              <w:kern w:val="0"/>
              <w:sz w:val="22"/>
              <w:szCs w:val="22"/>
              <w:lang w:val="es-ES" w:eastAsia="es-ES"/>
              <w14:ligatures w14:val="none"/>
            </w:rPr>
          </w:pPr>
          <w:hyperlink w:anchor="_Toc235815407" w:history="1">
            <w:r w:rsidR="00246BEA" w:rsidRPr="00A770AB">
              <w:rPr>
                <w:rStyle w:val="Hipervnculo"/>
                <w:noProof/>
              </w:rPr>
              <w:t>Anexo 2. Matrices de extracción de datos</w:t>
            </w:r>
            <w:r w:rsidR="00246BEA">
              <w:rPr>
                <w:noProof/>
                <w:webHidden/>
              </w:rPr>
              <w:tab/>
            </w:r>
            <w:r w:rsidR="00246BEA">
              <w:rPr>
                <w:noProof/>
                <w:webHidden/>
              </w:rPr>
              <w:fldChar w:fldCharType="begin"/>
            </w:r>
            <w:r w:rsidR="00246BEA">
              <w:rPr>
                <w:noProof/>
                <w:webHidden/>
              </w:rPr>
              <w:instrText xml:space="preserve"> PAGEREF _Toc235815407 \h </w:instrText>
            </w:r>
            <w:r w:rsidR="00246BEA">
              <w:rPr>
                <w:noProof/>
                <w:webHidden/>
              </w:rPr>
            </w:r>
            <w:r w:rsidR="00246BEA">
              <w:rPr>
                <w:noProof/>
                <w:webHidden/>
              </w:rPr>
              <w:fldChar w:fldCharType="separate"/>
            </w:r>
            <w:r w:rsidR="00C40E1E">
              <w:rPr>
                <w:noProof/>
                <w:webHidden/>
              </w:rPr>
              <w:t>102</w:t>
            </w:r>
            <w:r w:rsidR="00246BEA">
              <w:rPr>
                <w:noProof/>
                <w:webHidden/>
              </w:rPr>
              <w:fldChar w:fldCharType="end"/>
            </w:r>
          </w:hyperlink>
        </w:p>
        <w:p w14:paraId="1FAE4D48" w14:textId="06789B57" w:rsidR="00833DE5" w:rsidRDefault="00833DE5">
          <w:r>
            <w:rPr>
              <w:b/>
            </w:rPr>
            <w:fldChar w:fldCharType="end"/>
          </w:r>
        </w:p>
      </w:sdtContent>
    </w:sdt>
    <w:p w14:paraId="709013FE" w14:textId="34698067" w:rsidR="007F5E80" w:rsidRDefault="007F5E80" w:rsidP="007F5E80">
      <w:pPr>
        <w:pStyle w:val="Ttulo1"/>
      </w:pPr>
      <w:bookmarkStart w:id="1" w:name="_Toc235815336"/>
      <w:r>
        <w:lastRenderedPageBreak/>
        <w:t>Índice de tablas y figuras</w:t>
      </w:r>
      <w:bookmarkEnd w:id="1"/>
    </w:p>
    <w:p w14:paraId="56483059" w14:textId="23F655C4" w:rsidR="007F5E80" w:rsidRDefault="007F5E80" w:rsidP="007F5E80"/>
    <w:p w14:paraId="2D69F724" w14:textId="6B206E88" w:rsidR="00246BEA" w:rsidRDefault="007F5E80">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r>
        <w:fldChar w:fldCharType="begin"/>
      </w:r>
      <w:r>
        <w:instrText xml:space="preserve"> TOC \h \z \c "Tabla" </w:instrText>
      </w:r>
      <w:r>
        <w:fldChar w:fldCharType="separate"/>
      </w:r>
      <w:hyperlink w:anchor="_Toc235815409" w:history="1">
        <w:r w:rsidR="00246BEA" w:rsidRPr="009E4396">
          <w:rPr>
            <w:rStyle w:val="Hipervnculo"/>
            <w:noProof/>
          </w:rPr>
          <w:t>Tabla 1. Características generales de los estudios sobre misoprostol para la prevención de la hemorragia posparto realizados en América Latina.</w:t>
        </w:r>
        <w:r w:rsidR="00246BEA">
          <w:rPr>
            <w:noProof/>
            <w:webHidden/>
          </w:rPr>
          <w:tab/>
        </w:r>
        <w:r w:rsidR="00246BEA">
          <w:rPr>
            <w:noProof/>
            <w:webHidden/>
          </w:rPr>
          <w:fldChar w:fldCharType="begin"/>
        </w:r>
        <w:r w:rsidR="00246BEA">
          <w:rPr>
            <w:noProof/>
            <w:webHidden/>
          </w:rPr>
          <w:instrText xml:space="preserve"> PAGEREF _Toc235815409 \h </w:instrText>
        </w:r>
        <w:r w:rsidR="00246BEA">
          <w:rPr>
            <w:noProof/>
            <w:webHidden/>
          </w:rPr>
        </w:r>
        <w:r w:rsidR="00246BEA">
          <w:rPr>
            <w:noProof/>
            <w:webHidden/>
          </w:rPr>
          <w:fldChar w:fldCharType="separate"/>
        </w:r>
        <w:r w:rsidR="00246BEA">
          <w:rPr>
            <w:noProof/>
            <w:webHidden/>
          </w:rPr>
          <w:t>45</w:t>
        </w:r>
        <w:r w:rsidR="00246BEA">
          <w:rPr>
            <w:noProof/>
            <w:webHidden/>
          </w:rPr>
          <w:fldChar w:fldCharType="end"/>
        </w:r>
      </w:hyperlink>
    </w:p>
    <w:p w14:paraId="553ADB6C" w14:textId="7D9D049D"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0" w:history="1">
        <w:r w:rsidR="00246BEA" w:rsidRPr="009E4396">
          <w:rPr>
            <w:rStyle w:val="Hipervnculo"/>
            <w:noProof/>
          </w:rPr>
          <w:t>Tabla 2. Evaluación del riesgo de sesgo de los estudios según los dominios de la herramienta RoB 2 de Cochrane</w:t>
        </w:r>
        <w:r w:rsidR="00246BEA">
          <w:rPr>
            <w:noProof/>
            <w:webHidden/>
          </w:rPr>
          <w:tab/>
        </w:r>
        <w:r w:rsidR="00246BEA">
          <w:rPr>
            <w:noProof/>
            <w:webHidden/>
          </w:rPr>
          <w:fldChar w:fldCharType="begin"/>
        </w:r>
        <w:r w:rsidR="00246BEA">
          <w:rPr>
            <w:noProof/>
            <w:webHidden/>
          </w:rPr>
          <w:instrText xml:space="preserve"> PAGEREF _Toc235815410 \h </w:instrText>
        </w:r>
        <w:r w:rsidR="00246BEA">
          <w:rPr>
            <w:noProof/>
            <w:webHidden/>
          </w:rPr>
        </w:r>
        <w:r w:rsidR="00246BEA">
          <w:rPr>
            <w:noProof/>
            <w:webHidden/>
          </w:rPr>
          <w:fldChar w:fldCharType="separate"/>
        </w:r>
        <w:r w:rsidR="00246BEA">
          <w:rPr>
            <w:noProof/>
            <w:webHidden/>
          </w:rPr>
          <w:t>51</w:t>
        </w:r>
        <w:r w:rsidR="00246BEA">
          <w:rPr>
            <w:noProof/>
            <w:webHidden/>
          </w:rPr>
          <w:fldChar w:fldCharType="end"/>
        </w:r>
      </w:hyperlink>
    </w:p>
    <w:p w14:paraId="4E0092AE" w14:textId="6B8B9902"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1" w:history="1">
        <w:r w:rsidR="00246BEA" w:rsidRPr="009E4396">
          <w:rPr>
            <w:rStyle w:val="Hipervnculo"/>
            <w:noProof/>
          </w:rPr>
          <w:t>Tabla 3. Resultados de eficacia de las intervenciones para prevenir la hemorragia posparto</w:t>
        </w:r>
        <w:r w:rsidR="00246BEA">
          <w:rPr>
            <w:noProof/>
            <w:webHidden/>
          </w:rPr>
          <w:tab/>
        </w:r>
        <w:r w:rsidR="00246BEA">
          <w:rPr>
            <w:noProof/>
            <w:webHidden/>
          </w:rPr>
          <w:fldChar w:fldCharType="begin"/>
        </w:r>
        <w:r w:rsidR="00246BEA">
          <w:rPr>
            <w:noProof/>
            <w:webHidden/>
          </w:rPr>
          <w:instrText xml:space="preserve"> PAGEREF _Toc235815411 \h </w:instrText>
        </w:r>
        <w:r w:rsidR="00246BEA">
          <w:rPr>
            <w:noProof/>
            <w:webHidden/>
          </w:rPr>
        </w:r>
        <w:r w:rsidR="00246BEA">
          <w:rPr>
            <w:noProof/>
            <w:webHidden/>
          </w:rPr>
          <w:fldChar w:fldCharType="separate"/>
        </w:r>
        <w:r w:rsidR="00246BEA">
          <w:rPr>
            <w:noProof/>
            <w:webHidden/>
          </w:rPr>
          <w:t>57</w:t>
        </w:r>
        <w:r w:rsidR="00246BEA">
          <w:rPr>
            <w:noProof/>
            <w:webHidden/>
          </w:rPr>
          <w:fldChar w:fldCharType="end"/>
        </w:r>
      </w:hyperlink>
    </w:p>
    <w:p w14:paraId="0707EBE4" w14:textId="09767201"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2" w:history="1">
        <w:r w:rsidR="00246BEA" w:rsidRPr="009E4396">
          <w:rPr>
            <w:rStyle w:val="Hipervnculo"/>
            <w:noProof/>
          </w:rPr>
          <w:t>Tabla 4. Análisis de la viabilidad del metanálisis según la vía de administración y el comparador</w:t>
        </w:r>
        <w:r w:rsidR="00246BEA">
          <w:rPr>
            <w:noProof/>
            <w:webHidden/>
          </w:rPr>
          <w:tab/>
        </w:r>
        <w:r w:rsidR="00246BEA">
          <w:rPr>
            <w:noProof/>
            <w:webHidden/>
          </w:rPr>
          <w:fldChar w:fldCharType="begin"/>
        </w:r>
        <w:r w:rsidR="00246BEA">
          <w:rPr>
            <w:noProof/>
            <w:webHidden/>
          </w:rPr>
          <w:instrText xml:space="preserve"> PAGEREF _Toc235815412 \h </w:instrText>
        </w:r>
        <w:r w:rsidR="00246BEA">
          <w:rPr>
            <w:noProof/>
            <w:webHidden/>
          </w:rPr>
        </w:r>
        <w:r w:rsidR="00246BEA">
          <w:rPr>
            <w:noProof/>
            <w:webHidden/>
          </w:rPr>
          <w:fldChar w:fldCharType="separate"/>
        </w:r>
        <w:r w:rsidR="00246BEA">
          <w:rPr>
            <w:noProof/>
            <w:webHidden/>
          </w:rPr>
          <w:t>61</w:t>
        </w:r>
        <w:r w:rsidR="00246BEA">
          <w:rPr>
            <w:noProof/>
            <w:webHidden/>
          </w:rPr>
          <w:fldChar w:fldCharType="end"/>
        </w:r>
      </w:hyperlink>
    </w:p>
    <w:p w14:paraId="55F132AA" w14:textId="7778E0F6"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3" w:history="1">
        <w:r w:rsidR="00246BEA" w:rsidRPr="009E4396">
          <w:rPr>
            <w:rStyle w:val="Hipervnculo"/>
            <w:noProof/>
          </w:rPr>
          <w:t>Tabla 5. Frecuencia de hemorragia posparto reportada con misoprostol sublingual y oral</w:t>
        </w:r>
        <w:r w:rsidR="00246BEA">
          <w:rPr>
            <w:noProof/>
            <w:webHidden/>
          </w:rPr>
          <w:tab/>
        </w:r>
        <w:r w:rsidR="00246BEA">
          <w:rPr>
            <w:noProof/>
            <w:webHidden/>
          </w:rPr>
          <w:fldChar w:fldCharType="begin"/>
        </w:r>
        <w:r w:rsidR="00246BEA">
          <w:rPr>
            <w:noProof/>
            <w:webHidden/>
          </w:rPr>
          <w:instrText xml:space="preserve"> PAGEREF _Toc235815413 \h </w:instrText>
        </w:r>
        <w:r w:rsidR="00246BEA">
          <w:rPr>
            <w:noProof/>
            <w:webHidden/>
          </w:rPr>
        </w:r>
        <w:r w:rsidR="00246BEA">
          <w:rPr>
            <w:noProof/>
            <w:webHidden/>
          </w:rPr>
          <w:fldChar w:fldCharType="separate"/>
        </w:r>
        <w:r w:rsidR="00246BEA">
          <w:rPr>
            <w:noProof/>
            <w:webHidden/>
          </w:rPr>
          <w:t>64</w:t>
        </w:r>
        <w:r w:rsidR="00246BEA">
          <w:rPr>
            <w:noProof/>
            <w:webHidden/>
          </w:rPr>
          <w:fldChar w:fldCharType="end"/>
        </w:r>
      </w:hyperlink>
    </w:p>
    <w:p w14:paraId="21317D60" w14:textId="57021FA6"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4" w:history="1">
        <w:r w:rsidR="00246BEA" w:rsidRPr="009E4396">
          <w:rPr>
            <w:rStyle w:val="Hipervnculo"/>
            <w:noProof/>
          </w:rPr>
          <w:t>Tabla 6. Metanálisis de la proporción de hemorragia posparto con misoprostol sublingual</w:t>
        </w:r>
        <w:r w:rsidR="00246BEA">
          <w:rPr>
            <w:noProof/>
            <w:webHidden/>
          </w:rPr>
          <w:tab/>
        </w:r>
        <w:r w:rsidR="00246BEA">
          <w:rPr>
            <w:noProof/>
            <w:webHidden/>
          </w:rPr>
          <w:fldChar w:fldCharType="begin"/>
        </w:r>
        <w:r w:rsidR="00246BEA">
          <w:rPr>
            <w:noProof/>
            <w:webHidden/>
          </w:rPr>
          <w:instrText xml:space="preserve"> PAGEREF _Toc235815414 \h </w:instrText>
        </w:r>
        <w:r w:rsidR="00246BEA">
          <w:rPr>
            <w:noProof/>
            <w:webHidden/>
          </w:rPr>
        </w:r>
        <w:r w:rsidR="00246BEA">
          <w:rPr>
            <w:noProof/>
            <w:webHidden/>
          </w:rPr>
          <w:fldChar w:fldCharType="separate"/>
        </w:r>
        <w:r w:rsidR="00246BEA">
          <w:rPr>
            <w:noProof/>
            <w:webHidden/>
          </w:rPr>
          <w:t>66</w:t>
        </w:r>
        <w:r w:rsidR="00246BEA">
          <w:rPr>
            <w:noProof/>
            <w:webHidden/>
          </w:rPr>
          <w:fldChar w:fldCharType="end"/>
        </w:r>
      </w:hyperlink>
    </w:p>
    <w:p w14:paraId="02A388A5" w14:textId="226529B0"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5" w:history="1">
        <w:r w:rsidR="00246BEA" w:rsidRPr="009E4396">
          <w:rPr>
            <w:rStyle w:val="Hipervnculo"/>
            <w:noProof/>
          </w:rPr>
          <w:t>Tabla 7. Metanálisis de la proporción de hemorragia posparto con misoprostol oral</w:t>
        </w:r>
        <w:r w:rsidR="00246BEA">
          <w:rPr>
            <w:noProof/>
            <w:webHidden/>
          </w:rPr>
          <w:tab/>
        </w:r>
        <w:r w:rsidR="00246BEA">
          <w:rPr>
            <w:noProof/>
            <w:webHidden/>
          </w:rPr>
          <w:fldChar w:fldCharType="begin"/>
        </w:r>
        <w:r w:rsidR="00246BEA">
          <w:rPr>
            <w:noProof/>
            <w:webHidden/>
          </w:rPr>
          <w:instrText xml:space="preserve"> PAGEREF _Toc235815415 \h </w:instrText>
        </w:r>
        <w:r w:rsidR="00246BEA">
          <w:rPr>
            <w:noProof/>
            <w:webHidden/>
          </w:rPr>
        </w:r>
        <w:r w:rsidR="00246BEA">
          <w:rPr>
            <w:noProof/>
            <w:webHidden/>
          </w:rPr>
          <w:fldChar w:fldCharType="separate"/>
        </w:r>
        <w:r w:rsidR="00246BEA">
          <w:rPr>
            <w:noProof/>
            <w:webHidden/>
          </w:rPr>
          <w:t>68</w:t>
        </w:r>
        <w:r w:rsidR="00246BEA">
          <w:rPr>
            <w:noProof/>
            <w:webHidden/>
          </w:rPr>
          <w:fldChar w:fldCharType="end"/>
        </w:r>
      </w:hyperlink>
    </w:p>
    <w:p w14:paraId="56BDE154" w14:textId="051CD7ED"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6" w:history="1">
        <w:r w:rsidR="00246BEA" w:rsidRPr="009E4396">
          <w:rPr>
            <w:rStyle w:val="Hipervnculo"/>
            <w:noProof/>
          </w:rPr>
          <w:t>Tabla 8. Reacciones adversas y complicaciones asociadas al uso de misoprostol sublingual y oral</w:t>
        </w:r>
        <w:r w:rsidR="00246BEA">
          <w:rPr>
            <w:noProof/>
            <w:webHidden/>
          </w:rPr>
          <w:tab/>
        </w:r>
        <w:r w:rsidR="00246BEA">
          <w:rPr>
            <w:noProof/>
            <w:webHidden/>
          </w:rPr>
          <w:fldChar w:fldCharType="begin"/>
        </w:r>
        <w:r w:rsidR="00246BEA">
          <w:rPr>
            <w:noProof/>
            <w:webHidden/>
          </w:rPr>
          <w:instrText xml:space="preserve"> PAGEREF _Toc235815416 \h </w:instrText>
        </w:r>
        <w:r w:rsidR="00246BEA">
          <w:rPr>
            <w:noProof/>
            <w:webHidden/>
          </w:rPr>
        </w:r>
        <w:r w:rsidR="00246BEA">
          <w:rPr>
            <w:noProof/>
            <w:webHidden/>
          </w:rPr>
          <w:fldChar w:fldCharType="separate"/>
        </w:r>
        <w:r w:rsidR="00246BEA">
          <w:rPr>
            <w:noProof/>
            <w:webHidden/>
          </w:rPr>
          <w:t>73</w:t>
        </w:r>
        <w:r w:rsidR="00246BEA">
          <w:rPr>
            <w:noProof/>
            <w:webHidden/>
          </w:rPr>
          <w:fldChar w:fldCharType="end"/>
        </w:r>
      </w:hyperlink>
    </w:p>
    <w:p w14:paraId="3C44F328" w14:textId="4D7A46FB" w:rsidR="007F5E80" w:rsidRDefault="007F5E80" w:rsidP="007F5E80">
      <w:r>
        <w:fldChar w:fldCharType="end"/>
      </w:r>
    </w:p>
    <w:p w14:paraId="5AA9E79B" w14:textId="5FEACF60" w:rsidR="00246BEA" w:rsidRDefault="007F5E80">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r>
        <w:fldChar w:fldCharType="begin"/>
      </w:r>
      <w:r>
        <w:instrText xml:space="preserve"> TOC \h \z \c "Matriz" </w:instrText>
      </w:r>
      <w:r>
        <w:fldChar w:fldCharType="separate"/>
      </w:r>
      <w:hyperlink w:anchor="_Toc235815417" w:history="1">
        <w:r w:rsidR="00246BEA" w:rsidRPr="00500434">
          <w:rPr>
            <w:rStyle w:val="Hipervnculo"/>
            <w:noProof/>
          </w:rPr>
          <w:t>Matriz 1. Plantilla para la extracción de información de los estudios incluidos</w:t>
        </w:r>
        <w:r w:rsidR="00246BEA">
          <w:rPr>
            <w:noProof/>
            <w:webHidden/>
          </w:rPr>
          <w:tab/>
        </w:r>
        <w:r w:rsidR="00246BEA">
          <w:rPr>
            <w:noProof/>
            <w:webHidden/>
          </w:rPr>
          <w:fldChar w:fldCharType="begin"/>
        </w:r>
        <w:r w:rsidR="00246BEA">
          <w:rPr>
            <w:noProof/>
            <w:webHidden/>
          </w:rPr>
          <w:instrText xml:space="preserve"> PAGEREF _Toc235815417 \h </w:instrText>
        </w:r>
        <w:r w:rsidR="00246BEA">
          <w:rPr>
            <w:noProof/>
            <w:webHidden/>
          </w:rPr>
        </w:r>
        <w:r w:rsidR="00246BEA">
          <w:rPr>
            <w:noProof/>
            <w:webHidden/>
          </w:rPr>
          <w:fldChar w:fldCharType="separate"/>
        </w:r>
        <w:r w:rsidR="00246BEA">
          <w:rPr>
            <w:noProof/>
            <w:webHidden/>
          </w:rPr>
          <w:t>102</w:t>
        </w:r>
        <w:r w:rsidR="00246BEA">
          <w:rPr>
            <w:noProof/>
            <w:webHidden/>
          </w:rPr>
          <w:fldChar w:fldCharType="end"/>
        </w:r>
      </w:hyperlink>
    </w:p>
    <w:p w14:paraId="432712C7" w14:textId="6CFB9A7F"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8" w:history="1">
        <w:r w:rsidR="00246BEA" w:rsidRPr="00500434">
          <w:rPr>
            <w:rStyle w:val="Hipervnculo"/>
            <w:noProof/>
          </w:rPr>
          <w:t>Matriz 2. Plantilla específica para la extracción de resultados de eficacia y seguridad</w:t>
        </w:r>
        <w:r w:rsidR="00246BEA">
          <w:rPr>
            <w:noProof/>
            <w:webHidden/>
          </w:rPr>
          <w:tab/>
        </w:r>
        <w:r w:rsidR="00246BEA">
          <w:rPr>
            <w:noProof/>
            <w:webHidden/>
          </w:rPr>
          <w:fldChar w:fldCharType="begin"/>
        </w:r>
        <w:r w:rsidR="00246BEA">
          <w:rPr>
            <w:noProof/>
            <w:webHidden/>
          </w:rPr>
          <w:instrText xml:space="preserve"> PAGEREF _Toc235815418 \h </w:instrText>
        </w:r>
        <w:r w:rsidR="00246BEA">
          <w:rPr>
            <w:noProof/>
            <w:webHidden/>
          </w:rPr>
        </w:r>
        <w:r w:rsidR="00246BEA">
          <w:rPr>
            <w:noProof/>
            <w:webHidden/>
          </w:rPr>
          <w:fldChar w:fldCharType="separate"/>
        </w:r>
        <w:r w:rsidR="00246BEA">
          <w:rPr>
            <w:noProof/>
            <w:webHidden/>
          </w:rPr>
          <w:t>102</w:t>
        </w:r>
        <w:r w:rsidR="00246BEA">
          <w:rPr>
            <w:noProof/>
            <w:webHidden/>
          </w:rPr>
          <w:fldChar w:fldCharType="end"/>
        </w:r>
      </w:hyperlink>
    </w:p>
    <w:p w14:paraId="4D084498" w14:textId="0051B449"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19" w:history="1">
        <w:r w:rsidR="00246BEA" w:rsidRPr="00500434">
          <w:rPr>
            <w:rStyle w:val="Hipervnculo"/>
            <w:noProof/>
          </w:rPr>
          <w:t>Matriz 3. Plantilla para la aplicación de la herramienta RoB 2</w:t>
        </w:r>
        <w:r w:rsidR="00246BEA">
          <w:rPr>
            <w:noProof/>
            <w:webHidden/>
          </w:rPr>
          <w:tab/>
        </w:r>
        <w:r w:rsidR="00246BEA">
          <w:rPr>
            <w:noProof/>
            <w:webHidden/>
          </w:rPr>
          <w:fldChar w:fldCharType="begin"/>
        </w:r>
        <w:r w:rsidR="00246BEA">
          <w:rPr>
            <w:noProof/>
            <w:webHidden/>
          </w:rPr>
          <w:instrText xml:space="preserve"> PAGEREF _Toc235815419 \h </w:instrText>
        </w:r>
        <w:r w:rsidR="00246BEA">
          <w:rPr>
            <w:noProof/>
            <w:webHidden/>
          </w:rPr>
        </w:r>
        <w:r w:rsidR="00246BEA">
          <w:rPr>
            <w:noProof/>
            <w:webHidden/>
          </w:rPr>
          <w:fldChar w:fldCharType="separate"/>
        </w:r>
        <w:r w:rsidR="00246BEA">
          <w:rPr>
            <w:noProof/>
            <w:webHidden/>
          </w:rPr>
          <w:t>104</w:t>
        </w:r>
        <w:r w:rsidR="00246BEA">
          <w:rPr>
            <w:noProof/>
            <w:webHidden/>
          </w:rPr>
          <w:fldChar w:fldCharType="end"/>
        </w:r>
      </w:hyperlink>
    </w:p>
    <w:p w14:paraId="79ACD89A" w14:textId="513C4F10" w:rsidR="007F5E80" w:rsidRDefault="007F5E80" w:rsidP="007F5E80">
      <w:r>
        <w:fldChar w:fldCharType="end"/>
      </w:r>
    </w:p>
    <w:p w14:paraId="4CB9AFCC" w14:textId="5D355904" w:rsidR="00246BEA" w:rsidRDefault="007F5E80">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r>
        <w:fldChar w:fldCharType="begin"/>
      </w:r>
      <w:r>
        <w:instrText xml:space="preserve"> TOC \h \z \c "Figura" </w:instrText>
      </w:r>
      <w:r>
        <w:fldChar w:fldCharType="separate"/>
      </w:r>
      <w:hyperlink w:anchor="_Toc235815425" w:history="1">
        <w:r w:rsidR="00246BEA" w:rsidRPr="00DA10A9">
          <w:rPr>
            <w:rStyle w:val="Hipervnculo"/>
            <w:noProof/>
          </w:rPr>
          <w:t>Figura 1. Diagrama de flujo del proceso de identificación, cribado, elegibilidad e inclusión de estudios</w:t>
        </w:r>
        <w:r w:rsidR="00246BEA">
          <w:rPr>
            <w:noProof/>
            <w:webHidden/>
          </w:rPr>
          <w:tab/>
        </w:r>
        <w:r w:rsidR="00246BEA">
          <w:rPr>
            <w:noProof/>
            <w:webHidden/>
          </w:rPr>
          <w:fldChar w:fldCharType="begin"/>
        </w:r>
        <w:r w:rsidR="00246BEA">
          <w:rPr>
            <w:noProof/>
            <w:webHidden/>
          </w:rPr>
          <w:instrText xml:space="preserve"> PAGEREF _Toc235815425 \h </w:instrText>
        </w:r>
        <w:r w:rsidR="00246BEA">
          <w:rPr>
            <w:noProof/>
            <w:webHidden/>
          </w:rPr>
        </w:r>
        <w:r w:rsidR="00246BEA">
          <w:rPr>
            <w:noProof/>
            <w:webHidden/>
          </w:rPr>
          <w:fldChar w:fldCharType="separate"/>
        </w:r>
        <w:r w:rsidR="00246BEA">
          <w:rPr>
            <w:noProof/>
            <w:webHidden/>
          </w:rPr>
          <w:t>43</w:t>
        </w:r>
        <w:r w:rsidR="00246BEA">
          <w:rPr>
            <w:noProof/>
            <w:webHidden/>
          </w:rPr>
          <w:fldChar w:fldCharType="end"/>
        </w:r>
      </w:hyperlink>
    </w:p>
    <w:p w14:paraId="0A9A13B5" w14:textId="50D89BF8"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26" w:history="1">
        <w:r w:rsidR="00246BEA" w:rsidRPr="00DA10A9">
          <w:rPr>
            <w:rStyle w:val="Hipervnculo"/>
            <w:noProof/>
          </w:rPr>
          <w:t>Figura 2. Evaluación Del Riesgo De Sesgo De Los Estudios Mediante La Herramienta Rob 2</w:t>
        </w:r>
        <w:r w:rsidR="00246BEA">
          <w:rPr>
            <w:noProof/>
            <w:webHidden/>
          </w:rPr>
          <w:tab/>
        </w:r>
        <w:r w:rsidR="00246BEA">
          <w:rPr>
            <w:noProof/>
            <w:webHidden/>
          </w:rPr>
          <w:fldChar w:fldCharType="begin"/>
        </w:r>
        <w:r w:rsidR="00246BEA">
          <w:rPr>
            <w:noProof/>
            <w:webHidden/>
          </w:rPr>
          <w:instrText xml:space="preserve"> PAGEREF _Toc235815426 \h </w:instrText>
        </w:r>
        <w:r w:rsidR="00246BEA">
          <w:rPr>
            <w:noProof/>
            <w:webHidden/>
          </w:rPr>
        </w:r>
        <w:r w:rsidR="00246BEA">
          <w:rPr>
            <w:noProof/>
            <w:webHidden/>
          </w:rPr>
          <w:fldChar w:fldCharType="separate"/>
        </w:r>
        <w:r w:rsidR="00246BEA">
          <w:rPr>
            <w:noProof/>
            <w:webHidden/>
          </w:rPr>
          <w:t>55</w:t>
        </w:r>
        <w:r w:rsidR="00246BEA">
          <w:rPr>
            <w:noProof/>
            <w:webHidden/>
          </w:rPr>
          <w:fldChar w:fldCharType="end"/>
        </w:r>
      </w:hyperlink>
    </w:p>
    <w:p w14:paraId="53F2BE20" w14:textId="1F59755D"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27" w:history="1">
        <w:r w:rsidR="00246BEA" w:rsidRPr="00DA10A9">
          <w:rPr>
            <w:rStyle w:val="Hipervnculo"/>
            <w:noProof/>
          </w:rPr>
          <w:t>Figura 3. Dagrama de bosque (forest plot) del mmetaanálisis de la proporción de hemorragia posparto con misoprostol sublingual</w:t>
        </w:r>
        <w:r w:rsidR="00246BEA">
          <w:rPr>
            <w:noProof/>
            <w:webHidden/>
          </w:rPr>
          <w:tab/>
        </w:r>
        <w:r w:rsidR="00246BEA">
          <w:rPr>
            <w:noProof/>
            <w:webHidden/>
          </w:rPr>
          <w:fldChar w:fldCharType="begin"/>
        </w:r>
        <w:r w:rsidR="00246BEA">
          <w:rPr>
            <w:noProof/>
            <w:webHidden/>
          </w:rPr>
          <w:instrText xml:space="preserve"> PAGEREF _Toc235815427 \h </w:instrText>
        </w:r>
        <w:r w:rsidR="00246BEA">
          <w:rPr>
            <w:noProof/>
            <w:webHidden/>
          </w:rPr>
        </w:r>
        <w:r w:rsidR="00246BEA">
          <w:rPr>
            <w:noProof/>
            <w:webHidden/>
          </w:rPr>
          <w:fldChar w:fldCharType="separate"/>
        </w:r>
        <w:r w:rsidR="00246BEA">
          <w:rPr>
            <w:noProof/>
            <w:webHidden/>
          </w:rPr>
          <w:t>67</w:t>
        </w:r>
        <w:r w:rsidR="00246BEA">
          <w:rPr>
            <w:noProof/>
            <w:webHidden/>
          </w:rPr>
          <w:fldChar w:fldCharType="end"/>
        </w:r>
      </w:hyperlink>
    </w:p>
    <w:p w14:paraId="2274B462" w14:textId="68423560"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28" w:history="1">
        <w:r w:rsidR="00246BEA" w:rsidRPr="00DA10A9">
          <w:rPr>
            <w:rStyle w:val="Hipervnculo"/>
            <w:noProof/>
          </w:rPr>
          <w:t>Figura 4. Dagrama de bosque (forest plot) del metaanálisis de la proporción de hemorragia posparto con misoprostol oral</w:t>
        </w:r>
        <w:r w:rsidR="00246BEA">
          <w:rPr>
            <w:noProof/>
            <w:webHidden/>
          </w:rPr>
          <w:tab/>
        </w:r>
        <w:r w:rsidR="00246BEA">
          <w:rPr>
            <w:noProof/>
            <w:webHidden/>
          </w:rPr>
          <w:fldChar w:fldCharType="begin"/>
        </w:r>
        <w:r w:rsidR="00246BEA">
          <w:rPr>
            <w:noProof/>
            <w:webHidden/>
          </w:rPr>
          <w:instrText xml:space="preserve"> PAGEREF _Toc235815428 \h </w:instrText>
        </w:r>
        <w:r w:rsidR="00246BEA">
          <w:rPr>
            <w:noProof/>
            <w:webHidden/>
          </w:rPr>
        </w:r>
        <w:r w:rsidR="00246BEA">
          <w:rPr>
            <w:noProof/>
            <w:webHidden/>
          </w:rPr>
          <w:fldChar w:fldCharType="separate"/>
        </w:r>
        <w:r w:rsidR="00246BEA">
          <w:rPr>
            <w:noProof/>
            <w:webHidden/>
          </w:rPr>
          <w:t>69</w:t>
        </w:r>
        <w:r w:rsidR="00246BEA">
          <w:rPr>
            <w:noProof/>
            <w:webHidden/>
          </w:rPr>
          <w:fldChar w:fldCharType="end"/>
        </w:r>
      </w:hyperlink>
    </w:p>
    <w:p w14:paraId="7238D683" w14:textId="27283817" w:rsidR="00246BEA" w:rsidRDefault="00A00B24">
      <w:pPr>
        <w:pStyle w:val="Tabladeilustraciones"/>
        <w:tabs>
          <w:tab w:val="right" w:leader="dot" w:pos="8828"/>
        </w:tabs>
        <w:rPr>
          <w:rFonts w:asciiTheme="minorHAnsi" w:eastAsiaTheme="minorEastAsia" w:hAnsiTheme="minorHAnsi"/>
          <w:noProof/>
          <w:kern w:val="0"/>
          <w:sz w:val="22"/>
          <w:szCs w:val="22"/>
          <w:lang w:val="es-ES" w:eastAsia="es-ES"/>
          <w14:ligatures w14:val="none"/>
        </w:rPr>
      </w:pPr>
      <w:hyperlink w:anchor="_Toc235815429" w:history="1">
        <w:r w:rsidR="00246BEA" w:rsidRPr="00DA10A9">
          <w:rPr>
            <w:rStyle w:val="Hipervnculo"/>
            <w:noProof/>
          </w:rPr>
          <w:t>Figura 5. Gráficos en embudo para la evaluación del posible sesgo de publicación en los metanálisis de proporciones de HPP con misoprostol sublingual y oral</w:t>
        </w:r>
        <w:r w:rsidR="00246BEA">
          <w:rPr>
            <w:noProof/>
            <w:webHidden/>
          </w:rPr>
          <w:tab/>
        </w:r>
        <w:r w:rsidR="00246BEA">
          <w:rPr>
            <w:noProof/>
            <w:webHidden/>
          </w:rPr>
          <w:fldChar w:fldCharType="begin"/>
        </w:r>
        <w:r w:rsidR="00246BEA">
          <w:rPr>
            <w:noProof/>
            <w:webHidden/>
          </w:rPr>
          <w:instrText xml:space="preserve"> PAGEREF _Toc235815429 \h </w:instrText>
        </w:r>
        <w:r w:rsidR="00246BEA">
          <w:rPr>
            <w:noProof/>
            <w:webHidden/>
          </w:rPr>
        </w:r>
        <w:r w:rsidR="00246BEA">
          <w:rPr>
            <w:noProof/>
            <w:webHidden/>
          </w:rPr>
          <w:fldChar w:fldCharType="separate"/>
        </w:r>
        <w:r w:rsidR="00246BEA">
          <w:rPr>
            <w:noProof/>
            <w:webHidden/>
          </w:rPr>
          <w:t>71</w:t>
        </w:r>
        <w:r w:rsidR="00246BEA">
          <w:rPr>
            <w:noProof/>
            <w:webHidden/>
          </w:rPr>
          <w:fldChar w:fldCharType="end"/>
        </w:r>
      </w:hyperlink>
    </w:p>
    <w:p w14:paraId="2FEDAD25" w14:textId="098A414D" w:rsidR="007F5E80" w:rsidRDefault="007F5E80" w:rsidP="007F5E80">
      <w:pPr>
        <w:pStyle w:val="Ttulo1"/>
      </w:pPr>
      <w:r>
        <w:lastRenderedPageBreak/>
        <w:fldChar w:fldCharType="end"/>
      </w:r>
      <w:bookmarkStart w:id="2" w:name="_Toc235815337"/>
      <w:r>
        <w:t>Listado de siglas y abreviaturas</w:t>
      </w:r>
      <w:bookmarkEnd w:id="2"/>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3"/>
        <w:gridCol w:w="7515"/>
      </w:tblGrid>
      <w:tr w:rsidR="00763727" w:rsidRPr="00763727" w14:paraId="056C3913" w14:textId="77777777" w:rsidTr="00763727">
        <w:tc>
          <w:tcPr>
            <w:tcW w:w="0" w:type="auto"/>
            <w:hideMark/>
          </w:tcPr>
          <w:p w14:paraId="4D1E20DF"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ACOG</w:t>
            </w:r>
          </w:p>
        </w:tc>
        <w:tc>
          <w:tcPr>
            <w:tcW w:w="0" w:type="auto"/>
            <w:hideMark/>
          </w:tcPr>
          <w:p w14:paraId="17DFF2A4"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Colegio Americano de Obstetras y Ginecólogos</w:t>
            </w:r>
          </w:p>
        </w:tc>
      </w:tr>
      <w:tr w:rsidR="00763727" w:rsidRPr="00763727" w14:paraId="6F0CA691" w14:textId="77777777" w:rsidTr="00763727">
        <w:tc>
          <w:tcPr>
            <w:tcW w:w="0" w:type="auto"/>
            <w:hideMark/>
          </w:tcPr>
          <w:p w14:paraId="23D649EC"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CENTRAL</w:t>
            </w:r>
          </w:p>
        </w:tc>
        <w:tc>
          <w:tcPr>
            <w:tcW w:w="0" w:type="auto"/>
            <w:hideMark/>
          </w:tcPr>
          <w:p w14:paraId="6EDEA92A"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Registro Cochrane Central de Ensayos Controlados</w:t>
            </w:r>
          </w:p>
        </w:tc>
      </w:tr>
      <w:tr w:rsidR="00763727" w:rsidRPr="00763727" w14:paraId="1F7ACCE7" w14:textId="77777777" w:rsidTr="00763727">
        <w:tc>
          <w:tcPr>
            <w:tcW w:w="0" w:type="auto"/>
            <w:hideMark/>
          </w:tcPr>
          <w:p w14:paraId="535F01AF"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DE</w:t>
            </w:r>
          </w:p>
        </w:tc>
        <w:tc>
          <w:tcPr>
            <w:tcW w:w="0" w:type="auto"/>
            <w:hideMark/>
          </w:tcPr>
          <w:p w14:paraId="7ED07DE6"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Desviación estándar</w:t>
            </w:r>
          </w:p>
        </w:tc>
      </w:tr>
      <w:tr w:rsidR="00763727" w:rsidRPr="00763727" w14:paraId="3D9EFD70" w14:textId="77777777" w:rsidTr="00763727">
        <w:tc>
          <w:tcPr>
            <w:tcW w:w="0" w:type="auto"/>
            <w:hideMark/>
          </w:tcPr>
          <w:p w14:paraId="45138692"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FIGO</w:t>
            </w:r>
          </w:p>
        </w:tc>
        <w:tc>
          <w:tcPr>
            <w:tcW w:w="0" w:type="auto"/>
            <w:hideMark/>
          </w:tcPr>
          <w:p w14:paraId="191E61EA"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Federación Internacional de Ginecología y Obstetricia</w:t>
            </w:r>
          </w:p>
        </w:tc>
      </w:tr>
      <w:tr w:rsidR="00763727" w:rsidRPr="00763727" w14:paraId="1A8C3813" w14:textId="77777777" w:rsidTr="00763727">
        <w:tc>
          <w:tcPr>
            <w:tcW w:w="0" w:type="auto"/>
            <w:hideMark/>
          </w:tcPr>
          <w:p w14:paraId="176D8AB5" w14:textId="77777777" w:rsidR="00763727" w:rsidRPr="00763727" w:rsidRDefault="00763727" w:rsidP="00763727">
            <w:pPr>
              <w:jc w:val="left"/>
              <w:rPr>
                <w:rFonts w:eastAsia="Times New Roman" w:cs="Times New Roman"/>
                <w:kern w:val="0"/>
                <w:lang w:val="es-ES" w:eastAsia="es-ES"/>
                <w14:ligatures w14:val="none"/>
              </w:rPr>
            </w:pPr>
            <w:proofErr w:type="spellStart"/>
            <w:r w:rsidRPr="00763727">
              <w:rPr>
                <w:rFonts w:eastAsia="Times New Roman" w:cs="Times New Roman"/>
                <w:kern w:val="0"/>
                <w:lang w:val="es-ES" w:eastAsia="es-ES"/>
                <w14:ligatures w14:val="none"/>
              </w:rPr>
              <w:t>gl</w:t>
            </w:r>
            <w:proofErr w:type="spellEnd"/>
          </w:p>
        </w:tc>
        <w:tc>
          <w:tcPr>
            <w:tcW w:w="0" w:type="auto"/>
            <w:hideMark/>
          </w:tcPr>
          <w:p w14:paraId="606EED23"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Grados de libertad</w:t>
            </w:r>
          </w:p>
        </w:tc>
      </w:tr>
      <w:tr w:rsidR="00763727" w:rsidRPr="00763727" w14:paraId="009A6505" w14:textId="77777777" w:rsidTr="00763727">
        <w:tc>
          <w:tcPr>
            <w:tcW w:w="0" w:type="auto"/>
            <w:hideMark/>
          </w:tcPr>
          <w:p w14:paraId="104FFB02"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Hb</w:t>
            </w:r>
          </w:p>
        </w:tc>
        <w:tc>
          <w:tcPr>
            <w:tcW w:w="0" w:type="auto"/>
            <w:hideMark/>
          </w:tcPr>
          <w:p w14:paraId="675D47DA"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Hemoglobina</w:t>
            </w:r>
          </w:p>
        </w:tc>
      </w:tr>
      <w:tr w:rsidR="00763727" w:rsidRPr="00763727" w14:paraId="669A9803" w14:textId="77777777" w:rsidTr="00763727">
        <w:tc>
          <w:tcPr>
            <w:tcW w:w="0" w:type="auto"/>
            <w:hideMark/>
          </w:tcPr>
          <w:p w14:paraId="3E2216BB"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HPP</w:t>
            </w:r>
          </w:p>
        </w:tc>
        <w:tc>
          <w:tcPr>
            <w:tcW w:w="0" w:type="auto"/>
            <w:hideMark/>
          </w:tcPr>
          <w:p w14:paraId="3CCEDA54"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Hemorragia posparto</w:t>
            </w:r>
          </w:p>
        </w:tc>
      </w:tr>
      <w:tr w:rsidR="00763727" w:rsidRPr="00763727" w14:paraId="73E74365" w14:textId="77777777" w:rsidTr="00763727">
        <w:tc>
          <w:tcPr>
            <w:tcW w:w="0" w:type="auto"/>
            <w:hideMark/>
          </w:tcPr>
          <w:p w14:paraId="53C6A094" w14:textId="77777777" w:rsidR="00763727" w:rsidRPr="00763727" w:rsidRDefault="00763727" w:rsidP="00763727">
            <w:pPr>
              <w:jc w:val="left"/>
              <w:rPr>
                <w:rFonts w:eastAsia="Times New Roman" w:cs="Times New Roman"/>
                <w:kern w:val="0"/>
                <w:lang w:val="es-ES" w:eastAsia="es-ES"/>
                <w14:ligatures w14:val="none"/>
              </w:rPr>
            </w:pPr>
            <w:proofErr w:type="spellStart"/>
            <w:r w:rsidRPr="00763727">
              <w:rPr>
                <w:rFonts w:eastAsia="Times New Roman" w:cs="Times New Roman"/>
                <w:kern w:val="0"/>
                <w:lang w:val="es-ES" w:eastAsia="es-ES"/>
                <w14:ligatures w14:val="none"/>
              </w:rPr>
              <w:t>Hto</w:t>
            </w:r>
            <w:proofErr w:type="spellEnd"/>
          </w:p>
        </w:tc>
        <w:tc>
          <w:tcPr>
            <w:tcW w:w="0" w:type="auto"/>
            <w:hideMark/>
          </w:tcPr>
          <w:p w14:paraId="060B206A"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Hematocrito</w:t>
            </w:r>
          </w:p>
        </w:tc>
      </w:tr>
      <w:tr w:rsidR="00763727" w:rsidRPr="00763727" w14:paraId="58F11DB0" w14:textId="77777777" w:rsidTr="00763727">
        <w:tc>
          <w:tcPr>
            <w:tcW w:w="0" w:type="auto"/>
            <w:hideMark/>
          </w:tcPr>
          <w:p w14:paraId="0A115F13"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I²</w:t>
            </w:r>
          </w:p>
        </w:tc>
        <w:tc>
          <w:tcPr>
            <w:tcW w:w="0" w:type="auto"/>
            <w:hideMark/>
          </w:tcPr>
          <w:p w14:paraId="5779063C"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Estadístico de heterogeneidad</w:t>
            </w:r>
          </w:p>
        </w:tc>
      </w:tr>
      <w:tr w:rsidR="00763727" w:rsidRPr="00763727" w14:paraId="4B5340DF" w14:textId="77777777" w:rsidTr="00763727">
        <w:tc>
          <w:tcPr>
            <w:tcW w:w="0" w:type="auto"/>
            <w:hideMark/>
          </w:tcPr>
          <w:p w14:paraId="350CC660"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ICM</w:t>
            </w:r>
          </w:p>
        </w:tc>
        <w:tc>
          <w:tcPr>
            <w:tcW w:w="0" w:type="auto"/>
            <w:hideMark/>
          </w:tcPr>
          <w:p w14:paraId="462317C2"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Confederación Internacional de Matronas</w:t>
            </w:r>
          </w:p>
        </w:tc>
      </w:tr>
      <w:tr w:rsidR="00763727" w:rsidRPr="00763727" w14:paraId="56A4F6BE" w14:textId="77777777" w:rsidTr="00763727">
        <w:tc>
          <w:tcPr>
            <w:tcW w:w="0" w:type="auto"/>
            <w:hideMark/>
          </w:tcPr>
          <w:p w14:paraId="53EC8B38"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IC95%</w:t>
            </w:r>
          </w:p>
        </w:tc>
        <w:tc>
          <w:tcPr>
            <w:tcW w:w="0" w:type="auto"/>
            <w:hideMark/>
          </w:tcPr>
          <w:p w14:paraId="34A5C5E0"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Intervalo de confianza del 95%</w:t>
            </w:r>
          </w:p>
        </w:tc>
      </w:tr>
      <w:tr w:rsidR="00763727" w:rsidRPr="00763727" w14:paraId="710341DF" w14:textId="77777777" w:rsidTr="00763727">
        <w:tc>
          <w:tcPr>
            <w:tcW w:w="0" w:type="auto"/>
            <w:hideMark/>
          </w:tcPr>
          <w:p w14:paraId="119AC519"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IM</w:t>
            </w:r>
          </w:p>
        </w:tc>
        <w:tc>
          <w:tcPr>
            <w:tcW w:w="0" w:type="auto"/>
            <w:hideMark/>
          </w:tcPr>
          <w:p w14:paraId="7987FD09"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Intramuscular</w:t>
            </w:r>
          </w:p>
        </w:tc>
      </w:tr>
      <w:tr w:rsidR="00763727" w:rsidRPr="00763727" w14:paraId="60CDD81A" w14:textId="77777777" w:rsidTr="00763727">
        <w:tc>
          <w:tcPr>
            <w:tcW w:w="0" w:type="auto"/>
            <w:hideMark/>
          </w:tcPr>
          <w:p w14:paraId="2502EEBE"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IV</w:t>
            </w:r>
          </w:p>
        </w:tc>
        <w:tc>
          <w:tcPr>
            <w:tcW w:w="0" w:type="auto"/>
            <w:hideMark/>
          </w:tcPr>
          <w:p w14:paraId="7C8DA3B2"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Intravenosa</w:t>
            </w:r>
          </w:p>
        </w:tc>
      </w:tr>
      <w:tr w:rsidR="00763727" w:rsidRPr="00763727" w14:paraId="22F1C2E3" w14:textId="77777777" w:rsidTr="00763727">
        <w:tc>
          <w:tcPr>
            <w:tcW w:w="0" w:type="auto"/>
            <w:hideMark/>
          </w:tcPr>
          <w:p w14:paraId="53E841C6"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LILACS</w:t>
            </w:r>
          </w:p>
        </w:tc>
        <w:tc>
          <w:tcPr>
            <w:tcW w:w="0" w:type="auto"/>
            <w:hideMark/>
          </w:tcPr>
          <w:p w14:paraId="10302B17"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Literatura Latinoamericana y del Caribe en Ciencias de la Salud</w:t>
            </w:r>
          </w:p>
        </w:tc>
      </w:tr>
      <w:tr w:rsidR="00763727" w:rsidRPr="00763727" w14:paraId="487B567D" w14:textId="77777777" w:rsidTr="00763727">
        <w:tc>
          <w:tcPr>
            <w:tcW w:w="0" w:type="auto"/>
            <w:hideMark/>
          </w:tcPr>
          <w:p w14:paraId="2FCE346A" w14:textId="77777777" w:rsidR="00763727" w:rsidRPr="00763727" w:rsidRDefault="00763727" w:rsidP="00763727">
            <w:pPr>
              <w:jc w:val="left"/>
              <w:rPr>
                <w:rFonts w:eastAsia="Times New Roman" w:cs="Times New Roman"/>
                <w:kern w:val="0"/>
                <w:lang w:val="es-ES" w:eastAsia="es-ES"/>
                <w14:ligatures w14:val="none"/>
              </w:rPr>
            </w:pPr>
            <w:proofErr w:type="spellStart"/>
            <w:r w:rsidRPr="00763727">
              <w:rPr>
                <w:rFonts w:eastAsia="Times New Roman" w:cs="Times New Roman"/>
                <w:kern w:val="0"/>
                <w:lang w:val="es-ES" w:eastAsia="es-ES"/>
                <w14:ligatures w14:val="none"/>
              </w:rPr>
              <w:t>mL</w:t>
            </w:r>
            <w:proofErr w:type="spellEnd"/>
          </w:p>
        </w:tc>
        <w:tc>
          <w:tcPr>
            <w:tcW w:w="0" w:type="auto"/>
            <w:hideMark/>
          </w:tcPr>
          <w:p w14:paraId="14BD97F5"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Mililitros</w:t>
            </w:r>
          </w:p>
        </w:tc>
      </w:tr>
      <w:tr w:rsidR="00763727" w:rsidRPr="00763727" w14:paraId="03E9CD09" w14:textId="77777777" w:rsidTr="00763727">
        <w:tc>
          <w:tcPr>
            <w:tcW w:w="0" w:type="auto"/>
            <w:hideMark/>
          </w:tcPr>
          <w:p w14:paraId="3EB1D400"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OMS</w:t>
            </w:r>
          </w:p>
        </w:tc>
        <w:tc>
          <w:tcPr>
            <w:tcW w:w="0" w:type="auto"/>
            <w:hideMark/>
          </w:tcPr>
          <w:p w14:paraId="471ECEA1"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Organización Mundial de la Salud</w:t>
            </w:r>
          </w:p>
        </w:tc>
      </w:tr>
      <w:tr w:rsidR="00763727" w:rsidRPr="00763727" w14:paraId="289E2452" w14:textId="77777777" w:rsidTr="00763727">
        <w:tc>
          <w:tcPr>
            <w:tcW w:w="0" w:type="auto"/>
            <w:hideMark/>
          </w:tcPr>
          <w:p w14:paraId="3B6B7DE1"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OR</w:t>
            </w:r>
          </w:p>
        </w:tc>
        <w:tc>
          <w:tcPr>
            <w:tcW w:w="0" w:type="auto"/>
            <w:hideMark/>
          </w:tcPr>
          <w:p w14:paraId="25C8EFA4"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Razón de momios</w:t>
            </w:r>
          </w:p>
        </w:tc>
      </w:tr>
      <w:tr w:rsidR="00763727" w:rsidRPr="00763727" w14:paraId="0AFF99A8" w14:textId="77777777" w:rsidTr="00763727">
        <w:tc>
          <w:tcPr>
            <w:tcW w:w="0" w:type="auto"/>
            <w:hideMark/>
          </w:tcPr>
          <w:p w14:paraId="55E42B0A"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PICO</w:t>
            </w:r>
          </w:p>
        </w:tc>
        <w:tc>
          <w:tcPr>
            <w:tcW w:w="0" w:type="auto"/>
            <w:hideMark/>
          </w:tcPr>
          <w:p w14:paraId="2D5402E3"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Población, intervención, comparación y resultado</w:t>
            </w:r>
          </w:p>
        </w:tc>
      </w:tr>
      <w:tr w:rsidR="00763727" w:rsidRPr="00763727" w14:paraId="27CFC8C6" w14:textId="77777777" w:rsidTr="00763727">
        <w:tc>
          <w:tcPr>
            <w:tcW w:w="0" w:type="auto"/>
            <w:hideMark/>
          </w:tcPr>
          <w:p w14:paraId="0AB677AF"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PRISMA</w:t>
            </w:r>
          </w:p>
        </w:tc>
        <w:tc>
          <w:tcPr>
            <w:tcW w:w="0" w:type="auto"/>
            <w:hideMark/>
          </w:tcPr>
          <w:p w14:paraId="151A2A27"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 xml:space="preserve">Elementos de reporte preferidos para revisiones sistemáticas y </w:t>
            </w:r>
            <w:proofErr w:type="spellStart"/>
            <w:r w:rsidRPr="00763727">
              <w:rPr>
                <w:rFonts w:eastAsia="Times New Roman" w:cs="Times New Roman"/>
                <w:kern w:val="0"/>
                <w:lang w:val="es-ES" w:eastAsia="es-ES"/>
                <w14:ligatures w14:val="none"/>
              </w:rPr>
              <w:t>metanálisis</w:t>
            </w:r>
            <w:proofErr w:type="spellEnd"/>
          </w:p>
        </w:tc>
      </w:tr>
      <w:tr w:rsidR="00763727" w:rsidRPr="00763727" w14:paraId="5A83CAA4" w14:textId="77777777" w:rsidTr="00763727">
        <w:tc>
          <w:tcPr>
            <w:tcW w:w="0" w:type="auto"/>
            <w:hideMark/>
          </w:tcPr>
          <w:p w14:paraId="69562D04"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Q</w:t>
            </w:r>
          </w:p>
        </w:tc>
        <w:tc>
          <w:tcPr>
            <w:tcW w:w="0" w:type="auto"/>
            <w:hideMark/>
          </w:tcPr>
          <w:p w14:paraId="2A09F188"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Estadístico Q de Cochran</w:t>
            </w:r>
          </w:p>
        </w:tc>
      </w:tr>
      <w:tr w:rsidR="00763727" w:rsidRPr="00763727" w14:paraId="78A86351" w14:textId="77777777" w:rsidTr="00763727">
        <w:tc>
          <w:tcPr>
            <w:tcW w:w="0" w:type="auto"/>
            <w:hideMark/>
          </w:tcPr>
          <w:p w14:paraId="0D01E66C" w14:textId="77777777" w:rsidR="00763727" w:rsidRPr="00763727" w:rsidRDefault="00763727" w:rsidP="00763727">
            <w:pPr>
              <w:jc w:val="left"/>
              <w:rPr>
                <w:rFonts w:eastAsia="Times New Roman" w:cs="Times New Roman"/>
                <w:kern w:val="0"/>
                <w:lang w:val="es-ES" w:eastAsia="es-ES"/>
                <w14:ligatures w14:val="none"/>
              </w:rPr>
            </w:pPr>
            <w:proofErr w:type="spellStart"/>
            <w:r w:rsidRPr="00763727">
              <w:rPr>
                <w:rFonts w:eastAsia="Times New Roman" w:cs="Times New Roman"/>
                <w:kern w:val="0"/>
                <w:lang w:val="es-ES" w:eastAsia="es-ES"/>
                <w14:ligatures w14:val="none"/>
              </w:rPr>
              <w:t>RoB</w:t>
            </w:r>
            <w:proofErr w:type="spellEnd"/>
            <w:r w:rsidRPr="00763727">
              <w:rPr>
                <w:rFonts w:eastAsia="Times New Roman" w:cs="Times New Roman"/>
                <w:kern w:val="0"/>
                <w:lang w:val="es-ES" w:eastAsia="es-ES"/>
                <w14:ligatures w14:val="none"/>
              </w:rPr>
              <w:t xml:space="preserve"> 2</w:t>
            </w:r>
          </w:p>
        </w:tc>
        <w:tc>
          <w:tcPr>
            <w:tcW w:w="0" w:type="auto"/>
            <w:hideMark/>
          </w:tcPr>
          <w:p w14:paraId="1CF185D8"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Herramienta Cochrane para evaluar el riesgo de sesgo en ensayos aleatorizados</w:t>
            </w:r>
          </w:p>
        </w:tc>
      </w:tr>
      <w:tr w:rsidR="00763727" w:rsidRPr="00763727" w14:paraId="34BAAB4A" w14:textId="77777777" w:rsidTr="00763727">
        <w:tc>
          <w:tcPr>
            <w:tcW w:w="0" w:type="auto"/>
            <w:hideMark/>
          </w:tcPr>
          <w:p w14:paraId="6EF70EF0"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RR</w:t>
            </w:r>
          </w:p>
        </w:tc>
        <w:tc>
          <w:tcPr>
            <w:tcW w:w="0" w:type="auto"/>
            <w:hideMark/>
          </w:tcPr>
          <w:p w14:paraId="1704F86A"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Riesgo relativo</w:t>
            </w:r>
          </w:p>
        </w:tc>
      </w:tr>
      <w:tr w:rsidR="00763727" w:rsidRPr="00763727" w14:paraId="75B83A4B" w14:textId="77777777" w:rsidTr="00763727">
        <w:tc>
          <w:tcPr>
            <w:tcW w:w="0" w:type="auto"/>
            <w:hideMark/>
          </w:tcPr>
          <w:p w14:paraId="7849F2DF"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SciELO</w:t>
            </w:r>
          </w:p>
        </w:tc>
        <w:tc>
          <w:tcPr>
            <w:tcW w:w="0" w:type="auto"/>
            <w:hideMark/>
          </w:tcPr>
          <w:p w14:paraId="47F74FAB"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Biblioteca Científica Electrónica en Línea</w:t>
            </w:r>
          </w:p>
        </w:tc>
      </w:tr>
      <w:tr w:rsidR="00763727" w:rsidRPr="00763727" w14:paraId="67B8107F" w14:textId="77777777" w:rsidTr="00763727">
        <w:tc>
          <w:tcPr>
            <w:tcW w:w="0" w:type="auto"/>
            <w:hideMark/>
          </w:tcPr>
          <w:p w14:paraId="37A15405"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UI</w:t>
            </w:r>
          </w:p>
        </w:tc>
        <w:tc>
          <w:tcPr>
            <w:tcW w:w="0" w:type="auto"/>
            <w:hideMark/>
          </w:tcPr>
          <w:p w14:paraId="4321188F"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Unidades internacionales</w:t>
            </w:r>
          </w:p>
        </w:tc>
      </w:tr>
      <w:tr w:rsidR="00763727" w:rsidRPr="00763727" w14:paraId="4792E7C3" w14:textId="77777777" w:rsidTr="00763727">
        <w:tc>
          <w:tcPr>
            <w:tcW w:w="0" w:type="auto"/>
            <w:hideMark/>
          </w:tcPr>
          <w:p w14:paraId="1B5DBD38"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µg</w:t>
            </w:r>
          </w:p>
        </w:tc>
        <w:tc>
          <w:tcPr>
            <w:tcW w:w="0" w:type="auto"/>
            <w:hideMark/>
          </w:tcPr>
          <w:p w14:paraId="7630C217" w14:textId="77777777" w:rsidR="00763727" w:rsidRPr="00763727" w:rsidRDefault="00763727" w:rsidP="00763727">
            <w:pPr>
              <w:jc w:val="left"/>
              <w:rPr>
                <w:rFonts w:eastAsia="Times New Roman" w:cs="Times New Roman"/>
                <w:kern w:val="0"/>
                <w:lang w:val="es-ES" w:eastAsia="es-ES"/>
                <w14:ligatures w14:val="none"/>
              </w:rPr>
            </w:pPr>
            <w:r w:rsidRPr="00763727">
              <w:rPr>
                <w:rFonts w:eastAsia="Times New Roman" w:cs="Times New Roman"/>
                <w:kern w:val="0"/>
                <w:lang w:val="es-ES" w:eastAsia="es-ES"/>
                <w14:ligatures w14:val="none"/>
              </w:rPr>
              <w:t>Microgramos</w:t>
            </w:r>
          </w:p>
        </w:tc>
      </w:tr>
    </w:tbl>
    <w:p w14:paraId="21232414" w14:textId="77777777" w:rsidR="007F5E80" w:rsidRPr="007F5E80" w:rsidRDefault="007F5E80" w:rsidP="007F5E80"/>
    <w:p w14:paraId="7112BD5D" w14:textId="77777777" w:rsidR="00833DE5" w:rsidRPr="00833DE5" w:rsidRDefault="00833DE5" w:rsidP="00833DE5">
      <w:pPr>
        <w:rPr>
          <w:b/>
          <w:bCs/>
          <w:sz w:val="28"/>
          <w:szCs w:val="28"/>
        </w:rPr>
      </w:pPr>
    </w:p>
    <w:p w14:paraId="4ADBCC6E" w14:textId="77777777" w:rsidR="00676C73" w:rsidRDefault="00676C73" w:rsidP="002104E2">
      <w:pPr>
        <w:pStyle w:val="Ttulo1"/>
        <w:sectPr w:rsidR="00676C73" w:rsidSect="00676C73">
          <w:footerReference w:type="default" r:id="rId11"/>
          <w:pgSz w:w="12240" w:h="15840"/>
          <w:pgMar w:top="1417" w:right="1701" w:bottom="1417" w:left="1701" w:header="708" w:footer="708" w:gutter="0"/>
          <w:pgNumType w:fmt="lowerRoman" w:start="1"/>
          <w:cols w:space="708"/>
          <w:docGrid w:linePitch="360"/>
        </w:sectPr>
      </w:pPr>
    </w:p>
    <w:p w14:paraId="1F64A010" w14:textId="1813CE3E" w:rsidR="00FC4A35" w:rsidRDefault="00FC4A35" w:rsidP="002104E2">
      <w:pPr>
        <w:pStyle w:val="Ttulo1"/>
      </w:pPr>
      <w:bookmarkStart w:id="3" w:name="_Toc235815338"/>
      <w:r>
        <w:lastRenderedPageBreak/>
        <w:t>Introducción</w:t>
      </w:r>
      <w:bookmarkEnd w:id="3"/>
    </w:p>
    <w:p w14:paraId="46B8BF2E" w14:textId="77777777" w:rsidR="00BD6F1F" w:rsidRDefault="00BD6F1F" w:rsidP="00BD6F1F">
      <w:r>
        <w:t>La hemorragia posparto (HPP) constituye una de las principales causas de morbilidad y mortalidad materna a nivel mundial. Se estima que aproximadamente el 27% de las muertes maternas están asociadas a esta complicación, lo que la convierte en la causa directa más frecuente de mortalidad materna a nivel global (</w:t>
      </w:r>
      <w:proofErr w:type="spellStart"/>
      <w:r>
        <w:t>Say</w:t>
      </w:r>
      <w:proofErr w:type="spellEnd"/>
      <w:r>
        <w:t xml:space="preserve"> et al., 2014). La Organización Mundial de la Salud define la hemorragia posparto como la pérdida de 500 </w:t>
      </w:r>
      <w:proofErr w:type="spellStart"/>
      <w:r>
        <w:t>mL</w:t>
      </w:r>
      <w:proofErr w:type="spellEnd"/>
      <w:r>
        <w:t xml:space="preserve"> o más de sangre después de un parto vaginal o de 1000 </w:t>
      </w:r>
      <w:proofErr w:type="spellStart"/>
      <w:r>
        <w:t>mL</w:t>
      </w:r>
      <w:proofErr w:type="spellEnd"/>
      <w:r>
        <w:t xml:space="preserve"> después de una cesárea. Aunque puede presentarse en cualquier contexto obstétrico, su impacto es especialmente elevado en países de ingresos bajos y medianos, donde las limitaciones en el acceso oportuno a atención obstétrica de calidad incrementan el riesgo de desenlaces adversos (GBD 2019 Maternal </w:t>
      </w:r>
      <w:proofErr w:type="spellStart"/>
      <w:r>
        <w:t>Mortality</w:t>
      </w:r>
      <w:proofErr w:type="spellEnd"/>
      <w:r>
        <w:t xml:space="preserve"> </w:t>
      </w:r>
      <w:proofErr w:type="spellStart"/>
      <w:r>
        <w:t>Collaborators</w:t>
      </w:r>
      <w:proofErr w:type="spellEnd"/>
      <w:r>
        <w:t>, 2020).</w:t>
      </w:r>
    </w:p>
    <w:p w14:paraId="4A17AC7A" w14:textId="77777777" w:rsidR="00BD6F1F" w:rsidRDefault="00BD6F1F" w:rsidP="00BD6F1F">
      <w:r>
        <w:t>La administración profiláctica de uterotónicos durante el manejo activo del tercer periodo del parto constituye una de las estrategias más efectivas para prevenir la hemorragia posparto. Tradicionalmente, la oxitocina ha sido el fármaco de primera línea; sin embargo, su uso puede verse limitado en contextos donde no existe acceso confiable a cadena de frío o a personal capacitado para administrar medicamentos inyectables (WHO, 2018). En estos escenarios, el misoprostol, un análogo sintético de la prostaglandina E1, se ha consolidado como una alternativa eficaz y ampliamente utilizada para la prevención de la hemorragia posparto debido a su estabilidad a temperatura ambiente, bajo costo y facilidad de administración (</w:t>
      </w:r>
      <w:proofErr w:type="spellStart"/>
      <w:r>
        <w:t>Hofmeyr</w:t>
      </w:r>
      <w:proofErr w:type="spellEnd"/>
      <w:r>
        <w:t xml:space="preserve"> et al., 2013).</w:t>
      </w:r>
    </w:p>
    <w:p w14:paraId="0D70CE8C" w14:textId="77777777" w:rsidR="00BD6F1F" w:rsidRDefault="00BD6F1F" w:rsidP="00BD6F1F">
      <w:r>
        <w:t>El misoprostol puede administrarse por diferentes vías, incluyendo oral, sublingual, vaginal y rectal. Sin embargo, la efectividad clínica y el perfil farmacocinético del fármaco pueden variar dependiendo de la vía utilizada. Estudios farmacocinéticos han demostrado que la vía sublingual permite una absorción más rápida y mayores concentraciones plasmáticas máximas en comparación con la vía oral, lo que podría favorecer una acción uterotónica más rápida y efectiva (Tang et al., 2002). A pesar de estas ventajas potenciales, también se han reportado diferencias en la frecuencia de efectos secundarios, lo que ha generado interés en evaluar comparativamente las distintas vías de administración.</w:t>
      </w:r>
    </w:p>
    <w:p w14:paraId="481812D5" w14:textId="3BECD8BC" w:rsidR="00FC4A35" w:rsidRDefault="00BD6F1F" w:rsidP="00BD6F1F">
      <w:r>
        <w:lastRenderedPageBreak/>
        <w:t>Diversos ensayos clínicos y estudios comparativos realizados en África y Asia han explorado la efectividad del misoprostol administrado por diferentes vías para la prevención de la hemorragia posparto, sugiriendo que la vía sublingual podría ofrecer ventajas farmacológicas relevantes (</w:t>
      </w:r>
      <w:proofErr w:type="spellStart"/>
      <w:r>
        <w:t>Winikoff</w:t>
      </w:r>
      <w:proofErr w:type="spellEnd"/>
      <w:r>
        <w:t xml:space="preserve"> et al., 2010). No obstante, la evidencia disponible es heterogénea y la comparación directa entre las vías sublingual y oral sigue siendo limitada en determinadas regiones del mundo, incluyendo la región de Latino América. </w:t>
      </w:r>
    </w:p>
    <w:p w14:paraId="44F4CFF0" w14:textId="5A49FB3A" w:rsidR="00FC4A35" w:rsidRDefault="00FC4A35" w:rsidP="00FC4A35">
      <w:r>
        <w:t xml:space="preserve">Por lo tanto, existe una brecha de conocimiento relevante en relación con la evidencia disponible en </w:t>
      </w:r>
      <w:r w:rsidR="00BD6F1F">
        <w:t>la región sobre</w:t>
      </w:r>
      <w:r>
        <w:t xml:space="preserve"> la comparación entre estas dos vías de administración. Abordar esta brecha es fundamental para informar las recomendaciones clínicas y las políticas de salud materna en la región. En este contexto, la presente revisión sistemática tiene como objetivo evaluar la efectividad del misoprostol administrado por vía sublingual en comparación con la vía oral para la prevención de la hemorragia posparto en mujeres con parto vaginal en América Latina.</w:t>
      </w:r>
    </w:p>
    <w:p w14:paraId="480F73CE" w14:textId="13DA7B1B" w:rsidR="00BD6F1F" w:rsidRDefault="00BD6F1F" w:rsidP="00FC4A35"/>
    <w:p w14:paraId="3FB18969" w14:textId="18F14961" w:rsidR="00BD6F1F" w:rsidRDefault="00BD6F1F" w:rsidP="00FC4A35"/>
    <w:p w14:paraId="7B98C59B" w14:textId="2EE1D46E" w:rsidR="00BD6F1F" w:rsidRDefault="00BD6F1F" w:rsidP="00FC4A35"/>
    <w:p w14:paraId="289F4306" w14:textId="00DB0677" w:rsidR="00BD6F1F" w:rsidRDefault="00BD6F1F" w:rsidP="00FC4A35"/>
    <w:p w14:paraId="6D93A911" w14:textId="54C9E6F7" w:rsidR="00BD6F1F" w:rsidRDefault="00BD6F1F" w:rsidP="00FC4A35"/>
    <w:p w14:paraId="60AE656C" w14:textId="1D75DC51" w:rsidR="00BD6F1F" w:rsidRDefault="00BD6F1F" w:rsidP="00FC4A35"/>
    <w:p w14:paraId="4D91E179" w14:textId="7083B4D2" w:rsidR="00BD6F1F" w:rsidRDefault="00BD6F1F" w:rsidP="00FC4A35"/>
    <w:p w14:paraId="07BCE2A4" w14:textId="744F54EA" w:rsidR="00BD6F1F" w:rsidRDefault="00BD6F1F" w:rsidP="00FC4A35"/>
    <w:p w14:paraId="22797CB6" w14:textId="29B21495" w:rsidR="00BD6F1F" w:rsidRDefault="00BD6F1F" w:rsidP="00FC4A35"/>
    <w:p w14:paraId="2FCC5007" w14:textId="4C26E35A" w:rsidR="00BD6F1F" w:rsidRDefault="00BD6F1F" w:rsidP="00FC4A35"/>
    <w:p w14:paraId="0AECC020" w14:textId="37934997" w:rsidR="00BD6F1F" w:rsidRDefault="00BD6F1F" w:rsidP="00FC4A35"/>
    <w:p w14:paraId="287B0803" w14:textId="12EF32FC" w:rsidR="00BD6F1F" w:rsidRDefault="00BD6F1F" w:rsidP="00FC4A35"/>
    <w:p w14:paraId="7D83A37E" w14:textId="3E241096" w:rsidR="00BD6F1F" w:rsidRDefault="00BD6F1F" w:rsidP="00FC4A35"/>
    <w:p w14:paraId="229B6CA1" w14:textId="0E654477" w:rsidR="002104E2" w:rsidRPr="002104E2" w:rsidRDefault="00676C73" w:rsidP="00676C73">
      <w:pPr>
        <w:pStyle w:val="Ttulo1"/>
      </w:pPr>
      <w:bookmarkStart w:id="4" w:name="_Toc235815339"/>
      <w:r w:rsidRPr="002104E2">
        <w:lastRenderedPageBreak/>
        <w:t>Antecedentes</w:t>
      </w:r>
      <w:bookmarkEnd w:id="4"/>
    </w:p>
    <w:p w14:paraId="7200B65A" w14:textId="77777777" w:rsidR="002104E2" w:rsidRPr="002104E2" w:rsidRDefault="002104E2" w:rsidP="002104E2">
      <w:r w:rsidRPr="002104E2">
        <w:t>Tang et al. (2002) realizaron un estudio farmacocinético con el objetivo de comparar las concentraciones plasmáticas del misoprostol administrado por diferentes vías. Los autores encontraron que la vía sublingual alcanzó concentraciones plasmáticas máximas más altas que la vía oral y vaginal, además de una absorción más rápida. Estos hallazgos son relevantes porque sugieren que la administración sublingual podría producir un efecto uterotónico más rápido e intenso. Sin embargo, también plantean la necesidad de valorar si estas ventajas farmacocinéticas se traducen en mayor efectividad clínica o en una mayor frecuencia de efectos adversos.</w:t>
      </w:r>
    </w:p>
    <w:p w14:paraId="31C7C1E5" w14:textId="77777777" w:rsidR="002104E2" w:rsidRPr="002104E2" w:rsidRDefault="002104E2" w:rsidP="002104E2">
      <w:proofErr w:type="spellStart"/>
      <w:r w:rsidRPr="002104E2">
        <w:t>Winikoff</w:t>
      </w:r>
      <w:proofErr w:type="spellEnd"/>
      <w:r w:rsidRPr="002104E2">
        <w:t xml:space="preserve"> et al. (2010) realizaron un ensayo clínico aleatorizado, doble ciego y de no inferioridad en mujeres con hemorragia posparto que no habían recibido oxitocina durante el trabajo de parto. El estudio comparó misoprostol sublingual frente a oxitocina para el tratamiento de la hemorragia posparto. Aunque esta investigación se enfocó en el tratamiento y no en la prevención, aporta evidencia relevante sobre la utilidad clínica del misoprostol sublingual en el control del sangrado posparto. Los autores concluyeron que el misoprostol sublingual puede representar una alternativa terapéutica en contextos donde la oxitocina no está disponible, aunque su perfil de efectos adversos debe considerarse cuidadosamente.</w:t>
      </w:r>
    </w:p>
    <w:p w14:paraId="0A844578" w14:textId="77777777" w:rsidR="002104E2" w:rsidRPr="002104E2" w:rsidRDefault="002104E2" w:rsidP="002104E2">
      <w:proofErr w:type="spellStart"/>
      <w:r w:rsidRPr="002104E2">
        <w:t>Owonikoko</w:t>
      </w:r>
      <w:proofErr w:type="spellEnd"/>
      <w:r w:rsidRPr="002104E2">
        <w:t xml:space="preserve"> et al. (2011) realizaron un ensayo clínico aleatorizado en Nigeria con 100 mujeres sometidas a cesárea electiva o de emergencia, con el objetivo de comparar la efectividad y seguridad del misoprostol sublingual frente a la oxitocina intravenosa para reducir la pérdida sanguínea. Las participantes recibieron 400 µg de misoprostol sublingual o 20 unidades de oxitocina intravenosa después del nacimiento. No se encontraron diferencias significativas en la pérdida sanguínea intraoperatoria ni en los cambios de hematocrito; sin embargo, la pérdida sanguínea durante las primeras cuatro horas posoperatorias fue menor en el grupo de misoprostol. Los efectos adversos, principalmente escalofríos y fiebre, fueron más frecuentes con misoprostol. Los autores concluyeron que el misoprostol sublingual fue tan efectivo como la oxitocina intravenosa para reducir la pérdida sanguínea en cesárea, con ventajas prácticas para contextos de bajos recursos.</w:t>
      </w:r>
    </w:p>
    <w:p w14:paraId="67701EE8" w14:textId="77777777" w:rsidR="002104E2" w:rsidRPr="002104E2" w:rsidRDefault="002104E2" w:rsidP="002104E2">
      <w:proofErr w:type="spellStart"/>
      <w:r w:rsidRPr="002104E2">
        <w:t>Hofmeyr</w:t>
      </w:r>
      <w:proofErr w:type="spellEnd"/>
      <w:r w:rsidRPr="002104E2">
        <w:t xml:space="preserve"> et al. (2013) realizaron una revisión sistemática Cochrane sobre el uso de misoprostol para la prevención y el tratamiento de la hemorragia posparto. El estudio tuvo </w:t>
      </w:r>
      <w:r w:rsidRPr="002104E2">
        <w:lastRenderedPageBreak/>
        <w:t>como objetivo sintetizar la evidencia disponible sobre la eficacia y seguridad del misoprostol como uterotónico. Los autores encontraron que el misoprostol constituye una alternativa útil en contextos donde la oxitocina no está disponible o su uso es limitado, aunque se asocia con mayor frecuencia de efectos adversos como fiebre y escalofríos. Concluyeron que el misoprostol puede tener utilidad clínica, especialmente en entornos con recursos limitados, pero su perfil de eficacia y seguridad debe interpretarse según la dosis, la vía de administración y el contexto clínico.</w:t>
      </w:r>
    </w:p>
    <w:p w14:paraId="6F5AE443" w14:textId="77777777" w:rsidR="002104E2" w:rsidRPr="002104E2" w:rsidRDefault="002104E2" w:rsidP="002104E2">
      <w:proofErr w:type="spellStart"/>
      <w:r w:rsidRPr="002104E2">
        <w:t>Atukunda</w:t>
      </w:r>
      <w:proofErr w:type="spellEnd"/>
      <w:r w:rsidRPr="002104E2">
        <w:t xml:space="preserve"> et al. (2014) desarrollaron un ensayo clínico aleatorizado, doble ciego y de no inferioridad en Uganda, con 1,140 mujeres con parto vaginal no complicado. El objetivo fue comparar 600 µg de misoprostol sublingual frente a 10 UI de oxitocina intramuscular para la prevención de hemorragia posparto durante el manejo activo del tercer periodo del parto. La hemorragia posparto ocurrió en 28.6% de las mujeres del grupo de misoprostol y en 17.4% del grupo de oxitocina, con un riesgo relativo de 1.64. La hemorragia severa no mostró diferencias significativas entre grupos, pero la fiebre y los escalofríos fueron más frecuentes con misoprostol. Los autores concluyeron que el misoprostol sublingual fue inferior a la oxitocina para prevenir hemorragia posparto primaria, aunque podría conservar utilidad cuando la oxitocina no está disponible o no es factible administrarla.</w:t>
      </w:r>
    </w:p>
    <w:p w14:paraId="01ECB4D6" w14:textId="77777777" w:rsidR="002104E2" w:rsidRPr="002104E2" w:rsidRDefault="002104E2" w:rsidP="002104E2">
      <w:r w:rsidRPr="002104E2">
        <w:t>Méndez Cotrina (2025) realizó un estudio observacional, descriptivo, retrospectivo y transversal en un hospital de nivel III en Lima, Perú, con el objetivo de describir el uso de misoprostol en la prevención de hemorragia posparto en puérperas inmediatas. La muestra incluyó 74 historias clínicas. El estudio reportó que el misoprostol favoreció la contractilidad uterina y la estabilidad hemodinámica en la mayoría de las pacientes. También identificó efectos adversos relacionados con la dosis y la vía de administración, siendo los escalofríos el evento más frecuente. La autora concluyó que el misoprostol puede ser útil en la prevención de hemorragia posparto, aunque su uso requiere valorar cuidadosamente la dosis, la vía de administración y el perfil de efectos adversos.</w:t>
      </w:r>
    </w:p>
    <w:p w14:paraId="0A186269" w14:textId="34BEA476" w:rsidR="002104E2" w:rsidRDefault="002104E2" w:rsidP="002104E2">
      <w:proofErr w:type="spellStart"/>
      <w:r w:rsidRPr="002104E2">
        <w:t>Lopes</w:t>
      </w:r>
      <w:proofErr w:type="spellEnd"/>
      <w:r w:rsidRPr="002104E2">
        <w:t xml:space="preserve"> et al. (2025) realizaron una revisión sistemática y metaanálisis para evaluar la eficacia del misoprostol sublingual en comparación con oxitocina en el tratamiento de la hemorragia posparto después del parto vaginal. La búsqueda se realizó en PubMed, Cochrane y </w:t>
      </w:r>
      <w:proofErr w:type="spellStart"/>
      <w:r w:rsidRPr="002104E2">
        <w:t>Embase</w:t>
      </w:r>
      <w:proofErr w:type="spellEnd"/>
      <w:r w:rsidRPr="002104E2">
        <w:t xml:space="preserve"> hasta julio de 2024, e incluyó 10 ensayos clínicos aleatorizados con 5,041 mujeres. No se </w:t>
      </w:r>
      <w:r w:rsidRPr="002104E2">
        <w:lastRenderedPageBreak/>
        <w:t>encontraron diferencias significativas entre misoprostol sublingual y oxitocina en hemorragia posparto ni en reducción de hemoglobina. Sin embargo, el misoprostol se asoció con mayor frecuencia de fiebre y escalofríos. Los autores concluyeron que la oxitocina parece ser una alternativa más segura y efectiva que el misoprostol sublingual para el tratamiento de la hemorragia posparto vaginal.</w:t>
      </w:r>
    </w:p>
    <w:p w14:paraId="10B80542" w14:textId="7EAE65E7" w:rsidR="002104E2" w:rsidRDefault="002104E2" w:rsidP="002104E2"/>
    <w:p w14:paraId="03884037" w14:textId="1D1423AC" w:rsidR="002104E2" w:rsidRDefault="002104E2" w:rsidP="002104E2"/>
    <w:p w14:paraId="28A93EF9" w14:textId="7FE1A6DA" w:rsidR="002104E2" w:rsidRDefault="002104E2" w:rsidP="002104E2"/>
    <w:p w14:paraId="0ECAF594" w14:textId="1B3BF653" w:rsidR="002104E2" w:rsidRDefault="002104E2" w:rsidP="002104E2"/>
    <w:p w14:paraId="66659389" w14:textId="61D9D040" w:rsidR="002104E2" w:rsidRDefault="002104E2" w:rsidP="002104E2"/>
    <w:p w14:paraId="7C170D26" w14:textId="1B606C35" w:rsidR="002104E2" w:rsidRDefault="002104E2" w:rsidP="002104E2"/>
    <w:p w14:paraId="5D23FB67" w14:textId="48708991" w:rsidR="002104E2" w:rsidRDefault="002104E2" w:rsidP="002104E2"/>
    <w:p w14:paraId="205A4FC7" w14:textId="43B33F70" w:rsidR="002104E2" w:rsidRDefault="002104E2" w:rsidP="002104E2"/>
    <w:p w14:paraId="4E9583BA" w14:textId="58EB60D1" w:rsidR="002104E2" w:rsidRDefault="002104E2" w:rsidP="002104E2"/>
    <w:p w14:paraId="58EE217E" w14:textId="4287CA5F" w:rsidR="002104E2" w:rsidRDefault="002104E2" w:rsidP="002104E2"/>
    <w:p w14:paraId="6E6B720E" w14:textId="2B03713B" w:rsidR="002104E2" w:rsidRDefault="002104E2" w:rsidP="002104E2"/>
    <w:p w14:paraId="3E1BBEDF" w14:textId="49765411" w:rsidR="002104E2" w:rsidRDefault="002104E2" w:rsidP="002104E2"/>
    <w:p w14:paraId="5B83EEF5" w14:textId="6F732496" w:rsidR="002104E2" w:rsidRDefault="002104E2" w:rsidP="002104E2"/>
    <w:p w14:paraId="42285E30" w14:textId="5EB2D901" w:rsidR="002104E2" w:rsidRDefault="002104E2" w:rsidP="002104E2"/>
    <w:p w14:paraId="0E3BD2BC" w14:textId="281021D5" w:rsidR="00155636" w:rsidRDefault="00155636" w:rsidP="002104E2"/>
    <w:p w14:paraId="0DEEB050" w14:textId="77777777" w:rsidR="00155636" w:rsidRDefault="00155636" w:rsidP="002104E2"/>
    <w:p w14:paraId="4C91FD08" w14:textId="17A50808" w:rsidR="002104E2" w:rsidRDefault="002104E2" w:rsidP="002104E2"/>
    <w:p w14:paraId="5504674C" w14:textId="0D396D71" w:rsidR="00BD6F1F" w:rsidRDefault="00BD6F1F" w:rsidP="002104E2">
      <w:pPr>
        <w:pStyle w:val="Ttulo1"/>
      </w:pPr>
      <w:bookmarkStart w:id="5" w:name="_Toc235815340"/>
      <w:r>
        <w:lastRenderedPageBreak/>
        <w:t>Justificación</w:t>
      </w:r>
      <w:bookmarkEnd w:id="5"/>
    </w:p>
    <w:p w14:paraId="772100EF" w14:textId="77777777" w:rsidR="00BD6F1F" w:rsidRDefault="00BD6F1F" w:rsidP="00BD6F1F">
      <w:r>
        <w:t>La prevención efectiva de la hemorragia posparto constituye una prioridad de salud pública debido a su contribución significativa a la mortalidad materna y a la carga de complicaciones obstétricas graves. En este contexto, la identificación de intervenciones seguras, eficaces y adaptables a distintos niveles de atención sanitaria es fundamental para fortalecer las estrategias de salud materna, particularmente en regiones con limitaciones en recursos sanitarios.</w:t>
      </w:r>
    </w:p>
    <w:p w14:paraId="1D8E2FC3" w14:textId="6C991D18" w:rsidR="00BD6F1F" w:rsidRDefault="00BD6F1F" w:rsidP="00BD6F1F">
      <w:r>
        <w:t xml:space="preserve">Desde una perspectiva teórica, el presente estudio contribuye a ampliar la comprensión sobre las diferencias farmacológicas y clínicas asociadas a las distintas vías de administración del misoprostol. Aunque el misoprostol ha sido ampliamente estudiado como uterotónico para la prevención y tratamiento de la hemorragia posparto, persisten interrogantes sobre el impacto que las vías de administración tienen en su eficacia y perfil de seguridad. </w:t>
      </w:r>
    </w:p>
    <w:p w14:paraId="735AD972" w14:textId="77777777" w:rsidR="00BD6F1F" w:rsidRDefault="00BD6F1F" w:rsidP="00BD6F1F">
      <w:r>
        <w:t>En términos clínicos, los resultados de esta revisión sistemática pueden contribuir a orientar la toma de decisiones en la práctica obstétrica, especialmente en contextos donde el acceso a uterotónicos inyectables es limitado. El misoprostol es frecuentemente utilizado en entornos con recursos restringidos debido a su estabilidad y facilidad de administración (WHO, 2018). Determinar cuál vía de administración ofrece mayor efectividad para la prevención de la hemorragia posparto podría optimizar los protocolos clínicos y mejorar los resultados maternos.</w:t>
      </w:r>
    </w:p>
    <w:p w14:paraId="7507A02E" w14:textId="77777777" w:rsidR="00BD6F1F" w:rsidRDefault="00BD6F1F" w:rsidP="00BD6F1F">
      <w:r>
        <w:t>Desde el punto de vista metodológico, la realización de una revisión sistemática permitirá sintetizar de manera rigurosa la evidencia disponible, siguiendo criterios estandarizados para la identificación, selección y análisis de estudios. Este enfoque facilita una evaluación crítica de la calidad metodológica de la evidencia existente y contribuye a identificar vacíos de conocimiento que requieren investigación adicional (Higgins et al., 2022).</w:t>
      </w:r>
    </w:p>
    <w:p w14:paraId="4518B682" w14:textId="2CD28155" w:rsidR="00BD6F1F" w:rsidRDefault="00BD6F1F" w:rsidP="00BD6F1F">
      <w:r>
        <w:t>Finalmente, la relevancia social y de salud pública de este estudio radica en su potencial para aportar evidencia que contribuya al diseño de intervenciones más efectivas para reducir la mortalidad materna. En regiones donde persisten desigualdades en el acceso a servicios obstétricos de calidad, disponer de evidencia sólida sobre estrategias preventivas accesibles puede fortalecer las políticas de salud materna y mejorar la equidad en la atención.</w:t>
      </w:r>
    </w:p>
    <w:p w14:paraId="6CEB25C0" w14:textId="6104A648" w:rsidR="00BD6F1F" w:rsidRDefault="00BD6F1F" w:rsidP="002104E2">
      <w:pPr>
        <w:pStyle w:val="Ttulo1"/>
      </w:pPr>
      <w:bookmarkStart w:id="6" w:name="_Toc235815341"/>
      <w:r>
        <w:lastRenderedPageBreak/>
        <w:t>Planteamiento del problema</w:t>
      </w:r>
      <w:bookmarkEnd w:id="6"/>
    </w:p>
    <w:p w14:paraId="703B1F17" w14:textId="7BC98F10" w:rsidR="00BD6F1F" w:rsidRDefault="00BD6F1F" w:rsidP="00BD6F1F">
      <w:r>
        <w:t>La prevención de la hemorragia posparto depende en gran medida del uso oportuno de uterotónicos durante el tercer periodo del parto. En muchos entornos con recursos limitados, el misoprostol se ha convertido en una alternativa ampliamente utilizada debido a su estabilidad térmica, bajo costo y facilidad de administración, características que lo hacen especialmente útil cuando el acceso a oxitocina o a otros uterotónicos inyectables es limitado (</w:t>
      </w:r>
      <w:proofErr w:type="spellStart"/>
      <w:r>
        <w:t>Hofmeyr</w:t>
      </w:r>
      <w:proofErr w:type="spellEnd"/>
      <w:r>
        <w:t xml:space="preserve"> et al., 2013; WHO, 2018). Sin embargo, el misoprostol puede administrarse por distintas vías, entre ellas la oral y la sublingual, que se encuentran entre las más utilizadas en contextos clínicos y comunitarios. Estas vías presentan diferencias farmacocinéticas relevantes. La administración sublingual produce concentraciones plasmáticas máximas más altas y una absorción más rápida que la vía oral, lo que podría traducirse en una respuesta uterotónica más rápida (Tang et al., 2002). No obstante, la evidencia clínica disponible sobre la magnitud de estas diferencias en términos de efectividad para la prevención de la hemorragia posparto sigue siendo limitada y, en algunos casos, inconsistente.</w:t>
      </w:r>
    </w:p>
    <w:p w14:paraId="448455A6" w14:textId="77777777" w:rsidR="00BD6F1F" w:rsidRDefault="00BD6F1F" w:rsidP="00BD6F1F">
      <w:r>
        <w:t>Además, la mayor parte de los estudios que han evaluado las diferentes vías de administración del misoprostol se han realizado en regiones como África y Asia, donde las condiciones de los sistemas de salud, las prácticas obstétricas y los contextos epidemiológicos pueden diferir de los observados en América Latina (</w:t>
      </w:r>
      <w:proofErr w:type="spellStart"/>
      <w:r>
        <w:t>Winikoff</w:t>
      </w:r>
      <w:proofErr w:type="spellEnd"/>
      <w:r>
        <w:t xml:space="preserve"> et al., 2010). En consecuencia, no está claro si la evidencia disponible puede extrapolarse directamente a los contextos clínicos y sanitarios de esta región.</w:t>
      </w:r>
    </w:p>
    <w:p w14:paraId="671522F4" w14:textId="7895286F" w:rsidR="00BD6F1F" w:rsidRDefault="00BD6F1F" w:rsidP="00BD6F1F">
      <w:r>
        <w:t>Ante esta situación, existe la necesidad de sintetizar de manera sistemática la evidencia disponible para determinar si la vía sublingual del misoprostol ofrece ventajas en términos de efectividad frente a la vía oral para la prevención de la hemorragia posparto en mujeres con parto vaginal en América Latina.</w:t>
      </w:r>
    </w:p>
    <w:p w14:paraId="3D1B2AD8" w14:textId="6C781164" w:rsidR="00BD6F1F" w:rsidRDefault="00BD6F1F" w:rsidP="00FC4A35">
      <w:r>
        <w:t xml:space="preserve">Por lo </w:t>
      </w:r>
      <w:r w:rsidR="009B4446">
        <w:t>tanto,</w:t>
      </w:r>
      <w:r>
        <w:t xml:space="preserve"> nos planteamos la siguiente pregunta de investigación</w:t>
      </w:r>
      <w:r w:rsidR="009B4446">
        <w:t>:</w:t>
      </w:r>
    </w:p>
    <w:p w14:paraId="1148609E" w14:textId="54BAC6C9" w:rsidR="00BD6F1F" w:rsidRPr="00155636" w:rsidRDefault="009B4446" w:rsidP="00FC4A35">
      <w:pPr>
        <w:rPr>
          <w:b/>
          <w:bCs/>
        </w:rPr>
      </w:pPr>
      <w:r w:rsidRPr="00155636">
        <w:rPr>
          <w:b/>
          <w:bCs/>
        </w:rPr>
        <w:t>¿En mujeres con parto vaginal en América Latina, la administración de misoprostol por vía sublingual, en comparación con la administración de misoprostol por vía oral, es más efectiva para prevenir la hemorragia posparto?</w:t>
      </w:r>
    </w:p>
    <w:p w14:paraId="0C973531" w14:textId="1FE05DF6" w:rsidR="00FC4A35" w:rsidRPr="00FC4A35" w:rsidRDefault="00FC4A35" w:rsidP="00FC4A35">
      <w:pPr>
        <w:jc w:val="center"/>
      </w:pPr>
    </w:p>
    <w:p w14:paraId="2438571A" w14:textId="77777777" w:rsidR="009B4446" w:rsidRPr="009B4446" w:rsidRDefault="009B4446" w:rsidP="009B4446">
      <w:pPr>
        <w:rPr>
          <w:b/>
          <w:bCs/>
        </w:rPr>
      </w:pPr>
      <w:r w:rsidRPr="009B4446">
        <w:rPr>
          <w:b/>
          <w:bCs/>
        </w:rPr>
        <w:lastRenderedPageBreak/>
        <w:t>Formulación del problema en formato PICO</w:t>
      </w:r>
    </w:p>
    <w:p w14:paraId="5C802564" w14:textId="77777777" w:rsidR="009B4446" w:rsidRDefault="009B4446" w:rsidP="009B4446">
      <w:r>
        <w:t>P (Población): Mujeres con parto vaginal en América Latina.</w:t>
      </w:r>
    </w:p>
    <w:p w14:paraId="6E775C0E" w14:textId="77777777" w:rsidR="009B4446" w:rsidRDefault="009B4446" w:rsidP="009B4446">
      <w:r>
        <w:t>I (Intervención): Misoprostol administrado por vía sublingual para la prevención de la hemorragia posparto.</w:t>
      </w:r>
    </w:p>
    <w:p w14:paraId="2B04642E" w14:textId="77777777" w:rsidR="009B4446" w:rsidRDefault="009B4446" w:rsidP="009B4446">
      <w:r>
        <w:t>C (Comparación): Misoprostol administrado por vía oral para la prevención de la hemorragia posparto.</w:t>
      </w:r>
    </w:p>
    <w:p w14:paraId="7D8172F1" w14:textId="0018F947" w:rsidR="00FC4A35" w:rsidRPr="00FC4A35" w:rsidRDefault="009B4446" w:rsidP="009B4446">
      <w:r>
        <w:t>O (Resultado): Incidencia de hemorragia posparto.</w:t>
      </w:r>
    </w:p>
    <w:p w14:paraId="6E0520EA" w14:textId="591FCB85" w:rsidR="00FC4A35" w:rsidRDefault="00FC4A35" w:rsidP="009B4446"/>
    <w:p w14:paraId="33CF8609" w14:textId="3B55CAC8" w:rsidR="009B4446" w:rsidRDefault="009B4446" w:rsidP="009B4446"/>
    <w:p w14:paraId="65512762" w14:textId="423DDE18" w:rsidR="009B4446" w:rsidRDefault="009B4446" w:rsidP="009B4446"/>
    <w:p w14:paraId="5A7E114A" w14:textId="316A242B" w:rsidR="00723F29" w:rsidRDefault="00723F29" w:rsidP="009B4446"/>
    <w:p w14:paraId="4FFA48C2" w14:textId="4FC60AB9" w:rsidR="00723F29" w:rsidRDefault="00723F29" w:rsidP="009B4446"/>
    <w:p w14:paraId="7B9649A6" w14:textId="4F945B77" w:rsidR="00723F29" w:rsidRDefault="00723F29" w:rsidP="009B4446"/>
    <w:p w14:paraId="0985CF4F" w14:textId="6D6EAC77" w:rsidR="00723F29" w:rsidRDefault="00723F29" w:rsidP="009B4446"/>
    <w:p w14:paraId="49DB35DC" w14:textId="79AE10A9" w:rsidR="00723F29" w:rsidRDefault="00723F29" w:rsidP="009B4446"/>
    <w:p w14:paraId="25C21822" w14:textId="2224AA31" w:rsidR="00723F29" w:rsidRDefault="00723F29" w:rsidP="009B4446"/>
    <w:p w14:paraId="73A1EB78" w14:textId="25D35A59" w:rsidR="00723F29" w:rsidRDefault="00723F29" w:rsidP="009B4446"/>
    <w:p w14:paraId="383DD6A2" w14:textId="375FD793" w:rsidR="00723F29" w:rsidRDefault="00723F29" w:rsidP="009B4446"/>
    <w:p w14:paraId="72DDEA41" w14:textId="4670C73C" w:rsidR="00723F29" w:rsidRDefault="00723F29" w:rsidP="009B4446"/>
    <w:p w14:paraId="6F9819F1" w14:textId="15D9F1A7" w:rsidR="00723F29" w:rsidRDefault="00723F29" w:rsidP="009B4446"/>
    <w:p w14:paraId="65184FFC" w14:textId="437BE63C" w:rsidR="002104E2" w:rsidRDefault="002104E2" w:rsidP="009B4446"/>
    <w:p w14:paraId="033C553B" w14:textId="77777777" w:rsidR="00155636" w:rsidRDefault="00155636" w:rsidP="009B4446"/>
    <w:p w14:paraId="2DAE74B3" w14:textId="040A9366" w:rsidR="00723F29" w:rsidRDefault="00723F29" w:rsidP="002104E2">
      <w:pPr>
        <w:pStyle w:val="Ttulo1"/>
      </w:pPr>
      <w:bookmarkStart w:id="7" w:name="_Toc235815342"/>
      <w:r>
        <w:lastRenderedPageBreak/>
        <w:t>Objetivos</w:t>
      </w:r>
      <w:bookmarkEnd w:id="7"/>
    </w:p>
    <w:p w14:paraId="547EB70E" w14:textId="77777777" w:rsidR="00723F29" w:rsidRDefault="00723F29" w:rsidP="00723F29"/>
    <w:p w14:paraId="5330F61E" w14:textId="0ACF79C2" w:rsidR="00723F29" w:rsidRDefault="00723F29" w:rsidP="002104E2">
      <w:pPr>
        <w:pStyle w:val="Ttulo2"/>
      </w:pPr>
      <w:bookmarkStart w:id="8" w:name="_Toc235815343"/>
      <w:r>
        <w:t xml:space="preserve">Objetivo </w:t>
      </w:r>
      <w:r w:rsidRPr="002104E2">
        <w:t>general</w:t>
      </w:r>
      <w:bookmarkEnd w:id="8"/>
    </w:p>
    <w:p w14:paraId="07D6DCD5" w14:textId="77777777" w:rsidR="00723F29" w:rsidRDefault="00723F29" w:rsidP="00723F29">
      <w:r>
        <w:t>Determinar si la administración de misoprostol por vía sublingual es más efectiva que la administración por vía oral para la prevención de la hemorragia posparto en mujeres con parto vaginal en América Latina.</w:t>
      </w:r>
    </w:p>
    <w:p w14:paraId="58E2848F" w14:textId="77777777" w:rsidR="00723F29" w:rsidRDefault="00723F29" w:rsidP="00723F29"/>
    <w:p w14:paraId="05045019" w14:textId="77777777" w:rsidR="00723F29" w:rsidRDefault="00723F29" w:rsidP="002104E2">
      <w:pPr>
        <w:pStyle w:val="Ttulo2"/>
      </w:pPr>
      <w:bookmarkStart w:id="9" w:name="_Toc235815344"/>
      <w:r>
        <w:t xml:space="preserve">Objetivos </w:t>
      </w:r>
      <w:r w:rsidRPr="002104E2">
        <w:t>específicos</w:t>
      </w:r>
      <w:bookmarkEnd w:id="9"/>
    </w:p>
    <w:p w14:paraId="308BB8D9" w14:textId="77777777" w:rsidR="00723F29" w:rsidRDefault="00723F29" w:rsidP="00723F29">
      <w:pPr>
        <w:numPr>
          <w:ilvl w:val="0"/>
          <w:numId w:val="1"/>
        </w:numPr>
        <w:ind w:left="714" w:hanging="357"/>
      </w:pPr>
      <w:r>
        <w:t>Describir las características de los estudios incluidos en la revisión sistemática sobre el uso de misoprostol sublingual y oral para la prevención de hemorragia posparto.</w:t>
      </w:r>
    </w:p>
    <w:p w14:paraId="09000F59" w14:textId="77777777" w:rsidR="00676C73" w:rsidRPr="00723F29" w:rsidRDefault="00676C73" w:rsidP="00676C73">
      <w:pPr>
        <w:numPr>
          <w:ilvl w:val="0"/>
          <w:numId w:val="1"/>
        </w:numPr>
        <w:ind w:left="714" w:hanging="357"/>
      </w:pPr>
      <w:r>
        <w:t>Evaluar la calidad metodológica de los estudios incluidos en la revisión sistemática.</w:t>
      </w:r>
    </w:p>
    <w:p w14:paraId="3F5B619C" w14:textId="77777777" w:rsidR="00723F29" w:rsidRDefault="00723F29" w:rsidP="00723F29">
      <w:pPr>
        <w:numPr>
          <w:ilvl w:val="0"/>
          <w:numId w:val="1"/>
        </w:numPr>
        <w:ind w:left="714" w:hanging="357"/>
      </w:pPr>
      <w:r>
        <w:t>Comparar la incidencia de hemorragia posparto entre mujeres que reciben misoprostol por vía sublingual y aquellas que lo reciben por vía oral.</w:t>
      </w:r>
    </w:p>
    <w:p w14:paraId="6CC02892" w14:textId="77777777" w:rsidR="00723F29" w:rsidRDefault="00723F29" w:rsidP="00723F29">
      <w:pPr>
        <w:numPr>
          <w:ilvl w:val="0"/>
          <w:numId w:val="1"/>
        </w:numPr>
        <w:ind w:left="714" w:hanging="357"/>
      </w:pPr>
      <w:r>
        <w:t>Comparar los efectos adversos asociados al uso de misoprostol administrado por vía sublingual y por vía oral.</w:t>
      </w:r>
    </w:p>
    <w:p w14:paraId="0E2A8F73" w14:textId="11CDE7F3" w:rsidR="00723F29" w:rsidRDefault="00723F29" w:rsidP="009B4446"/>
    <w:p w14:paraId="23481F75" w14:textId="20EB9E9A" w:rsidR="00723F29" w:rsidRDefault="00723F29" w:rsidP="009B4446"/>
    <w:p w14:paraId="0A303E49" w14:textId="77D21CCE" w:rsidR="00723F29" w:rsidRDefault="00723F29" w:rsidP="009B4446"/>
    <w:p w14:paraId="52A80412" w14:textId="77777777" w:rsidR="00723F29" w:rsidRDefault="00723F29" w:rsidP="009B4446"/>
    <w:p w14:paraId="19F724BA" w14:textId="3948A6BF" w:rsidR="009B4446" w:rsidRDefault="009B4446" w:rsidP="009B4446"/>
    <w:p w14:paraId="3331C98D" w14:textId="180DE9BC" w:rsidR="009B4446" w:rsidRDefault="009B4446" w:rsidP="009B4446"/>
    <w:p w14:paraId="68CC9E05" w14:textId="0CD72606" w:rsidR="009B4446" w:rsidRDefault="009B4446" w:rsidP="009B4446"/>
    <w:p w14:paraId="34DA5F7D" w14:textId="258D272F" w:rsidR="009B4446" w:rsidRDefault="009B4446" w:rsidP="009B4446"/>
    <w:p w14:paraId="3324F670" w14:textId="77777777" w:rsidR="002104E2" w:rsidRDefault="002104E2" w:rsidP="009B4446"/>
    <w:p w14:paraId="3E33E1B3" w14:textId="0AA07DB2" w:rsidR="009B4446" w:rsidRDefault="009B4446" w:rsidP="009B4446"/>
    <w:p w14:paraId="4A02C3F8" w14:textId="1F2504A2" w:rsidR="00D44AED" w:rsidRPr="00D44AED" w:rsidRDefault="002104E2" w:rsidP="002104E2">
      <w:pPr>
        <w:pStyle w:val="Ttulo1"/>
      </w:pPr>
      <w:bookmarkStart w:id="10" w:name="_Toc235815345"/>
      <w:r w:rsidRPr="00D44AED">
        <w:lastRenderedPageBreak/>
        <w:t>Marco teórico</w:t>
      </w:r>
      <w:bookmarkEnd w:id="10"/>
    </w:p>
    <w:p w14:paraId="33B30116" w14:textId="77777777" w:rsidR="00B03194" w:rsidRPr="00B726F7" w:rsidRDefault="00B03194" w:rsidP="00B03194">
      <w:pPr>
        <w:pStyle w:val="Ttulo2"/>
        <w:rPr>
          <w:rFonts w:eastAsia="Times New Roman"/>
          <w:lang w:val="es-ES" w:eastAsia="es-ES"/>
        </w:rPr>
      </w:pPr>
      <w:bookmarkStart w:id="11" w:name="_Toc235815346"/>
      <w:r w:rsidRPr="00B726F7">
        <w:rPr>
          <w:rFonts w:eastAsia="Times New Roman"/>
          <w:lang w:val="es-ES" w:eastAsia="es-ES"/>
        </w:rPr>
        <w:t>Definición de hemorragia posparto</w:t>
      </w:r>
      <w:bookmarkEnd w:id="11"/>
    </w:p>
    <w:p w14:paraId="753D7365" w14:textId="0FEEB334" w:rsidR="00B03194" w:rsidRPr="00B726F7" w:rsidRDefault="00B03194" w:rsidP="00B03194">
      <w:pPr>
        <w:rPr>
          <w:lang w:val="es-ES" w:eastAsia="es-ES"/>
        </w:rPr>
      </w:pPr>
      <w:r w:rsidRPr="00B726F7">
        <w:rPr>
          <w:lang w:val="es-ES" w:eastAsia="es-ES"/>
        </w:rPr>
        <w:t xml:space="preserve">La hemorragia posparto constituye una de las principales complicaciones obstétricas asociadas al parto y al puerperio inmediato. Tradicionalmente, se define como la pérdida sanguínea igual o mayor de 500 </w:t>
      </w:r>
      <w:proofErr w:type="spellStart"/>
      <w:r w:rsidRPr="00B726F7">
        <w:rPr>
          <w:lang w:val="es-ES" w:eastAsia="es-ES"/>
        </w:rPr>
        <w:t>mL</w:t>
      </w:r>
      <w:proofErr w:type="spellEnd"/>
      <w:r w:rsidRPr="00B726F7">
        <w:rPr>
          <w:lang w:val="es-ES" w:eastAsia="es-ES"/>
        </w:rPr>
        <w:t xml:space="preserve"> después de un parto vaginal o igual o mayor de 1000 </w:t>
      </w:r>
      <w:proofErr w:type="spellStart"/>
      <w:r w:rsidRPr="00B726F7">
        <w:rPr>
          <w:lang w:val="es-ES" w:eastAsia="es-ES"/>
        </w:rPr>
        <w:t>mL</w:t>
      </w:r>
      <w:proofErr w:type="spellEnd"/>
      <w:r w:rsidRPr="00B726F7">
        <w:rPr>
          <w:lang w:val="es-ES" w:eastAsia="es-ES"/>
        </w:rPr>
        <w:t xml:space="preserve"> después de una cesárea. Esta definición se ha utilizado ampliamente en la práctica clínica y en la investigación, aunque presenta limitaciones porque la estimación visual de la pérdida sanguínea suele ser imprecisa, especialmente en servicios donde no se aplican métodos objetivos de medición. Por esta razón, algunos enfoques actuales complementan el volumen estimado con la presencia de signos clínicos de compromiso hemodinámico, como hipotensión, taquicardia, palidez, mareo, alteración del estado de conciencia o necesidad de intervenciones terapéuticas urgentes (Aguirre</w:t>
      </w:r>
      <w:r w:rsidR="00155636">
        <w:rPr>
          <w:lang w:val="es-ES" w:eastAsia="es-ES"/>
        </w:rPr>
        <w:t>, 2022</w:t>
      </w:r>
      <w:r w:rsidRPr="00B726F7">
        <w:rPr>
          <w:lang w:val="es-ES" w:eastAsia="es-ES"/>
        </w:rPr>
        <w:t xml:space="preserve">.; </w:t>
      </w:r>
      <w:proofErr w:type="spellStart"/>
      <w:r w:rsidRPr="00B726F7">
        <w:rPr>
          <w:lang w:val="es-ES" w:eastAsia="es-ES"/>
        </w:rPr>
        <w:t>Prata</w:t>
      </w:r>
      <w:proofErr w:type="spellEnd"/>
      <w:r w:rsidRPr="00B726F7">
        <w:rPr>
          <w:lang w:val="es-ES" w:eastAsia="es-ES"/>
        </w:rPr>
        <w:t xml:space="preserve"> &amp; </w:t>
      </w:r>
      <w:proofErr w:type="spellStart"/>
      <w:r w:rsidRPr="00B726F7">
        <w:rPr>
          <w:lang w:val="es-ES" w:eastAsia="es-ES"/>
        </w:rPr>
        <w:t>Weidert</w:t>
      </w:r>
      <w:proofErr w:type="spellEnd"/>
      <w:r w:rsidRPr="00B726F7">
        <w:rPr>
          <w:lang w:val="es-ES" w:eastAsia="es-ES"/>
        </w:rPr>
        <w:t>, 2016).</w:t>
      </w:r>
    </w:p>
    <w:p w14:paraId="5180D1B1" w14:textId="77777777" w:rsidR="00B03194" w:rsidRPr="00B726F7" w:rsidRDefault="00B03194" w:rsidP="00B03194">
      <w:pPr>
        <w:rPr>
          <w:lang w:val="es-ES" w:eastAsia="es-ES"/>
        </w:rPr>
      </w:pPr>
      <w:r w:rsidRPr="00B726F7">
        <w:rPr>
          <w:lang w:val="es-ES" w:eastAsia="es-ES"/>
        </w:rPr>
        <w:t>La hemorragia posparto primaria es aquella que ocurre durante las primeras 24 horas posteriores al nacimiento, mientras que la hemorragia posparto secundaria se presenta después de las primeras 24 horas y hasta varias semanas después del parto. En el contexto de la prevención obstétrica, la hemorragia posparto primaria tiene especial importancia porque ocurre en un periodo breve, puede evolucionar rápidamente y requiere intervenciones inmediatas. La mayor parte de los casos graves se relaciona con fallas en la contracción uterina posterior al alumbramiento, lo que impide el cierre fisiológico de los vasos sanguíneos placentarios (</w:t>
      </w:r>
      <w:proofErr w:type="spellStart"/>
      <w:r w:rsidRPr="00B726F7">
        <w:rPr>
          <w:lang w:val="es-ES" w:eastAsia="es-ES"/>
        </w:rPr>
        <w:t>Prata</w:t>
      </w:r>
      <w:proofErr w:type="spellEnd"/>
      <w:r w:rsidRPr="00B726F7">
        <w:rPr>
          <w:lang w:val="es-ES" w:eastAsia="es-ES"/>
        </w:rPr>
        <w:t xml:space="preserve"> &amp; </w:t>
      </w:r>
      <w:proofErr w:type="spellStart"/>
      <w:r w:rsidRPr="00B726F7">
        <w:rPr>
          <w:lang w:val="es-ES" w:eastAsia="es-ES"/>
        </w:rPr>
        <w:t>Weidert</w:t>
      </w:r>
      <w:proofErr w:type="spellEnd"/>
      <w:r w:rsidRPr="00B726F7">
        <w:rPr>
          <w:lang w:val="es-ES" w:eastAsia="es-ES"/>
        </w:rPr>
        <w:t>, 2016).</w:t>
      </w:r>
    </w:p>
    <w:p w14:paraId="55F951A2" w14:textId="6A492FB9" w:rsidR="00B03194" w:rsidRPr="00B726F7" w:rsidRDefault="00B03194" w:rsidP="00B03194">
      <w:pPr>
        <w:rPr>
          <w:lang w:val="es-ES" w:eastAsia="es-ES"/>
        </w:rPr>
      </w:pPr>
      <w:r w:rsidRPr="00B726F7">
        <w:rPr>
          <w:lang w:val="es-ES" w:eastAsia="es-ES"/>
        </w:rPr>
        <w:t>La Organización Mundial de la Salud y otras organizaciones internacionales han enfatizado que la hemorragia posparto debe entenderse no solo como una pérdida cuantificable de sangre, sino también como un evento clínico que puede comprometer de forma rápida la vida materna. En este sentido, la detección temprana, la medición objetiva de la pérdida sanguínea y la administración oportuna de uterotónicos son elementos fundamentales para reducir el riesgo de morbilidad severa y muerte materna (</w:t>
      </w:r>
      <w:r w:rsidR="00155636">
        <w:rPr>
          <w:lang w:val="es-ES" w:eastAsia="es-ES"/>
        </w:rPr>
        <w:t>WHO</w:t>
      </w:r>
      <w:r w:rsidRPr="00B726F7">
        <w:rPr>
          <w:lang w:val="es-ES" w:eastAsia="es-ES"/>
        </w:rPr>
        <w:t xml:space="preserve"> 2025). En las guías consolidadas de 2025, la OMS, FIGO e ICM destacan que la hemorragia posparto continúa siendo una causa prevenible de muerte materna y que su abordaje requiere recomendaciones integradas para prevención, diagnóstico y tratamiento. </w:t>
      </w:r>
    </w:p>
    <w:p w14:paraId="58BDA7FD" w14:textId="77777777" w:rsidR="00B03194" w:rsidRPr="00B726F7" w:rsidRDefault="00B03194" w:rsidP="00B03194">
      <w:pPr>
        <w:pStyle w:val="Ttulo2"/>
        <w:rPr>
          <w:rFonts w:eastAsia="Times New Roman"/>
          <w:lang w:val="es-ES" w:eastAsia="es-ES"/>
        </w:rPr>
      </w:pPr>
      <w:bookmarkStart w:id="12" w:name="_Toc235815347"/>
      <w:r w:rsidRPr="00B726F7">
        <w:rPr>
          <w:rFonts w:eastAsia="Times New Roman"/>
          <w:lang w:val="es-ES" w:eastAsia="es-ES"/>
        </w:rPr>
        <w:lastRenderedPageBreak/>
        <w:t>Epidemiología e importancia clínica de la hemorragia posparto</w:t>
      </w:r>
      <w:bookmarkEnd w:id="12"/>
    </w:p>
    <w:p w14:paraId="7EE28393" w14:textId="77777777" w:rsidR="00B03194" w:rsidRPr="00B726F7" w:rsidRDefault="00B03194" w:rsidP="00B03194">
      <w:pPr>
        <w:rPr>
          <w:lang w:val="es-ES" w:eastAsia="es-ES"/>
        </w:rPr>
      </w:pPr>
      <w:r w:rsidRPr="00B726F7">
        <w:rPr>
          <w:lang w:val="es-ES" w:eastAsia="es-ES"/>
        </w:rPr>
        <w:t>La hemorragia posparto representa una de las causas más importantes de mortalidad materna a nivel mundial. Aunque las muertes maternas han disminuido en las últimas décadas, la hemorragia obstétrica sigue contribuyendo de forma significativa a la carga global de muerte y morbilidad materna. Se estima que una proporción considerable de las muertes maternas ocurre en países de ingresos bajos y medianos, donde las limitaciones en el acceso a atención obstétrica de calidad, bancos de sangre, personal capacitado y medicamentos uterotónicos aumentan el riesgo de desenlaces adversos (</w:t>
      </w:r>
      <w:proofErr w:type="spellStart"/>
      <w:r w:rsidRPr="00B726F7">
        <w:rPr>
          <w:lang w:val="es-ES" w:eastAsia="es-ES"/>
        </w:rPr>
        <w:t>Prata</w:t>
      </w:r>
      <w:proofErr w:type="spellEnd"/>
      <w:r w:rsidRPr="00B726F7">
        <w:rPr>
          <w:lang w:val="es-ES" w:eastAsia="es-ES"/>
        </w:rPr>
        <w:t xml:space="preserve"> &amp; </w:t>
      </w:r>
      <w:proofErr w:type="spellStart"/>
      <w:r w:rsidRPr="00B726F7">
        <w:rPr>
          <w:lang w:val="es-ES" w:eastAsia="es-ES"/>
        </w:rPr>
        <w:t>Weidert</w:t>
      </w:r>
      <w:proofErr w:type="spellEnd"/>
      <w:r w:rsidRPr="00B726F7">
        <w:rPr>
          <w:lang w:val="es-ES" w:eastAsia="es-ES"/>
        </w:rPr>
        <w:t>, 2016; WHO, 2025).</w:t>
      </w:r>
    </w:p>
    <w:p w14:paraId="52DEA978" w14:textId="77777777" w:rsidR="00B03194" w:rsidRPr="00B726F7" w:rsidRDefault="00B03194" w:rsidP="00B03194">
      <w:pPr>
        <w:rPr>
          <w:lang w:val="es-ES" w:eastAsia="es-ES"/>
        </w:rPr>
      </w:pPr>
      <w:r w:rsidRPr="00B726F7">
        <w:rPr>
          <w:lang w:val="es-ES" w:eastAsia="es-ES"/>
        </w:rPr>
        <w:t>La relevancia clínica de la hemorragia posparto no se limita a la mortalidad. Las mujeres que sobreviven a un episodio hemorrágico grave pueden requerir transfusión sanguínea, manejo quirúrgico, ingreso a unidades de cuidados intensivos, histerectomía de emergencia o tratamientos prolongados. Además, la hemorragia puede agravar condiciones preexistentes como la anemia, que es frecuente en muchos países de ingresos bajos y medianos. Una mujer con reservas hematológicas reducidas puede descompensarse con pérdidas sanguíneas que, en otro contexto, podrían ser mejor toleradas. Por ello, la prevención de la hemorragia posparto adquiere relevancia especial en poblaciones con alta prevalencia de anemia, desnutrición o acceso limitado a atención obstétrica de emergencia (</w:t>
      </w:r>
      <w:proofErr w:type="spellStart"/>
      <w:r w:rsidRPr="00B726F7">
        <w:rPr>
          <w:lang w:val="es-ES" w:eastAsia="es-ES"/>
        </w:rPr>
        <w:t>Prata</w:t>
      </w:r>
      <w:proofErr w:type="spellEnd"/>
      <w:r w:rsidRPr="00B726F7">
        <w:rPr>
          <w:lang w:val="es-ES" w:eastAsia="es-ES"/>
        </w:rPr>
        <w:t xml:space="preserve"> &amp; </w:t>
      </w:r>
      <w:proofErr w:type="spellStart"/>
      <w:r w:rsidRPr="00B726F7">
        <w:rPr>
          <w:lang w:val="es-ES" w:eastAsia="es-ES"/>
        </w:rPr>
        <w:t>Weidert</w:t>
      </w:r>
      <w:proofErr w:type="spellEnd"/>
      <w:r w:rsidRPr="00B726F7">
        <w:rPr>
          <w:lang w:val="es-ES" w:eastAsia="es-ES"/>
        </w:rPr>
        <w:t>, 2016).</w:t>
      </w:r>
    </w:p>
    <w:p w14:paraId="43183F3A" w14:textId="21420A4C" w:rsidR="00B03194" w:rsidRPr="00B726F7" w:rsidRDefault="00B03194" w:rsidP="00B03194">
      <w:pPr>
        <w:rPr>
          <w:lang w:val="es-ES" w:eastAsia="es-ES"/>
        </w:rPr>
      </w:pPr>
      <w:r w:rsidRPr="00B726F7">
        <w:rPr>
          <w:lang w:val="es-ES" w:eastAsia="es-ES"/>
        </w:rPr>
        <w:t xml:space="preserve">La carga epidemiológica también se relaciona con la imprevisibilidad del evento. Aunque existen factores de riesgo conocidos, una proporción importante de casos ocurre en mujeres sin antecedentes o condiciones identificables. Esto implica que la prevención no puede limitarse únicamente a las pacientes consideradas de alto riesgo. La administración profiláctica de uterotónicos durante el tercer periodo del parto se ha consolidado como una estrategia universal, precisamente porque toda mujer que da a luz puede presentar hemorragia posparto (Aguirre, </w:t>
      </w:r>
      <w:r w:rsidR="00155636">
        <w:rPr>
          <w:lang w:val="es-ES" w:eastAsia="es-ES"/>
        </w:rPr>
        <w:t>2022</w:t>
      </w:r>
      <w:r w:rsidRPr="00B726F7">
        <w:rPr>
          <w:lang w:val="es-ES" w:eastAsia="es-ES"/>
        </w:rPr>
        <w:t>.; WHO, 2025).</w:t>
      </w:r>
    </w:p>
    <w:p w14:paraId="143E7DB9" w14:textId="77777777" w:rsidR="00B03194" w:rsidRPr="00B726F7" w:rsidRDefault="00B03194" w:rsidP="00B03194">
      <w:pPr>
        <w:rPr>
          <w:lang w:val="es-ES" w:eastAsia="es-ES"/>
        </w:rPr>
      </w:pPr>
      <w:r w:rsidRPr="00B726F7">
        <w:rPr>
          <w:lang w:val="es-ES" w:eastAsia="es-ES"/>
        </w:rPr>
        <w:t xml:space="preserve">En América Latina, la hemorragia posparto continúa siendo un problema relevante de salud materna. La región ha logrado avances importantes en la atención prenatal, institucionalización del parto y reducción de la mortalidad materna, pero persisten desigualdades entre países, territorios, grupos socioeconómicos y zonas urbanas y rurales. En estos contextos, la disponibilidad real de oxitocina, la conservación adecuada de la cadena de frío, la presencia de personal capacitado y la rapidez en la referencia obstétrica pueden </w:t>
      </w:r>
      <w:r w:rsidRPr="00B726F7">
        <w:rPr>
          <w:lang w:val="es-ES" w:eastAsia="es-ES"/>
        </w:rPr>
        <w:lastRenderedPageBreak/>
        <w:t>variar considerablemente. Esta heterogeneidad justifica el interés por estrategias preventivas accesibles, estables y de fácil administración, como el misoprostol, especialmente en escenarios donde los uterotónicos inyectables no están disponibles o no pueden utilizarse de forma segura.</w:t>
      </w:r>
    </w:p>
    <w:p w14:paraId="3C69DA07" w14:textId="77777777" w:rsidR="00B03194" w:rsidRPr="00B726F7" w:rsidRDefault="00B03194" w:rsidP="00B03194">
      <w:pPr>
        <w:pStyle w:val="Ttulo2"/>
        <w:rPr>
          <w:rFonts w:eastAsia="Times New Roman"/>
          <w:lang w:val="es-ES" w:eastAsia="es-ES"/>
        </w:rPr>
      </w:pPr>
      <w:bookmarkStart w:id="13" w:name="_Toc235815348"/>
      <w:r w:rsidRPr="00B726F7">
        <w:rPr>
          <w:rFonts w:eastAsia="Times New Roman"/>
          <w:lang w:val="es-ES" w:eastAsia="es-ES"/>
        </w:rPr>
        <w:t>Fisiología del tercer periodo del parto y hemostasia uterina</w:t>
      </w:r>
      <w:bookmarkEnd w:id="13"/>
    </w:p>
    <w:p w14:paraId="43DE24BF" w14:textId="2AB5DF1E" w:rsidR="00B03194" w:rsidRPr="00B03194" w:rsidRDefault="00B03194" w:rsidP="00B03194">
      <w:r w:rsidRPr="00B03194">
        <w:t>El tercer periodo del parto comprende el intervalo entre el nacimiento del recién nacido y la expulsión de la placenta y las membranas ovulares. Durante este periodo ocurren procesos fisiológicos esenciales para evitar el sangrado excesivo. Tras la salida del feto, el útero disminuye bruscamente su volumen, lo que favorece la separación placentaria y la contracción de las fibras miometriales. Esta contracción comprime los vasos sanguíneos que irrigaban el lecho placentario, actuando como un mecanismo natural de hemostasia (</w:t>
      </w:r>
      <w:proofErr w:type="spellStart"/>
      <w:r w:rsidRPr="00B03194">
        <w:t>Kakisingi</w:t>
      </w:r>
      <w:proofErr w:type="spellEnd"/>
      <w:r w:rsidRPr="00B03194">
        <w:t xml:space="preserve">, </w:t>
      </w:r>
      <w:r w:rsidR="00155636">
        <w:t>2024</w:t>
      </w:r>
      <w:r w:rsidRPr="00B03194">
        <w:t>.).</w:t>
      </w:r>
    </w:p>
    <w:p w14:paraId="3C3483EF" w14:textId="5D90FA69" w:rsidR="00B03194" w:rsidRPr="00B03194" w:rsidRDefault="00B03194" w:rsidP="00B03194">
      <w:r w:rsidRPr="00B03194">
        <w:t>El miometrio está compuesto por fibras musculares dispuestas en capas que permiten la contracción y retracción uterina. Durante el embarazo, el útero aumenta su vascularización de forma marcada para sostener el desarrollo fetal y placentario. Una vez ocurre el alumbramiento, la contracción coordinada de las fibras musculares uterinas comprime los vasos del sitio de implantación placentaria. Este proceso ha sido descrito como un mecanismo de “ligaduras vivas”, porque la contracción del músculo uterino reduce el calibre de los vasos y limita la pérdida sanguínea (</w:t>
      </w:r>
      <w:proofErr w:type="spellStart"/>
      <w:r w:rsidRPr="00B03194">
        <w:t>Kakisingi</w:t>
      </w:r>
      <w:proofErr w:type="spellEnd"/>
      <w:r w:rsidRPr="00B03194">
        <w:t xml:space="preserve">, </w:t>
      </w:r>
      <w:r w:rsidR="001749F8">
        <w:t>2024</w:t>
      </w:r>
      <w:r w:rsidRPr="00B03194">
        <w:t xml:space="preserve">). El capítulo revisado sobre misoprostol y prevención de hemorragia posparto describe cómo la arquitectura muscular del útero grávido permite que, durante la contracción, se cierre la luz de los vasos y se reduzca la hemorragia posterior al parto. </w:t>
      </w:r>
    </w:p>
    <w:p w14:paraId="45B64BC7" w14:textId="77777777" w:rsidR="00B03194" w:rsidRPr="00B03194" w:rsidRDefault="00B03194" w:rsidP="00B03194">
      <w:r w:rsidRPr="00B03194">
        <w:t>Cuando este mecanismo falla, se produce atonía o hipotonía uterina. La atonía uterina es la causa más frecuente de hemorragia posparto primaria. En estos casos, el útero no se contrae de manera suficiente para comprimir los vasos placentarios, lo que permite una pérdida sanguínea continua. La rapidez con que puede progresar la hemorragia depende del volumen de sangrado, del estado basal de la mujer, de la capacidad del equipo de salud para reconocer el problema y de la disponibilidad de tratamiento inmediato.</w:t>
      </w:r>
    </w:p>
    <w:p w14:paraId="7D85F6F8" w14:textId="77777777" w:rsidR="00B03194" w:rsidRPr="00B03194" w:rsidRDefault="00B03194" w:rsidP="00B03194">
      <w:r w:rsidRPr="00B03194">
        <w:t xml:space="preserve">La fisiología del alumbramiento también incluye la separación de la placenta, su descenso hacia el canal del parto y su expulsión. Alteraciones en cualquiera de estas fases pueden </w:t>
      </w:r>
      <w:r w:rsidRPr="00B03194">
        <w:lastRenderedPageBreak/>
        <w:t>contribuir a sangrado anormal. La retención placentaria, los restos placentarios, los traumatismos del canal del parto y los trastornos de coagulación son mecanismos que también pueden desencadenar o perpetuar la hemorragia. Por esta razón, aunque la administración de uterotónicos es fundamental para prevenir la atonía uterina, el manejo integral de la hemorragia posparto requiere evaluar de forma sistemática todas sus posibles causas.</w:t>
      </w:r>
    </w:p>
    <w:p w14:paraId="17607498" w14:textId="77777777" w:rsidR="00B03194" w:rsidRPr="00B03194" w:rsidRDefault="00B03194" w:rsidP="00B03194">
      <w:pPr>
        <w:pStyle w:val="Ttulo2"/>
      </w:pPr>
      <w:bookmarkStart w:id="14" w:name="_Toc235815349"/>
      <w:r w:rsidRPr="00B03194">
        <w:t>Etiología y factores de riesgo de la hemorragia posparto</w:t>
      </w:r>
      <w:bookmarkEnd w:id="14"/>
    </w:p>
    <w:p w14:paraId="6A659F4B" w14:textId="75CE4AA6" w:rsidR="00B03194" w:rsidRPr="00B03194" w:rsidRDefault="00B03194" w:rsidP="00B03194">
      <w:r w:rsidRPr="00B03194">
        <w:t xml:space="preserve">Las causas de hemorragia posparto suelen organizarse en cuatro grupos principales: tono, tejido, trauma y trombina. El tono se refiere a la atonía uterina, que corresponde a la falta de contracción efectiva del útero. El tejido incluye retención placentaria o restos ovulares. El trauma comprende laceraciones cervicales, vaginales, perineales, ruptura uterina o hematomas. La trombina corresponde a trastornos de coagulación que dificultan la hemostasia. Esta clasificación facilita el razonamiento clínico y permite orientar las intervenciones iniciales durante una emergencia obstétrica (Aguirre, </w:t>
      </w:r>
      <w:r w:rsidR="001749F8">
        <w:t>2022</w:t>
      </w:r>
      <w:r w:rsidRPr="00B03194">
        <w:t>.; WHO, 2025).</w:t>
      </w:r>
    </w:p>
    <w:p w14:paraId="579CE34D" w14:textId="208459F9" w:rsidR="00B03194" w:rsidRPr="00B03194" w:rsidRDefault="00B03194" w:rsidP="00B03194">
      <w:r w:rsidRPr="00B03194">
        <w:t xml:space="preserve">La atonía uterina es la causa predominante de hemorragia posparto. Entre los factores asociados se encuentran la </w:t>
      </w:r>
      <w:proofErr w:type="spellStart"/>
      <w:r w:rsidRPr="00B03194">
        <w:t>sobredistensión</w:t>
      </w:r>
      <w:proofErr w:type="spellEnd"/>
      <w:r w:rsidRPr="00B03194">
        <w:t xml:space="preserve"> uterina por embarazo múltiple, polihidramnios o macrosomía fetal; el trabajo de parto prolongado o precipitado; la inducción o conducción del parto; la multiparidad; el antecedente de hemorragia posparto; la corioamnionitis; y el uso de algunos fármacos que pueden afectar la contractilidad uterina. Sin embargo, la ausencia de factores de riesgo no descarta la posibilidad de hemorragia, lo que refuerza la importancia de la prevención universal (Aguirre, </w:t>
      </w:r>
      <w:r w:rsidR="001749F8">
        <w:t>2022</w:t>
      </w:r>
      <w:r w:rsidRPr="00B03194">
        <w:t>.).</w:t>
      </w:r>
    </w:p>
    <w:p w14:paraId="38C8DFC2" w14:textId="77777777" w:rsidR="00B03194" w:rsidRPr="00B03194" w:rsidRDefault="00B03194" w:rsidP="00B03194">
      <w:r w:rsidRPr="00B03194">
        <w:t>La retención de restos placentarios puede impedir la contracción adecuada del útero y mantener abierto el lecho vascular placentario. Las laceraciones del canal del parto, por su parte, pueden generar sangrado persistente aun cuando el útero esté bien contraído. Por ello, una evaluación clínica adecuada debe diferenciar entre sangrado por atonía y sangrado por trauma. En casos de trastornos de coagulación, la pérdida sanguínea puede ser desproporcionada y difícil de controlar si no se corrige la alteración hematológica subyacente.</w:t>
      </w:r>
    </w:p>
    <w:p w14:paraId="0D3CE6B4" w14:textId="77777777" w:rsidR="00B03194" w:rsidRPr="00B03194" w:rsidRDefault="00B03194" w:rsidP="00B03194">
      <w:r w:rsidRPr="00B03194">
        <w:t xml:space="preserve">La identificación de factores de riesgo tiene valor para planificar la atención, asegurar disponibilidad de uterotónicos, canalización venosa, sangre y personal entrenado. No obstante, como una proporción importante de hemorragias ocurre en mujeres sin factores </w:t>
      </w:r>
      <w:r w:rsidRPr="00B03194">
        <w:lastRenderedPageBreak/>
        <w:t>reconocidos, las estrategias de prevención deben aplicarse de manera amplia durante todos los nacimientos. Esta es una de las razones por las cuales las guías actuales recomiendan el uso de uterotónicos de calidad asegurada en el tercer periodo del parto para todas las mujeres (WHO, 2025).</w:t>
      </w:r>
    </w:p>
    <w:p w14:paraId="746B36F8" w14:textId="77777777" w:rsidR="00B03194" w:rsidRPr="00B03194" w:rsidRDefault="00B03194" w:rsidP="00B03194">
      <w:pPr>
        <w:pStyle w:val="Ttulo2"/>
      </w:pPr>
      <w:bookmarkStart w:id="15" w:name="_Toc235815350"/>
      <w:r w:rsidRPr="00B03194">
        <w:t>Prevención de la hemorragia posparto</w:t>
      </w:r>
      <w:bookmarkEnd w:id="15"/>
    </w:p>
    <w:p w14:paraId="5028AF0B" w14:textId="77777777" w:rsidR="00B03194" w:rsidRPr="00B03194" w:rsidRDefault="00B03194" w:rsidP="00B03194">
      <w:r w:rsidRPr="00B03194">
        <w:t>La prevención de la hemorragia posparto se basa en intervenciones aplicadas durante el parto y el puerperio inmediato. La administración profiláctica de un uterotónico durante el tercer periodo del parto es la medida farmacológica más importante. Su finalidad es promover la contracción uterina efectiva, facilitar la separación placentaria, reducir la pérdida sanguínea y disminuir la incidencia de atonía uterina. Esta intervención forma parte del manejo activo del tercer periodo del parto, junto con otras prácticas como la tracción controlada del cordón cuando está indicada y la vigilancia clínica estrecha de la madre.</w:t>
      </w:r>
    </w:p>
    <w:p w14:paraId="43D02904" w14:textId="77777777" w:rsidR="00B03194" w:rsidRPr="00B03194" w:rsidRDefault="00B03194" w:rsidP="00B03194">
      <w:r w:rsidRPr="00B03194">
        <w:t>La OMS recomienda que todas las mujeres reciban un uterotónico de calidad asegurada para la prevención de la hemorragia posparto. Entre las opciones recomendadas se encuentran la oxitocina, la carbetocina y el misoprostol. La oxitocina continúa siendo el uterotónico de primera elección cuando está disponible, se conserva adecuadamente y puede administrarse por personal capacitado. Sin embargo, el misoprostol se mantiene como una opción importante por su estabilidad a temperatura ambiente, su bajo costo relativo y su administración no inyectable (WHO, 2025).</w:t>
      </w:r>
    </w:p>
    <w:p w14:paraId="23C24723" w14:textId="77777777" w:rsidR="00B03194" w:rsidRPr="00B03194" w:rsidRDefault="00B03194" w:rsidP="00B03194">
      <w:r w:rsidRPr="00B03194">
        <w:t>Las guías consolidadas de la OMS de 2025 recomiendan oxitocina 10 UI intramuscular o intravenosa para la prevención de hemorragia posparto en todos los nacimientos, y también reconocen el uso de misoprostol oral de 400 µg o 600 µg como opción para prevención. Esta recomendación es particularmente relevante para contextos donde la cadena de frío, las jeringas estériles, el personal entrenado o la disponibilidad continua de oxitocina pueden ser limitados.</w:t>
      </w:r>
    </w:p>
    <w:p w14:paraId="6F2FC488" w14:textId="77777777" w:rsidR="00B03194" w:rsidRPr="00B03194" w:rsidRDefault="00B03194" w:rsidP="00B03194">
      <w:r w:rsidRPr="00B03194">
        <w:t xml:space="preserve">La prevención no depende únicamente del fármaco. También requiere vigilancia durante las primeras horas posteriores al parto, evaluación del tono uterino, cuantificación o estimación cuidadosa del sangrado y reconocimiento temprano de signos clínicos de alarma. En mujeres con factores de riesgo, se deben anticipar medidas adicionales, como disponibilidad de vía venosa, preparación de uterotónicos de rescate, acceso a transfusión y protocolos de respuesta </w:t>
      </w:r>
      <w:r w:rsidRPr="00B03194">
        <w:lastRenderedPageBreak/>
        <w:t>rápida. No obstante, incluso en partos considerados de bajo riesgo, la vigilancia posparto es indispensable.</w:t>
      </w:r>
    </w:p>
    <w:p w14:paraId="169385CD" w14:textId="77777777" w:rsidR="00B03194" w:rsidRPr="00B03194" w:rsidRDefault="00B03194" w:rsidP="00B03194">
      <w:pPr>
        <w:pStyle w:val="Ttulo2"/>
      </w:pPr>
      <w:bookmarkStart w:id="16" w:name="_Toc235815351"/>
      <w:r w:rsidRPr="00B03194">
        <w:t>Uterotónicos utilizados en la prevención de hemorragia posparto</w:t>
      </w:r>
      <w:bookmarkEnd w:id="16"/>
    </w:p>
    <w:p w14:paraId="3480CEA2" w14:textId="77777777" w:rsidR="00B03194" w:rsidRPr="00B03194" w:rsidRDefault="00B03194" w:rsidP="00B03194">
      <w:r w:rsidRPr="00B03194">
        <w:t>Los uterotónicos son medicamentos que estimulan la contracción del músculo uterino. Su uso tiene como objetivo reducir el sangrado posterior al nacimiento mediante la contracción y retracción del miometrio. Entre los uterotónicos más utilizados se encuentran la oxitocina, la carbetocina, la ergometrina, las combinaciones de oxitocina con ergometrina y las prostaglandinas, entre ellas el misoprostol. Cada fármaco presenta diferencias en eficacia, vía de administración, estabilidad, efectos adversos, costo y requerimientos logísticos.</w:t>
      </w:r>
    </w:p>
    <w:p w14:paraId="4C83E96E" w14:textId="77777777" w:rsidR="00B03194" w:rsidRPr="00B03194" w:rsidRDefault="00B03194" w:rsidP="00B03194">
      <w:r w:rsidRPr="00B03194">
        <w:t>La oxitocina es un péptido con potente efecto uterotónico. Actúa sobre receptores específicos del miometrio y produce contracciones uterinas rápidas. Sin embargo, requiere administración parenteral, disponibilidad de personal capacitado y conservación adecuada. La necesidad de cadena de frío representa una limitación importante en entornos con infraestructura sanitaria débil. La exposición a temperaturas inadecuadas puede reducir su potencia, lo que compromete su efectividad real en la práctica clínica (</w:t>
      </w:r>
      <w:proofErr w:type="spellStart"/>
      <w:r w:rsidRPr="00B03194">
        <w:t>Atukunda</w:t>
      </w:r>
      <w:proofErr w:type="spellEnd"/>
      <w:r w:rsidRPr="00B03194">
        <w:t xml:space="preserve"> et al., 2014; </w:t>
      </w:r>
      <w:proofErr w:type="spellStart"/>
      <w:r w:rsidRPr="00B03194">
        <w:t>Lopes</w:t>
      </w:r>
      <w:proofErr w:type="spellEnd"/>
      <w:r w:rsidRPr="00B03194">
        <w:t xml:space="preserve"> et al., 2025).</w:t>
      </w:r>
    </w:p>
    <w:p w14:paraId="7B9EECDC" w14:textId="77777777" w:rsidR="00B03194" w:rsidRPr="00B03194" w:rsidRDefault="00B03194" w:rsidP="00B03194">
      <w:r w:rsidRPr="00B03194">
        <w:t>La carbetocina es un análogo de la oxitocina con acción más prolongada. Algunas formulaciones termoestables han sido consideradas útiles en contextos donde la cadena de frío no puede garantizarse. Sin embargo, su disponibilidad y costo pueden limitar su implementación en ciertos sistemas de salud. La ergometrina y las combinaciones con oxitocina también tienen efecto uterotónico, pero pueden asociarse a efectos cardiovasculares, como hipertensión, por lo que no son adecuadas para todas las mujeres (WHO, 2025).</w:t>
      </w:r>
    </w:p>
    <w:p w14:paraId="1AF1B434" w14:textId="77777777" w:rsidR="00B03194" w:rsidRPr="00B03194" w:rsidRDefault="00B03194" w:rsidP="00B03194">
      <w:r w:rsidRPr="00B03194">
        <w:t xml:space="preserve">El misoprostol es un análogo sintético de la prostaglandina E1. A diferencia de la oxitocina, no requiere refrigeración, puede administrarse por diferentes vías y no necesita jeringas ni agujas. Estas características lo convierten en una alternativa atractiva para la prevención de la hemorragia posparto en contextos de bajos recursos, partos comunitarios o establecimientos con disponibilidad limitada de medicamentos inyectables. Sin embargo, su uso se asocia con efectos adversos como escalofríos, fiebre, náuseas, vómitos y diarrea, cuya </w:t>
      </w:r>
      <w:r w:rsidRPr="00B03194">
        <w:lastRenderedPageBreak/>
        <w:t>frecuencia puede variar según la dosis y la vía de administración (</w:t>
      </w:r>
      <w:proofErr w:type="spellStart"/>
      <w:r w:rsidRPr="00B03194">
        <w:t>Bilgin</w:t>
      </w:r>
      <w:proofErr w:type="spellEnd"/>
      <w:r w:rsidRPr="00B03194">
        <w:t xml:space="preserve"> &amp; </w:t>
      </w:r>
      <w:proofErr w:type="spellStart"/>
      <w:r w:rsidRPr="00B03194">
        <w:t>Komürcü</w:t>
      </w:r>
      <w:proofErr w:type="spellEnd"/>
      <w:r w:rsidRPr="00B03194">
        <w:t>, 2019; León et al., 2012).</w:t>
      </w:r>
    </w:p>
    <w:p w14:paraId="459AE12B" w14:textId="77777777" w:rsidR="00B03194" w:rsidRPr="00B03194" w:rsidRDefault="00B03194" w:rsidP="00B03194">
      <w:pPr>
        <w:pStyle w:val="Ttulo2"/>
      </w:pPr>
      <w:bookmarkStart w:id="17" w:name="_Toc235815352"/>
      <w:r w:rsidRPr="00B03194">
        <w:t>Misoprostol: características generales y mecanismo de acción</w:t>
      </w:r>
      <w:bookmarkEnd w:id="17"/>
    </w:p>
    <w:p w14:paraId="61BD03E3" w14:textId="77777777" w:rsidR="00B03194" w:rsidRPr="00B03194" w:rsidRDefault="00B03194" w:rsidP="00B03194">
      <w:r w:rsidRPr="00B03194">
        <w:t xml:space="preserve">El misoprostol fue desarrollado inicialmente para la prevención y tratamiento de úlceras gástricas asociadas al uso de antiinflamatorios no esteroideos. Posteriormente, se identificaron sus propiedades uterotónicas y cervicales, lo que amplió su uso en obstetricia y ginecología. Como análogo de la prostaglandina E1, se une a receptores prostanoides del músculo liso uterino y estimula contracciones miometriales. Esta acción permite su uso en diferentes situaciones obstétricas, incluyendo inducción del parto, maduración cervical, manejo del aborto, prevención y tratamiento de la hemorragia posparto (Goldberg et al., 2001; </w:t>
      </w:r>
      <w:proofErr w:type="spellStart"/>
      <w:r w:rsidRPr="00B03194">
        <w:t>Lopes</w:t>
      </w:r>
      <w:proofErr w:type="spellEnd"/>
      <w:r w:rsidRPr="00B03194">
        <w:t xml:space="preserve"> et al., 2025).</w:t>
      </w:r>
    </w:p>
    <w:p w14:paraId="2B4B106E" w14:textId="77777777" w:rsidR="00B03194" w:rsidRPr="00B03194" w:rsidRDefault="00B03194" w:rsidP="00B03194">
      <w:r w:rsidRPr="00B03194">
        <w:t>En la prevención de la hemorragia posparto, el objetivo del misoprostol es favorecer la contracción uterina después del nacimiento y del alumbramiento. Al incrementar el tono uterino, contribuye a la compresión de los vasos del lecho placentario y reduce la pérdida sanguínea. Su efecto depende de la dosis, la vía de administración, el momento de uso y las características clínicas de la paciente. Debido a que puede administrarse sin vía intravenosa o intramuscular, resulta especialmente útil en escenarios donde el acceso a servicios obstétricos completos es limitado.</w:t>
      </w:r>
    </w:p>
    <w:p w14:paraId="79C21430" w14:textId="77777777" w:rsidR="00B03194" w:rsidRPr="00B03194" w:rsidRDefault="00B03194" w:rsidP="00B03194">
      <w:r w:rsidRPr="00B03194">
        <w:t>El misoprostol puede administrarse por vía oral, sublingual, bucal, vaginal o rectal. Cada vía produce perfiles farmacocinéticos distintos. Las vías oral y sublingual son de interés especial en la prevención de hemorragia posparto por su facilidad de administración y rapidez de absorción. La vía rectal ha sido utilizada en algunos estudios, pero suele tener absorción más lenta. La vía vaginal tiene aplicaciones en otros contextos obstétricos y ginecológicos, aunque no es la opción preferida para prevención de hemorragia posparto inmediata por las condiciones propias del parto y el puerperio (Tang et al., 2002).</w:t>
      </w:r>
    </w:p>
    <w:p w14:paraId="258D798A" w14:textId="77777777" w:rsidR="00B03194" w:rsidRPr="00B03194" w:rsidRDefault="00B03194" w:rsidP="00B03194">
      <w:r w:rsidRPr="00B03194">
        <w:t xml:space="preserve">Una ventaja central del misoprostol es su estabilidad. Puede conservarse a temperatura ambiente, tiene vida media práctica favorable y no requiere cadena de frío. Estas propiedades permiten su distribución en establecimientos periféricos, zonas rurales y contextos de emergencia. No obstante, la facilidad de uso no elimina la necesidad de protocolos claros, capacitación del personal y vigilancia de efectos adversos. El misoprostol no debe entenderse </w:t>
      </w:r>
      <w:r w:rsidRPr="00B03194">
        <w:lastRenderedPageBreak/>
        <w:t>como sustituto automático de todos los uterotónicos, sino como una herramienta que debe seleccionarse según el contexto, la disponibilidad de medicamentos y la evidencia clínica.</w:t>
      </w:r>
    </w:p>
    <w:p w14:paraId="3F7C5F9A" w14:textId="77777777" w:rsidR="00B03194" w:rsidRPr="00B03194" w:rsidRDefault="00B03194" w:rsidP="00B03194">
      <w:pPr>
        <w:pStyle w:val="Ttulo2"/>
      </w:pPr>
      <w:bookmarkStart w:id="18" w:name="_Toc235815353"/>
      <w:r w:rsidRPr="00B03194">
        <w:t>Farmacocinética del misoprostol administrado por vía oral</w:t>
      </w:r>
      <w:bookmarkEnd w:id="18"/>
    </w:p>
    <w:p w14:paraId="216C60D4" w14:textId="77777777" w:rsidR="00B03194" w:rsidRPr="00B03194" w:rsidRDefault="00B03194" w:rsidP="00B03194">
      <w:r w:rsidRPr="00B03194">
        <w:t xml:space="preserve">La vía oral es una de las formas más utilizadas de administración de misoprostol en obstetricia. Tras su ingestión, el fármaco se absorbe a través del tracto gastrointestinal y se convierte rápidamente en su metabolito activo, el ácido </w:t>
      </w:r>
      <w:proofErr w:type="spellStart"/>
      <w:r w:rsidRPr="00B03194">
        <w:t>misoprostólico</w:t>
      </w:r>
      <w:proofErr w:type="spellEnd"/>
      <w:r w:rsidRPr="00B03194">
        <w:t>. La concentración plasmática aumenta con relativa rapidez, alcanza un pico temprano y luego disminuye. Esta característica permite un inicio de acción útil para la prevención de la hemorragia posparto, aunque la exposición sistémica puede ser más breve que con otras vías (Tang et al., 2002).</w:t>
      </w:r>
    </w:p>
    <w:p w14:paraId="55CB5C3D" w14:textId="77777777" w:rsidR="00B03194" w:rsidRPr="00B03194" w:rsidRDefault="00B03194" w:rsidP="00B03194">
      <w:r w:rsidRPr="00B03194">
        <w:t>La administración oral tiene ventajas prácticas evidentes. Es simple, aceptable para muchas pacientes, no invasiva y no requiere personal entrenado en técnicas parenterales. Además, coincide con las recomendaciones de la OMS para prevención de hemorragia posparto cuando se utiliza misoprostol en dosis de 400 µg o 600 µg por vía oral (WHO, 2025). Esta recomendación es importante para el diseño de investigaciones que comparan diferentes vías, porque la vía oral representa una opción formalmente reconocida en guías internacionales para prevención.</w:t>
      </w:r>
    </w:p>
    <w:p w14:paraId="759E64FA" w14:textId="77777777" w:rsidR="00B03194" w:rsidRPr="00B03194" w:rsidRDefault="00B03194" w:rsidP="00B03194">
      <w:r w:rsidRPr="00B03194">
        <w:t>Sin embargo, la vía oral también tiene limitaciones. El metabolismo de primer paso hepático puede reducir o modificar la biodisponibilidad del fármaco. La absorción puede variar según condiciones gastrointestinales, tiempo desde la última ingesta, presencia de vómitos y características individuales de la paciente. En el puerperio inmediato, la náusea o el vómito pueden comprometer la retención del medicamento si aparecen poco después de su administración. Aun así, por su facilidad y respaldo normativo, la vía oral constituye una alternativa relevante para prevención de hemorragia posparto.</w:t>
      </w:r>
    </w:p>
    <w:p w14:paraId="5894BC56" w14:textId="77777777" w:rsidR="00B03194" w:rsidRPr="00B03194" w:rsidRDefault="00B03194" w:rsidP="00B03194">
      <w:r w:rsidRPr="00B03194">
        <w:t>Desde el punto de vista clínico, la vía oral puede ser preferible cuando se busca una estrategia sencilla, estandarizable y compatible con protocolos de atención primaria o centros de parto con recursos limitados. La comparación con la vía sublingual es pertinente porque ambas vías son no inyectables, pero difieren en velocidad de absorción, concentración plasmática máxima y potencial frecuencia de efectos adversos.</w:t>
      </w:r>
    </w:p>
    <w:p w14:paraId="5D0A1046" w14:textId="77777777" w:rsidR="00B03194" w:rsidRPr="00B03194" w:rsidRDefault="00B03194" w:rsidP="00B03194">
      <w:pPr>
        <w:pStyle w:val="Ttulo2"/>
      </w:pPr>
      <w:bookmarkStart w:id="19" w:name="_Toc235815354"/>
      <w:r w:rsidRPr="00B03194">
        <w:lastRenderedPageBreak/>
        <w:t>Farmacocinética del misoprostol administrado por vía sublingual</w:t>
      </w:r>
      <w:bookmarkEnd w:id="19"/>
    </w:p>
    <w:p w14:paraId="661F2FE2" w14:textId="77777777" w:rsidR="00B03194" w:rsidRPr="00B03194" w:rsidRDefault="00B03194" w:rsidP="00B03194">
      <w:r w:rsidRPr="00B03194">
        <w:t>La administración sublingual del misoprostol permite que el fármaco se absorba a través de la mucosa oral, evitando en parte el metabolismo de primer paso hepático. Esto produce concentraciones plasmáticas máximas más altas y una absorción más rápida en comparación con la vía oral. Desde el punto de vista teórico, este perfil podría favorecer una acción uterotónica más rápida, lo que resulta atractivo en situaciones donde se busca reducir de manera inmediata la pérdida sanguínea después del parto (Tang et al., 2002).</w:t>
      </w:r>
    </w:p>
    <w:p w14:paraId="557CE4DD" w14:textId="77777777" w:rsidR="00B03194" w:rsidRPr="00B03194" w:rsidRDefault="00B03194" w:rsidP="00B03194">
      <w:r w:rsidRPr="00B03194">
        <w:t>Los estudios farmacocinéticos han mostrado que la vía sublingual logra mayor pico de concentración sérica y mayor área bajo la curva que la vía oral en determinados intervalos de medición. Esta mayor exposición sistémica puede explicar tanto su posible potencia clínica como la mayor frecuencia de efectos secundarios. En el contexto obstétrico, la vía sublingual ha sido considerada especialmente útil para el tratamiento de hemorragia posparto por su rapidez de acción, aunque su papel en la prevención requiere ser valorado cuidadosamente en comparación con otras alternativas (León et al., 2012; Tang et al., 2002).</w:t>
      </w:r>
    </w:p>
    <w:p w14:paraId="3364E47A" w14:textId="77777777" w:rsidR="00B03194" w:rsidRPr="00B03194" w:rsidRDefault="00B03194" w:rsidP="00B03194">
      <w:r w:rsidRPr="00B03194">
        <w:t>La vía sublingual también es práctica: no requiere agua, puede administrarse rápidamente y no depende de acceso venoso. Sin embargo, necesita que la paciente mantenga las tabletas bajo la lengua durante un periodo suficiente para permitir la absorción. En el puerperio inmediato, esta condición suele ser factible, aunque puede verse afectada por náuseas, vómitos, alteración del estado general o necesidad de intervenciones simultáneas.</w:t>
      </w:r>
    </w:p>
    <w:p w14:paraId="409DEF44" w14:textId="77777777" w:rsidR="00B03194" w:rsidRPr="00B03194" w:rsidRDefault="00B03194" w:rsidP="00B03194">
      <w:r w:rsidRPr="00B03194">
        <w:t xml:space="preserve">Una diferencia importante frente a la vía oral es el perfil de efectos adversos. Al producir concentraciones plasmáticas más altas, la administración sublingual puede asociarse con mayor frecuencia de fiebre y escalofríos. León et al. (2012), en un estudio realizado en Ecuador, evaluaron la relación entre dosis y efectos secundarios del misoprostol sublingual para tratamiento de hemorragia posparto. Observaron que una dosis de 600 µg se asoció con menor frecuencia de fiebre alta que una dosis de 800 µg, lo que sugiere que la dosis influye de manera importante en la tolerabilidad. </w:t>
      </w:r>
    </w:p>
    <w:p w14:paraId="05F0E078" w14:textId="77777777" w:rsidR="00B03194" w:rsidRPr="00B03194" w:rsidRDefault="00B03194" w:rsidP="00B03194">
      <w:pPr>
        <w:pStyle w:val="Ttulo2"/>
      </w:pPr>
      <w:bookmarkStart w:id="20" w:name="_Toc235815355"/>
      <w:r w:rsidRPr="00B03194">
        <w:t>Diferencias entre vía oral y vía sublingual</w:t>
      </w:r>
      <w:bookmarkEnd w:id="20"/>
    </w:p>
    <w:p w14:paraId="04E00A21" w14:textId="77777777" w:rsidR="00B03194" w:rsidRPr="00B03194" w:rsidRDefault="00B03194" w:rsidP="00B03194">
      <w:r w:rsidRPr="00B03194">
        <w:t xml:space="preserve">La comparación entre misoprostol oral y sublingual se fundamenta en diferencias farmacocinéticas y clínicas. La vía oral ofrece facilidad de administración, aceptación y respaldo en guías internacionales para prevención. La vía sublingual, por su parte, genera </w:t>
      </w:r>
      <w:r w:rsidRPr="00B03194">
        <w:lastRenderedPageBreak/>
        <w:t>absorción más rápida y concentraciones máximas más elevadas. Estas diferencias podrían traducirse en mayor rapidez uterotónica, pero también en mayor frecuencia de efectos adversos (Tang et al., 2002; WHO, 2025).</w:t>
      </w:r>
    </w:p>
    <w:p w14:paraId="21F13FC0" w14:textId="77777777" w:rsidR="00B03194" w:rsidRPr="00B03194" w:rsidRDefault="00B03194" w:rsidP="00B03194">
      <w:r w:rsidRPr="00B03194">
        <w:t>Desde el punto de vista de la prevención, la pregunta central no es únicamente cuál vía alcanza mayores niveles plasmáticos, sino si esa diferencia mejora desenlaces clínicos relevantes. Estos desenlaces incluyen menor incidencia de hemorragia posparto, menor pérdida sanguínea, menor necesidad de uterotónicos adicionales, menor caída de hemoglobina, menor transfusión y menor morbilidad materna. También debe considerarse el perfil de seguridad, porque una vía con mayor potencia farmacológica podría no ser preferible si aumenta de forma importante los efectos adversos sin reducir eventos clínicamente relevantes.</w:t>
      </w:r>
    </w:p>
    <w:p w14:paraId="3F275F39" w14:textId="77777777" w:rsidR="00B03194" w:rsidRPr="00B03194" w:rsidRDefault="00B03194" w:rsidP="00B03194">
      <w:r w:rsidRPr="00B03194">
        <w:t>La vía oral podría ser suficiente para prevención en mujeres con parto vaginal si se administra de forma oportuna durante el tercer periodo del parto. La vía sublingual podría tener ventajas en escenarios donde se requiere inicio más rápido de acción o donde existe preocupación por absorción gastrointestinal. No obstante, la evidencia clínica directa entre ambas vías, especialmente en América Latina, parece limitada. Gran parte de los estudios disponibles comparan misoprostol sublingual con oxitocina, no con misoprostol oral. Esta diferencia es crucial para la presente tesis, porque una revisión sistemática centrada en ambas vías puede ayudar a identificar si existe evidencia suficiente para orientar decisiones clínicas regionales.</w:t>
      </w:r>
    </w:p>
    <w:p w14:paraId="647CE991" w14:textId="77777777" w:rsidR="00B03194" w:rsidRPr="00B03194" w:rsidRDefault="00B03194" w:rsidP="00B03194">
      <w:pPr>
        <w:pStyle w:val="Ttulo2"/>
      </w:pPr>
      <w:bookmarkStart w:id="21" w:name="_Toc235815356"/>
      <w:r w:rsidRPr="00B03194">
        <w:t>Efectividad del misoprostol en la prevención de hemorragia posparto</w:t>
      </w:r>
      <w:bookmarkEnd w:id="21"/>
    </w:p>
    <w:p w14:paraId="2719540B" w14:textId="77777777" w:rsidR="00B03194" w:rsidRPr="00B03194" w:rsidRDefault="00B03194" w:rsidP="00B03194">
      <w:r w:rsidRPr="00B03194">
        <w:t>La efectividad del misoprostol para prevenir hemorragia posparto ha sido evaluada en múltiples ensayos clínicos y revisiones sistemáticas, aunque con variaciones importantes en dosis, vía de administración, tipo de parto y comparador utilizado. Algunos estudios han mostrado que el misoprostol puede reducir la pérdida sanguínea o comportarse de manera similar a otros uterotónicos, mientras que otros han encontrado menor efectividad frente a la oxitocina. Estas diferencias pueden explicarse por la heterogeneidad metodológica, las poblaciones incluidas y los contextos de atención (</w:t>
      </w:r>
      <w:proofErr w:type="spellStart"/>
      <w:r w:rsidRPr="00B03194">
        <w:t>Bilgin</w:t>
      </w:r>
      <w:proofErr w:type="spellEnd"/>
      <w:r w:rsidRPr="00B03194">
        <w:t xml:space="preserve"> &amp; </w:t>
      </w:r>
      <w:proofErr w:type="spellStart"/>
      <w:r w:rsidRPr="00B03194">
        <w:t>Komürcü</w:t>
      </w:r>
      <w:proofErr w:type="spellEnd"/>
      <w:r w:rsidRPr="00B03194">
        <w:t xml:space="preserve">, 2019; </w:t>
      </w:r>
      <w:proofErr w:type="spellStart"/>
      <w:r w:rsidRPr="00B03194">
        <w:t>Hofmeyr</w:t>
      </w:r>
      <w:proofErr w:type="spellEnd"/>
      <w:r w:rsidRPr="00B03194">
        <w:t xml:space="preserve"> et al., 2013).</w:t>
      </w:r>
    </w:p>
    <w:p w14:paraId="11B9E0D9" w14:textId="77777777" w:rsidR="00B03194" w:rsidRPr="00B03194" w:rsidRDefault="00B03194" w:rsidP="00B03194">
      <w:r w:rsidRPr="00B03194">
        <w:t xml:space="preserve">En revisiones que comparan misoprostol con oxitocina, los resultados no son completamente uniformes. </w:t>
      </w:r>
      <w:proofErr w:type="spellStart"/>
      <w:r w:rsidRPr="00B03194">
        <w:t>Bilgin</w:t>
      </w:r>
      <w:proofErr w:type="spellEnd"/>
      <w:r w:rsidRPr="00B03194">
        <w:t xml:space="preserve"> y </w:t>
      </w:r>
      <w:proofErr w:type="spellStart"/>
      <w:r w:rsidRPr="00B03194">
        <w:t>Komürcü</w:t>
      </w:r>
      <w:proofErr w:type="spellEnd"/>
      <w:r w:rsidRPr="00B03194">
        <w:t xml:space="preserve"> (2019), en una revisión sistemática de ensayos clínicos, </w:t>
      </w:r>
      <w:r w:rsidRPr="00B03194">
        <w:lastRenderedPageBreak/>
        <w:t xml:space="preserve">encontraron que el misoprostol podía mostrar efectos favorables en algunos desenlaces de pérdida sanguínea, pero también una mayor frecuencia de efectos adversos. Esta revisión incluyó estudios con diferentes vías y dosis, lo que limita la interpretación específica para la comparación oral versus sublingual. Aun así, contribuye a mostrar que el efecto del misoprostol debe analizarse junto con su tolerabilidad. </w:t>
      </w:r>
    </w:p>
    <w:p w14:paraId="22F396D0" w14:textId="77777777" w:rsidR="00B03194" w:rsidRPr="00B03194" w:rsidRDefault="00B03194" w:rsidP="00B03194">
      <w:proofErr w:type="spellStart"/>
      <w:r w:rsidRPr="00B03194">
        <w:t>Atukunda</w:t>
      </w:r>
      <w:proofErr w:type="spellEnd"/>
      <w:r w:rsidRPr="00B03194">
        <w:t xml:space="preserve"> et al. (2014) realizaron un ensayo clínico aleatorizado de no inferioridad en Uganda comparando 600 µg de misoprostol sublingual con 10 UI de oxitocina intramuscular para prevenir hemorragia posparto en mujeres con parto vaginal no complicado. Encontraron mayor incidencia de hemorragia posparto en el grupo de misoprostol que en el grupo de oxitocina, aunque no hubo diferencias significativas en hemorragia severa, transfusión, hemoglobina posparto o uso de uterotónicos adicionales. Este estudio muestra que, aunque el misoprostol sublingual tiene ventajas logísticas, no necesariamente supera a la oxitocina cuando esta está disponible y se administra adecuadamente (</w:t>
      </w:r>
      <w:proofErr w:type="spellStart"/>
      <w:r w:rsidRPr="00B03194">
        <w:t>Atukunda</w:t>
      </w:r>
      <w:proofErr w:type="spellEnd"/>
      <w:r w:rsidRPr="00B03194">
        <w:t xml:space="preserve"> et al., 2014).</w:t>
      </w:r>
    </w:p>
    <w:p w14:paraId="75ED62F4" w14:textId="77777777" w:rsidR="00B03194" w:rsidRPr="00B03194" w:rsidRDefault="00B03194" w:rsidP="00B03194">
      <w:r w:rsidRPr="00B03194">
        <w:t>En la práctica clínica, estos hallazgos sugieren que la efectividad del misoprostol debe interpretarse en relación con el comparador. Frente a oxitocina de calidad y correctamente administrada, el misoprostol puede ser menos efectivo para algunos desenlaces. Sin embargo, frente a la ausencia de uterotónicos o en contextos donde la oxitocina pierde potencia por problemas de conservación, el misoprostol puede representar una alternativa de gran valor. Para la comparación entre vía oral y sublingual, la cuestión es más específica: determinar si una vía no inyectable ofrece ventajas sobre la otra dentro de la misma familia farmacológica.</w:t>
      </w:r>
    </w:p>
    <w:p w14:paraId="2EFA3017" w14:textId="77777777" w:rsidR="00B03194" w:rsidRPr="00B03194" w:rsidRDefault="00B03194" w:rsidP="00B03194">
      <w:pPr>
        <w:pStyle w:val="Ttulo2"/>
      </w:pPr>
      <w:bookmarkStart w:id="22" w:name="_Toc235815357"/>
      <w:r w:rsidRPr="00B03194">
        <w:t>Seguridad y efectos adversos del misoprostol</w:t>
      </w:r>
      <w:bookmarkEnd w:id="22"/>
    </w:p>
    <w:p w14:paraId="4F13A92A" w14:textId="77777777" w:rsidR="00B03194" w:rsidRPr="00B03194" w:rsidRDefault="00B03194" w:rsidP="00B03194">
      <w:r w:rsidRPr="00B03194">
        <w:t xml:space="preserve">Los efectos adversos del misoprostol son relativamente frecuentes, pero por lo general transitorios. Los más reportados son escalofríos, fiebre, náuseas, vómitos, diarrea, cefalea y dolor abdominal. La fiebre y los escalofríos son particularmente relevantes en el puerperio inmediato porque pueden generar preocupación clínica, requerir monitoreo adicional y confundirse con procesos infecciosos si no se interpreta el contexto farmacológico (León et al., 2012; </w:t>
      </w:r>
      <w:proofErr w:type="spellStart"/>
      <w:r w:rsidRPr="00B03194">
        <w:t>Lopes</w:t>
      </w:r>
      <w:proofErr w:type="spellEnd"/>
      <w:r w:rsidRPr="00B03194">
        <w:t xml:space="preserve"> et al., 2025).</w:t>
      </w:r>
    </w:p>
    <w:p w14:paraId="404D7CAF" w14:textId="77777777" w:rsidR="00B03194" w:rsidRPr="00B03194" w:rsidRDefault="00B03194" w:rsidP="00B03194">
      <w:r w:rsidRPr="00B03194">
        <w:t xml:space="preserve">La frecuencia e intensidad de los efectos adversos dependen de la dosis y la vía de administración. Las vías oral y sublingual tienden a asociarse con mayor frecuencia de fiebre y escalofríos que otras vías como la rectal, probablemente por sus perfiles de absorción y </w:t>
      </w:r>
      <w:r w:rsidRPr="00B03194">
        <w:lastRenderedPageBreak/>
        <w:t>concentración plasmática. La vía sublingual, al alcanzar niveles plasmáticos más altos, puede producir más efectos sistémicos. León et al. (2012) documentaron una reducción en fiebre alta al disminuir la dosis sublingual de 800 µg a 600 µg en mujeres ecuatorianas tratadas por hemorragia posparto, lo que resalta la importancia de considerar dosis y población.</w:t>
      </w:r>
    </w:p>
    <w:p w14:paraId="7C156512" w14:textId="5B2554AD" w:rsidR="00B03194" w:rsidRPr="00B03194" w:rsidRDefault="00B03194" w:rsidP="00B03194">
      <w:proofErr w:type="spellStart"/>
      <w:r w:rsidRPr="00B03194">
        <w:t>Lopes</w:t>
      </w:r>
      <w:proofErr w:type="spellEnd"/>
      <w:r w:rsidRPr="00B03194">
        <w:t xml:space="preserve"> et al. (2025), en una revisión sistemática y metaanálisis sobre misoprostol sublingual frente a oxitocina para hemorragia posparto después del parto vaginal, encontraron mayor frecuencia de fiebre y escalofríos en el grupo de misoprostol. Aunque el estudio se enfocó en tratamiento y no exclusivamente en prevención, sus hallazgos son útiles para comprender el perfil de seguridad del misoprostol sublingual. La revisión incluyó 10 ensayos clínicos aleatorizados con 5,041 mujeres y reportó aumentos significativos de fiebre y escalofríos con misoprostol. La seguridad también debe analizarse desde una perspectiva de riesgo-beneficio. En un contexto donde no hay oxitocina disponible, un medicamento estable, barato y administrable por vía no inyectable puede evitar complicaciones graves. En cambio, en un hospital con oxitocina disponible, personal capacitado y capacidad de respuesta rápida, el balance puede favorecer otros uterotónicos con menor frecuencia de fiebre o escalofríos. Esta diferencia contextual es esencial para interpretar la aplicabilidad de la evidencia en América Latina.</w:t>
      </w:r>
    </w:p>
    <w:p w14:paraId="5BD361F1" w14:textId="77777777" w:rsidR="00B03194" w:rsidRPr="00B03194" w:rsidRDefault="00B03194" w:rsidP="00B03194">
      <w:pPr>
        <w:pStyle w:val="Ttulo2"/>
      </w:pPr>
      <w:bookmarkStart w:id="23" w:name="_Toc235815358"/>
      <w:r w:rsidRPr="00B03194">
        <w:t>Misoprostol en contextos de bajos recursos</w:t>
      </w:r>
      <w:bookmarkEnd w:id="23"/>
    </w:p>
    <w:p w14:paraId="576144DF" w14:textId="77777777" w:rsidR="00B03194" w:rsidRPr="00B03194" w:rsidRDefault="00B03194" w:rsidP="00B03194">
      <w:r w:rsidRPr="00B03194">
        <w:t>Una de las principales razones para estudiar el misoprostol en la prevención de hemorragia posparto es su utilidad potencial en contextos de recursos limitados. La oxitocina requiere almacenamiento adecuado, cadena de frío, jeringas estériles, agujas y personal capacitado. En establecimientos con limitaciones logísticas, la disponibilidad nominal de oxitocina no siempre garantiza su potencia o administración oportuna. El misoprostol, en cambio, puede almacenarse a temperatura ambiente y administrarse por vía oral o sublingual, lo que facilita su uso en niveles periféricos de atención (</w:t>
      </w:r>
      <w:proofErr w:type="spellStart"/>
      <w:r w:rsidRPr="00B03194">
        <w:t>Atukunda</w:t>
      </w:r>
      <w:proofErr w:type="spellEnd"/>
      <w:r w:rsidRPr="00B03194">
        <w:t xml:space="preserve"> et al., 2014; </w:t>
      </w:r>
      <w:proofErr w:type="spellStart"/>
      <w:r w:rsidRPr="00B03194">
        <w:t>Lopes</w:t>
      </w:r>
      <w:proofErr w:type="spellEnd"/>
      <w:r w:rsidRPr="00B03194">
        <w:t xml:space="preserve"> et al., 2025).</w:t>
      </w:r>
    </w:p>
    <w:p w14:paraId="03F38357" w14:textId="6C2178D4" w:rsidR="00B03194" w:rsidRPr="00B03194" w:rsidRDefault="00B03194" w:rsidP="00B03194">
      <w:r w:rsidRPr="00B03194">
        <w:t xml:space="preserve">En países de ingresos bajos y medianos, incluyendo algunos contextos latinoamericanos, las condiciones de atención obstétrica pueden variar entre hospitales urbanos de alta complejidad y unidades rurales con recursos limitados. La existencia de esta variabilidad hace que la decisión sobre el uterotónico más apropiado no dependa únicamente de la eficacia demostrada en condiciones ideales, sino también de la factibilidad de implementación. Un </w:t>
      </w:r>
      <w:r w:rsidRPr="00B03194">
        <w:lastRenderedPageBreak/>
        <w:t>medicamento ligeramente menos efectivo en condiciones controladas podría tener gran impacto poblacional si está disponible de manera constante donde otros uterotónicos no lo están.</w:t>
      </w:r>
      <w:r>
        <w:t xml:space="preserve"> </w:t>
      </w:r>
      <w:r w:rsidRPr="00B03194">
        <w:t>No obstante, la facilidad de distribución del misoprostol también plantea desafíos. Su uso debe estar regulado por protocolos claros para evitar errores de dosis, uso inadecuado o sustitución de intervenciones más efectivas cuando estas sí están disponibles. Además, el personal debe conocer sus efectos adversos esperados para ofrecer vigilancia adecuada y evitar intervenciones innecesarias ante fiebre o escalofríos transitorios.</w:t>
      </w:r>
    </w:p>
    <w:p w14:paraId="30024E2A" w14:textId="77777777" w:rsidR="00B03194" w:rsidRPr="00B03194" w:rsidRDefault="00B03194" w:rsidP="00B03194">
      <w:r w:rsidRPr="00B03194">
        <w:t>El enfoque contextual es particularmente relevante para América Latina. La región no es homogénea: existen países y territorios con alta cobertura institucional del parto, pero también zonas rurales, indígenas, fronterizas o de difícil acceso donde la continuidad de insumos obstétricos puede ser limitada. La comparación entre vía oral y sublingual puede ofrecer información útil para adaptar protocolos según nivel de atención, disponibilidad de oxitocina, características de la población y capacidad de monitoreo posparto.</w:t>
      </w:r>
    </w:p>
    <w:p w14:paraId="637D6584" w14:textId="77777777" w:rsidR="00B03194" w:rsidRPr="00B03194" w:rsidRDefault="00B03194" w:rsidP="00B03194">
      <w:pPr>
        <w:pStyle w:val="Ttulo2"/>
      </w:pPr>
      <w:bookmarkStart w:id="24" w:name="_Toc235815359"/>
      <w:r w:rsidRPr="00B03194">
        <w:t>Evidencia regional y necesidad de síntesis</w:t>
      </w:r>
      <w:bookmarkEnd w:id="24"/>
    </w:p>
    <w:p w14:paraId="5CAC6500" w14:textId="77777777" w:rsidR="00B03194" w:rsidRPr="00B03194" w:rsidRDefault="00B03194" w:rsidP="00B03194">
      <w:r w:rsidRPr="00B03194">
        <w:t>La evidencia sobre misoprostol en hemorragia posparto es amplia, pero no siempre responde directamente a preguntas específicas de la práctica clínica regional. Muchos ensayos comparan misoprostol con oxitocina o con placebo; otros estudian el tratamiento de hemorragia ya establecida, no su prevención; algunos se enfocan en cesárea, no en parto vaginal; y otros analizan vías rectal, bucal o vaginal. Esta diversidad dificulta establecer conclusiones precisas sobre la comparación entre misoprostol sublingual y oral para prevenir hemorragia posparto en mujeres con parto vaginal.</w:t>
      </w:r>
    </w:p>
    <w:p w14:paraId="5CAB87FE" w14:textId="77777777" w:rsidR="00B03194" w:rsidRPr="00B03194" w:rsidRDefault="00B03194" w:rsidP="00B03194">
      <w:r w:rsidRPr="00B03194">
        <w:t xml:space="preserve">En América Latina existen estudios y tesis que describen el uso de misoprostol en la prevención o manejo de hemorragia posparto, pero muchos tienen diseño observacional o se enfocan en dosis y vías diversas. Méndez Cotrina (2025), por ejemplo, describió el uso de misoprostol en puérperas inmediatas atendidas en un hospital de nivel III en Lima. El estudio reportó que el misoprostol favoreció la contractilidad uterina y la estabilidad hemodinámica en la mayoría de las pacientes, pero también identificó efectos adversos según dosis y vía de administración, con predominio de escalofríos. </w:t>
      </w:r>
    </w:p>
    <w:p w14:paraId="28FA92D7" w14:textId="45B50ABC" w:rsidR="00B03194" w:rsidRPr="00B03194" w:rsidRDefault="00B03194" w:rsidP="00B03194">
      <w:r w:rsidRPr="00B03194">
        <w:t xml:space="preserve">Estos trabajos son útiles para contextualizar la práctica regional, aunque no sustituyen la necesidad de una revisión sistemática. Una revisión sistemática permitiría identificar de </w:t>
      </w:r>
      <w:r w:rsidRPr="00B03194">
        <w:lastRenderedPageBreak/>
        <w:t>manera ordenada los estudios disponibles, evaluar su calidad metodológica, comparar desenlaces clínicos y determinar si existe evidencia suficiente para concluir que una vía de administración es superior o más segura que otra. Además, podría mostrar vacíos de investigación, como ausencia de ensayos directos en América Latina, falta de estandarización en la medición de pérdida sanguínea o escaso reporte de efectos adversos.</w:t>
      </w:r>
      <w:r>
        <w:t xml:space="preserve"> </w:t>
      </w:r>
      <w:r w:rsidRPr="00B03194">
        <w:t>La comparación entre vía sublingual y oral tiene relevancia práctica porque ambas comparten ventajas logísticas frente a uterotónicos inyectables. Si la vía sublingual reduce más la incidencia de hemorragia, podría ser preferible en ciertos escenarios. Si la vía oral ofrece efectividad similar con menos efectos adversos, podría ser una opción más aceptable y segura. Si la evidencia es insuficiente, la revisión permitirá fundamentar la necesidad de nuevos estudios clínicos comparativos.</w:t>
      </w:r>
    </w:p>
    <w:p w14:paraId="2FE00218" w14:textId="77777777" w:rsidR="00B03194" w:rsidRPr="00B03194" w:rsidRDefault="00B03194" w:rsidP="00B03194">
      <w:pPr>
        <w:pStyle w:val="Ttulo2"/>
      </w:pPr>
      <w:bookmarkStart w:id="25" w:name="_Toc235815360"/>
      <w:r w:rsidRPr="00B03194">
        <w:t>Aplicabilidad clínica de la comparación entre misoprostol sublingual y oral</w:t>
      </w:r>
      <w:bookmarkEnd w:id="25"/>
    </w:p>
    <w:p w14:paraId="3FBD3134" w14:textId="77777777" w:rsidR="00B03194" w:rsidRPr="00B03194" w:rsidRDefault="00B03194" w:rsidP="00B03194">
      <w:r w:rsidRPr="00B03194">
        <w:t>La aplicabilidad clínica de una comparación entre misoprostol sublingual y oral debe considerar varios elementos. El primero es el desenlace principal: la prevención de hemorragia posparto. Para que una vía sea preferible, debería demostrar reducción clínicamente significativa de la incidencia de hemorragia, de la pérdida sanguínea total o de intervenciones adicionales. El segundo elemento es la seguridad: una vía que aumenta fiebre, escalofríos o vómitos podría afectar la experiencia de la mujer, aumentar la carga de vigilancia clínica y generar confusión diagnóstica en el puerperio.</w:t>
      </w:r>
    </w:p>
    <w:p w14:paraId="5815739A" w14:textId="77777777" w:rsidR="00B03194" w:rsidRPr="00B03194" w:rsidRDefault="00B03194" w:rsidP="00B03194">
      <w:r w:rsidRPr="00B03194">
        <w:t>El tercer elemento es la factibilidad. La vía oral puede ser más simple y más fácil de incorporar en protocolos amplios. La vía sublingual puede requerir instrucciones específicas para asegurar absorción adecuada, pero ofrece rapidez de acción. En contextos institucionales con personal capacitado, ambas vías son factibles. En entornos comunitarios o periféricos, la simplicidad de administración puede inclinar la balanza hacia esquemas más fáciles de cumplir.</w:t>
      </w:r>
    </w:p>
    <w:p w14:paraId="4A00C15F" w14:textId="77777777" w:rsidR="00B03194" w:rsidRPr="00B03194" w:rsidRDefault="00B03194" w:rsidP="00B03194">
      <w:r w:rsidRPr="00B03194">
        <w:t xml:space="preserve">El cuarto elemento es la dosificación. Las dosis recomendadas para prevención no deben confundirse con las utilizadas para tratamiento de hemorragia posparto establecida. El tratamiento suele utilizar dosis más altas, lo que aumenta la probabilidad de efectos adversos. Para prevención, las recomendaciones actuales consideran misoprostol oral de 400 µg o 600 µg. La vía sublingual ha sido estudiada en diferentes dosis, pero la interpretación debe tomar </w:t>
      </w:r>
      <w:r w:rsidRPr="00B03194">
        <w:lastRenderedPageBreak/>
        <w:t>en cuenta que no todas las dosis son equivalentes en términos de biodisponibilidad y efectos sistémicos (WHO, 2025).</w:t>
      </w:r>
    </w:p>
    <w:p w14:paraId="1A073EF8" w14:textId="77777777" w:rsidR="00B03194" w:rsidRPr="00B03194" w:rsidRDefault="00B03194" w:rsidP="00B03194">
      <w:r w:rsidRPr="00B03194">
        <w:t>Finalmente, la aplicabilidad requiere valorar los sistemas de salud. En hospitales con oxitocina disponible y bien conservada, el misoprostol puede ser una alternativa secundaria o complementaria en circunstancias específicas. En unidades donde la oxitocina no está disponible o no se garantiza su calidad, el misoprostol puede tener un papel central. La presente tesis se ubica en este debate, pero con una pregunta más delimitada: cuál es la efectividad comparativa de las vías sublingual y oral para prevenir hemorragia posparto en mujeres con parto vaginal en América Latina.</w:t>
      </w:r>
    </w:p>
    <w:p w14:paraId="23076153" w14:textId="77777777" w:rsidR="00B03194" w:rsidRPr="00B03194" w:rsidRDefault="00B03194" w:rsidP="00B03194">
      <w:pPr>
        <w:pStyle w:val="Ttulo2"/>
      </w:pPr>
      <w:bookmarkStart w:id="26" w:name="_Toc235815361"/>
      <w:r w:rsidRPr="00B03194">
        <w:t>Fundamento de la revisión sistemática</w:t>
      </w:r>
      <w:bookmarkEnd w:id="26"/>
    </w:p>
    <w:p w14:paraId="02D21BCA" w14:textId="24A3C845" w:rsidR="00B03194" w:rsidRPr="00B03194" w:rsidRDefault="00B03194" w:rsidP="00B03194">
      <w:r w:rsidRPr="00B03194">
        <w:t>El marco teórico permite establecer que la hemorragia posparto es una complicación frecuente, potencialmente grave y prevenible. La fisiología del tercer periodo del parto explica la importancia de la contracción uterina para evitar sangrado excesivo. Los uterotónicos son la base farmacológica de la prevención, y el misoprostol constituye una alternativa relevante por sus propiedades logísticas y farmacológicas. Sin embargo, las distintas vías de administración generan diferencias en absorción, concentración plasmática, rapidez de acción y efectos adversos.</w:t>
      </w:r>
      <w:r>
        <w:t xml:space="preserve"> </w:t>
      </w:r>
      <w:r w:rsidRPr="00B03194">
        <w:t>La vía oral cuenta con respaldo en recomendaciones internacionales para prevención de hemorragia posparto, mientras que la vía sublingual presenta ventajas farmacocinéticas por su absorción rápida y mayor biodisponibilidad. No obstante, estas ventajas no necesariamente equivalen a mejores resultados clínicos, y podrían acompañarse de mayor frecuencia de efectos adversos. Por ello, la comparación entre ambas vías requiere una síntesis rigurosa de la evidencia disponible.</w:t>
      </w:r>
    </w:p>
    <w:p w14:paraId="5180D771" w14:textId="77777777" w:rsidR="00B03194" w:rsidRPr="00B03194" w:rsidRDefault="00B03194" w:rsidP="00B03194">
      <w:r w:rsidRPr="00B03194">
        <w:t>Una revisión sistemática permitirá responder esta pregunta mediante un proceso estructurado de búsqueda, selección, extracción y evaluación crítica de estudios. Además, facilitará distinguir entre evidencia de prevención y tratamiento, entre parto vaginal y cesárea, y entre comparaciones directas e indirectas. Esta delimitación es necesaria porque gran parte de la literatura sobre misoprostol se ha concentrado en comparaciones con oxitocina o en tratamiento de hemorragia ya establecida, lo que no responde por completo a la pregunta clínica planteada en esta tesis.</w:t>
      </w:r>
    </w:p>
    <w:p w14:paraId="0FA95F0A" w14:textId="6FAFCEAF" w:rsidR="00D44AED" w:rsidRPr="00B03194" w:rsidRDefault="00D44AED" w:rsidP="00B03194"/>
    <w:p w14:paraId="2333D457" w14:textId="0FA876B2" w:rsidR="00D44AED" w:rsidRPr="00D44AED" w:rsidRDefault="002104E2" w:rsidP="002104E2">
      <w:pPr>
        <w:pStyle w:val="Ttulo1"/>
      </w:pPr>
      <w:bookmarkStart w:id="27" w:name="_Toc235815362"/>
      <w:r w:rsidRPr="00D44AED">
        <w:lastRenderedPageBreak/>
        <w:t>Material y método</w:t>
      </w:r>
      <w:bookmarkEnd w:id="27"/>
    </w:p>
    <w:p w14:paraId="7658F070" w14:textId="77777777" w:rsidR="002104E2" w:rsidRDefault="002104E2" w:rsidP="002104E2">
      <w:pPr>
        <w:pStyle w:val="Ttulo2"/>
      </w:pPr>
      <w:bookmarkStart w:id="28" w:name="_Toc235815363"/>
      <w:r>
        <w:t>Formato de reporte</w:t>
      </w:r>
      <w:bookmarkEnd w:id="28"/>
    </w:p>
    <w:p w14:paraId="4D0D0088" w14:textId="137CB442" w:rsidR="002104E2" w:rsidRDefault="002104E2" w:rsidP="002104E2">
      <w:r>
        <w:t>La presente investigación se desarroll</w:t>
      </w:r>
      <w:r w:rsidR="001749F8">
        <w:t>ó</w:t>
      </w:r>
      <w:r>
        <w:t xml:space="preserve"> como una revisión sistemática orientada a comparar la efectividad y seguridad del misoprostol administrado por vía sublingual frente al misoprostol administrado por vía oral para la prevención de la hemorragia posparto en mujeres con parto vaginal en América Latina.</w:t>
      </w:r>
    </w:p>
    <w:p w14:paraId="06DA4763" w14:textId="50D4769E" w:rsidR="002104E2" w:rsidRDefault="002104E2" w:rsidP="002104E2">
      <w:r>
        <w:t>El estudio se estructur</w:t>
      </w:r>
      <w:r w:rsidR="001749F8">
        <w:t>ó</w:t>
      </w:r>
      <w:r>
        <w:t xml:space="preserve"> conforme a las directrices establecidas en la declaración PRISMA 2020</w:t>
      </w:r>
      <w:r w:rsidR="001749F8">
        <w:t xml:space="preserve"> </w:t>
      </w:r>
      <w:r w:rsidR="001749F8" w:rsidRPr="001749F8">
        <w:t>(</w:t>
      </w:r>
      <w:proofErr w:type="spellStart"/>
      <w:r w:rsidR="001749F8" w:rsidRPr="001749F8">
        <w:t>Preferred</w:t>
      </w:r>
      <w:proofErr w:type="spellEnd"/>
      <w:r w:rsidR="001749F8" w:rsidRPr="001749F8">
        <w:t xml:space="preserve"> </w:t>
      </w:r>
      <w:proofErr w:type="spellStart"/>
      <w:r w:rsidR="001749F8" w:rsidRPr="001749F8">
        <w:t>Reporting</w:t>
      </w:r>
      <w:proofErr w:type="spellEnd"/>
      <w:r w:rsidR="001749F8" w:rsidRPr="001749F8">
        <w:t xml:space="preserve"> </w:t>
      </w:r>
      <w:proofErr w:type="spellStart"/>
      <w:r w:rsidR="001749F8" w:rsidRPr="001749F8">
        <w:t>Items</w:t>
      </w:r>
      <w:proofErr w:type="spellEnd"/>
      <w:r w:rsidR="001749F8" w:rsidRPr="001749F8">
        <w:t xml:space="preserve"> </w:t>
      </w:r>
      <w:proofErr w:type="spellStart"/>
      <w:r w:rsidR="001749F8" w:rsidRPr="001749F8">
        <w:t>for</w:t>
      </w:r>
      <w:proofErr w:type="spellEnd"/>
      <w:r w:rsidR="001749F8" w:rsidRPr="001749F8">
        <w:t xml:space="preserve"> </w:t>
      </w:r>
      <w:proofErr w:type="spellStart"/>
      <w:r w:rsidR="001749F8" w:rsidRPr="001749F8">
        <w:t>Systematic</w:t>
      </w:r>
      <w:proofErr w:type="spellEnd"/>
      <w:r w:rsidR="001749F8" w:rsidRPr="001749F8">
        <w:t xml:space="preserve"> </w:t>
      </w:r>
      <w:proofErr w:type="spellStart"/>
      <w:r w:rsidR="001749F8" w:rsidRPr="001749F8">
        <w:t>Reviews</w:t>
      </w:r>
      <w:proofErr w:type="spellEnd"/>
      <w:r w:rsidR="001749F8" w:rsidRPr="001749F8">
        <w:t xml:space="preserve"> and Meta-</w:t>
      </w:r>
      <w:proofErr w:type="spellStart"/>
      <w:r w:rsidR="001749F8" w:rsidRPr="001749F8">
        <w:t>Analyses</w:t>
      </w:r>
      <w:proofErr w:type="spellEnd"/>
      <w:r w:rsidR="001749F8" w:rsidRPr="001749F8">
        <w:t>) (Page et al, 2021)</w:t>
      </w:r>
      <w:r>
        <w:t xml:space="preserve">, con el propósito de asegurar claridad, transparencia y consistencia metodológica en cada una de las etapas del proceso de revisión. El protocolo </w:t>
      </w:r>
      <w:r w:rsidR="001749F8">
        <w:t xml:space="preserve">fue </w:t>
      </w:r>
      <w:r>
        <w:t xml:space="preserve">elaborado antes del inicio formal de la búsqueda bibliográfica </w:t>
      </w:r>
      <w:r w:rsidR="001749F8">
        <w:t>conteniendo</w:t>
      </w:r>
      <w:r>
        <w:t xml:space="preserve"> la formulación de la pregunta de investigación, los criterios de elegibilidad, las fuentes de información, la estrategia de búsqueda, el proceso de selección de estudios, los métodos de extracción de datos, la evaluación del riesgo de sesgo y el plan de síntesis de los resultados.</w:t>
      </w:r>
    </w:p>
    <w:p w14:paraId="7EF15C9B" w14:textId="035A75E1" w:rsidR="002104E2" w:rsidRDefault="002104E2" w:rsidP="002104E2">
      <w:r>
        <w:t xml:space="preserve">El reporte final </w:t>
      </w:r>
      <w:r w:rsidR="001749F8">
        <w:t xml:space="preserve">se presenta </w:t>
      </w:r>
      <w:r>
        <w:t>de manera ordenada el proceso de identificación, cribado, evaluación a texto completo e inclusión definitiva de los estudios, mediante un diagrama de flujo conforme a PRISMA. Asimismo, se describ</w:t>
      </w:r>
      <w:r w:rsidR="00C40752">
        <w:t>en</w:t>
      </w:r>
      <w:r>
        <w:t xml:space="preserve"> las razones de exclusión de los estudios evaluados a texto completo, con el fin de garantizar la trazabilidad del proceso y facilitar su replicación por otros investigadores.</w:t>
      </w:r>
    </w:p>
    <w:p w14:paraId="0C7A96A1" w14:textId="47475AF1" w:rsidR="002104E2" w:rsidRDefault="002104E2" w:rsidP="002104E2">
      <w:r>
        <w:t>La metodología también tom</w:t>
      </w:r>
      <w:r w:rsidR="00C40752">
        <w:t>ó</w:t>
      </w:r>
      <w:r>
        <w:t xml:space="preserve"> como referencia las recomendaciones del</w:t>
      </w:r>
      <w:r w:rsidR="00C40752">
        <w:t xml:space="preserve"> manual de la iniciativa</w:t>
      </w:r>
      <w:r>
        <w:t xml:space="preserve"> Cochrane </w:t>
      </w:r>
      <w:r w:rsidR="00C40752">
        <w:t>para revisiones sistemáticas de estudios de intervención (</w:t>
      </w:r>
      <w:proofErr w:type="spellStart"/>
      <w:r w:rsidR="00C40752" w:rsidRPr="00C40752">
        <w:t>Cumpston</w:t>
      </w:r>
      <w:proofErr w:type="spellEnd"/>
      <w:r w:rsidR="00C40752" w:rsidRPr="00C40752">
        <w:t xml:space="preserve"> et al, 2022),</w:t>
      </w:r>
      <w:r>
        <w:t xml:space="preserve"> especialmente en lo relacionado con la evaluación del riesgo de sesgo, la síntesis de resultados y la interpretación de la evidencia.</w:t>
      </w:r>
    </w:p>
    <w:p w14:paraId="7BB5D30F" w14:textId="77777777" w:rsidR="002104E2" w:rsidRDefault="002104E2" w:rsidP="002104E2">
      <w:pPr>
        <w:pStyle w:val="Ttulo2"/>
      </w:pPr>
      <w:bookmarkStart w:id="29" w:name="_Toc235815364"/>
      <w:r>
        <w:t>Criterios de elegibilidad</w:t>
      </w:r>
      <w:bookmarkEnd w:id="29"/>
    </w:p>
    <w:p w14:paraId="6A6B8B1A" w14:textId="77777777" w:rsidR="00012D41" w:rsidRDefault="00012D41" w:rsidP="00012D41">
      <w:pPr>
        <w:pStyle w:val="Ttulo3"/>
      </w:pPr>
      <w:bookmarkStart w:id="30" w:name="_Toc235815365"/>
      <w:r>
        <w:t>Criterios de inclusión</w:t>
      </w:r>
      <w:bookmarkEnd w:id="30"/>
    </w:p>
    <w:p w14:paraId="3AC4627A" w14:textId="77777777" w:rsidR="00012D41" w:rsidRDefault="00012D41" w:rsidP="00012D41">
      <w:pPr>
        <w:pStyle w:val="Prrafodelista"/>
        <w:numPr>
          <w:ilvl w:val="0"/>
          <w:numId w:val="7"/>
        </w:numPr>
      </w:pPr>
      <w:r>
        <w:t>Se incluyeron estudios que evaluaron el uso profiláctico de misoprostol durante el tercer periodo del parto o inmediatamente después del nacimiento.</w:t>
      </w:r>
    </w:p>
    <w:p w14:paraId="1B02A9BB" w14:textId="77777777" w:rsidR="00012D41" w:rsidRDefault="00012D41" w:rsidP="00012D41">
      <w:pPr>
        <w:pStyle w:val="Prrafodelista"/>
        <w:numPr>
          <w:ilvl w:val="0"/>
          <w:numId w:val="7"/>
        </w:numPr>
      </w:pPr>
      <w:r>
        <w:lastRenderedPageBreak/>
        <w:t>Se incluyeron estudios realizados en mujeres con parto vaginal que compararon directamente el misoprostol administrado por vía sublingual con el administrado por vía oral.</w:t>
      </w:r>
    </w:p>
    <w:p w14:paraId="50362261" w14:textId="77777777" w:rsidR="00012D41" w:rsidRDefault="00012D41" w:rsidP="00012D41">
      <w:pPr>
        <w:pStyle w:val="Prrafodelista"/>
        <w:numPr>
          <w:ilvl w:val="0"/>
          <w:numId w:val="7"/>
        </w:numPr>
      </w:pPr>
      <w:r>
        <w:t>Cuando no existió una comparación directa entre ambas vías, se incluyeron estudios que evaluaron por separado la eficacia o la seguridad del misoprostol sublingual o del misoprostol oral.</w:t>
      </w:r>
    </w:p>
    <w:p w14:paraId="47D1CCF6" w14:textId="77777777" w:rsidR="00012D41" w:rsidRDefault="00012D41" w:rsidP="00012D41">
      <w:pPr>
        <w:pStyle w:val="Prrafodelista"/>
        <w:numPr>
          <w:ilvl w:val="0"/>
          <w:numId w:val="7"/>
        </w:numPr>
      </w:pPr>
      <w:r>
        <w:t>Se aceptaron estudios en los que el misoprostol sublingual u oral fue comparado con oxitocina, placebo, otra intervención profiláctica o diferentes dosis de misoprostol.</w:t>
      </w:r>
    </w:p>
    <w:p w14:paraId="56B0DE85" w14:textId="77777777" w:rsidR="00012D41" w:rsidRDefault="00012D41" w:rsidP="00012D41">
      <w:pPr>
        <w:pStyle w:val="Prrafodelista"/>
        <w:numPr>
          <w:ilvl w:val="0"/>
          <w:numId w:val="7"/>
        </w:numPr>
      </w:pPr>
      <w:r>
        <w:t>Se incluyeron como evidencia complementaria estudios que evaluaron el uso profiláctico de misoprostol por otras vías de administración o durante la cesárea, cuando aportaron resultados sobre eficacia o seguridad.</w:t>
      </w:r>
    </w:p>
    <w:p w14:paraId="5A557665" w14:textId="77777777" w:rsidR="00012D41" w:rsidRDefault="00012D41" w:rsidP="00012D41">
      <w:pPr>
        <w:pStyle w:val="Prrafodelista"/>
        <w:numPr>
          <w:ilvl w:val="0"/>
          <w:numId w:val="7"/>
        </w:numPr>
      </w:pPr>
      <w:r>
        <w:t>Se consideraron estudios realizados en países de América Latina y estudios multicéntricos internacionales que incluyeron al menos un centro latinoamericano, siempre que los datos correspondientes a la región pudieran identificarse o extraerse por separado.</w:t>
      </w:r>
    </w:p>
    <w:p w14:paraId="1BABF7FB" w14:textId="77777777" w:rsidR="00012D41" w:rsidRDefault="00012D41" w:rsidP="00012D41">
      <w:pPr>
        <w:pStyle w:val="Prrafodelista"/>
        <w:numPr>
          <w:ilvl w:val="0"/>
          <w:numId w:val="7"/>
        </w:numPr>
      </w:pPr>
      <w:r>
        <w:t>Se incluyeron ensayos clínicos aleatorizados, ensayos clínicos no aleatorizados, estudios cuasiexperimentales y estudios observacionales comparativos.</w:t>
      </w:r>
    </w:p>
    <w:p w14:paraId="2F551241" w14:textId="77777777" w:rsidR="00012D41" w:rsidRDefault="00012D41" w:rsidP="00012D41">
      <w:pPr>
        <w:pStyle w:val="Prrafodelista"/>
        <w:numPr>
          <w:ilvl w:val="0"/>
          <w:numId w:val="7"/>
        </w:numPr>
      </w:pPr>
      <w:r>
        <w:t>Se consideraron estudios que informaron al menos un desenlace de eficacia o seguridad relacionado con la prevención de la hemorragia posparto.</w:t>
      </w:r>
    </w:p>
    <w:p w14:paraId="6DAA18AF" w14:textId="77777777" w:rsidR="00012D41" w:rsidRDefault="00012D41" w:rsidP="00012D41">
      <w:pPr>
        <w:pStyle w:val="Prrafodelista"/>
        <w:numPr>
          <w:ilvl w:val="0"/>
          <w:numId w:val="7"/>
        </w:numPr>
      </w:pPr>
      <w:r>
        <w:t>Se aceptaron como desenlaces de eficacia la incidencia de hemorragia posparto, el volumen de pérdida sanguínea, la duración del alumbramiento, la atonía o hipotonía uterina, los cambios en hemoglobina o hematocrito, la necesidad de uterotónicos adicionales, la transfusión sanguínea y otras intervenciones requeridas para controlar el sangrado.</w:t>
      </w:r>
    </w:p>
    <w:p w14:paraId="3181DFF2" w14:textId="77777777" w:rsidR="00012D41" w:rsidRDefault="00012D41" w:rsidP="00012D41">
      <w:pPr>
        <w:pStyle w:val="Prrafodelista"/>
        <w:numPr>
          <w:ilvl w:val="0"/>
          <w:numId w:val="7"/>
        </w:numPr>
      </w:pPr>
      <w:r>
        <w:t>Se consideraron como desenlaces de seguridad los efectos adversos maternos, incluidos fiebre, escalofríos, temblores, náuseas, vómitos, diarrea, dolor abdominal y otras reacciones atribuidas al misoprostol.</w:t>
      </w:r>
    </w:p>
    <w:p w14:paraId="5E790FD1" w14:textId="77777777" w:rsidR="00012D41" w:rsidRDefault="00012D41" w:rsidP="00012D41">
      <w:pPr>
        <w:pStyle w:val="Prrafodelista"/>
        <w:numPr>
          <w:ilvl w:val="0"/>
          <w:numId w:val="7"/>
        </w:numPr>
      </w:pPr>
      <w:r>
        <w:t>Se incluyeron estudios publicados desde enero de 2000 hasta la fecha de cierre de la búsqueda, sin restricción por idioma.</w:t>
      </w:r>
    </w:p>
    <w:p w14:paraId="6560BB03" w14:textId="77777777" w:rsidR="00012D41" w:rsidRDefault="00012D41" w:rsidP="00012D41">
      <w:pPr>
        <w:pStyle w:val="Prrafodelista"/>
        <w:numPr>
          <w:ilvl w:val="0"/>
          <w:numId w:val="7"/>
        </w:numPr>
      </w:pPr>
      <w:r>
        <w:lastRenderedPageBreak/>
        <w:t>Se consideraron artículos publicados en revistas científicas y documentos de literatura gris que proporcionaron información metodológica y clínica suficiente para valorar su elegibilidad.</w:t>
      </w:r>
    </w:p>
    <w:p w14:paraId="4AF3461E" w14:textId="77777777" w:rsidR="00012D41" w:rsidRDefault="00012D41" w:rsidP="00012D41">
      <w:pPr>
        <w:pStyle w:val="Ttulo3"/>
      </w:pPr>
      <w:bookmarkStart w:id="31" w:name="_Toc235815366"/>
      <w:r>
        <w:t>Criterios de exclusión</w:t>
      </w:r>
      <w:bookmarkEnd w:id="31"/>
    </w:p>
    <w:p w14:paraId="71D5D98B" w14:textId="77777777" w:rsidR="00012D41" w:rsidRDefault="00012D41" w:rsidP="00012D41">
      <w:pPr>
        <w:pStyle w:val="Prrafodelista"/>
        <w:numPr>
          <w:ilvl w:val="0"/>
          <w:numId w:val="8"/>
        </w:numPr>
      </w:pPr>
      <w:r>
        <w:t>Se excluyeron estudios en los que el misoprostol fue utilizado exclusivamente para tratar una hemorragia posparto ya establecida.</w:t>
      </w:r>
    </w:p>
    <w:p w14:paraId="340791DF" w14:textId="77777777" w:rsidR="00012D41" w:rsidRDefault="00012D41" w:rsidP="00012D41">
      <w:pPr>
        <w:pStyle w:val="Prrafodelista"/>
        <w:numPr>
          <w:ilvl w:val="0"/>
          <w:numId w:val="8"/>
        </w:numPr>
      </w:pPr>
      <w:r>
        <w:t>Se excluyeron estudios en los que no fue posible diferenciar el uso profiláctico del misoprostol de su utilización terapéutica.</w:t>
      </w:r>
    </w:p>
    <w:p w14:paraId="2173F2E7" w14:textId="77777777" w:rsidR="00012D41" w:rsidRDefault="00012D41" w:rsidP="00012D41">
      <w:pPr>
        <w:pStyle w:val="Prrafodelista"/>
        <w:numPr>
          <w:ilvl w:val="0"/>
          <w:numId w:val="8"/>
        </w:numPr>
      </w:pPr>
      <w:r>
        <w:t>Se excluyeron investigaciones sobre misoprostol utilizado para inducción del trabajo de parto, maduración cervical, aborto u otras indicaciones diferentes de la prevención de la hemorragia posparto.</w:t>
      </w:r>
    </w:p>
    <w:p w14:paraId="783A480E" w14:textId="77777777" w:rsidR="00012D41" w:rsidRDefault="00012D41" w:rsidP="00012D41">
      <w:pPr>
        <w:pStyle w:val="Prrafodelista"/>
        <w:numPr>
          <w:ilvl w:val="0"/>
          <w:numId w:val="8"/>
        </w:numPr>
      </w:pPr>
      <w:r>
        <w:t>Se excluyeron estudios que no incluyeron un grupo de mujeres que hubiera recibido misoprostol con finalidad profiláctica.</w:t>
      </w:r>
    </w:p>
    <w:p w14:paraId="6EEB2D81" w14:textId="77777777" w:rsidR="00012D41" w:rsidRDefault="00012D41" w:rsidP="00012D41">
      <w:pPr>
        <w:pStyle w:val="Prrafodelista"/>
        <w:numPr>
          <w:ilvl w:val="0"/>
          <w:numId w:val="8"/>
        </w:numPr>
      </w:pPr>
      <w:r>
        <w:t>Se excluyeron estudios realizados fuera de América Latina y estudios multicéntricos cuyos resultados correspondientes a la población latinoamericana no pudieron identificarse o extraerse por separado.</w:t>
      </w:r>
    </w:p>
    <w:p w14:paraId="4F3DA7C5" w14:textId="77777777" w:rsidR="00012D41" w:rsidRDefault="00012D41" w:rsidP="00012D41">
      <w:pPr>
        <w:pStyle w:val="Prrafodelista"/>
        <w:numPr>
          <w:ilvl w:val="0"/>
          <w:numId w:val="8"/>
        </w:numPr>
      </w:pPr>
      <w:r>
        <w:t>Se excluyeron estudios que no informaron ningún desenlace de eficacia o seguridad relacionado con la prevención de la hemorragia posparto.</w:t>
      </w:r>
    </w:p>
    <w:p w14:paraId="0B5A1ECA" w14:textId="77777777" w:rsidR="00012D41" w:rsidRDefault="00012D41" w:rsidP="00012D41">
      <w:pPr>
        <w:pStyle w:val="Prrafodelista"/>
        <w:numPr>
          <w:ilvl w:val="0"/>
          <w:numId w:val="8"/>
        </w:numPr>
      </w:pPr>
      <w:r>
        <w:t>No se incluyeron revisiones sistemáticas, metaanálisis, revisiones narrativas, guías clínicas, editoriales, cartas al editor, protocolos de investigación, reportes de caso ni series de casos.</w:t>
      </w:r>
    </w:p>
    <w:p w14:paraId="1A4FF1BB" w14:textId="2F9E02CB" w:rsidR="002104E2" w:rsidRDefault="00012D41" w:rsidP="00012D41">
      <w:pPr>
        <w:pStyle w:val="Prrafodelista"/>
        <w:numPr>
          <w:ilvl w:val="0"/>
          <w:numId w:val="8"/>
        </w:numPr>
      </w:pPr>
      <w:r>
        <w:t>Cuando se identificaron varias publicaciones derivadas de un mismo estudio, se seleccionó la versión más completa o con mayor información metodológica y clínica, para evitar la duplicación de participantes.</w:t>
      </w:r>
    </w:p>
    <w:p w14:paraId="07F94883" w14:textId="77777777" w:rsidR="002104E2" w:rsidRDefault="002104E2" w:rsidP="002104E2">
      <w:pPr>
        <w:pStyle w:val="Ttulo2"/>
      </w:pPr>
      <w:bookmarkStart w:id="32" w:name="_Toc235815367"/>
      <w:r>
        <w:t>Fuentes de información y estrategia de búsqueda</w:t>
      </w:r>
      <w:bookmarkEnd w:id="32"/>
    </w:p>
    <w:p w14:paraId="157F6190" w14:textId="243C9136" w:rsidR="00012D41" w:rsidRDefault="00012D41" w:rsidP="00012D41">
      <w:r>
        <w:t>Se realizó una búsqueda bibliográfica sistemática en las bases de datos electrónicas PubMed, LILACS, SciELO y Redalyc. La inclusión de LILACS, SciELO y Redalyc permitió ampliar la identificación de investigaciones desarrolladas en América Latina y publicadas en fuentes regionales.</w:t>
      </w:r>
      <w:r w:rsidR="0047036E">
        <w:t xml:space="preserve"> La estrategia completa de búsqueda se detalla en el anexo 1.</w:t>
      </w:r>
    </w:p>
    <w:p w14:paraId="52CE7BB9" w14:textId="77777777" w:rsidR="00012D41" w:rsidRDefault="00012D41" w:rsidP="00012D41"/>
    <w:p w14:paraId="566D3AB4" w14:textId="77777777" w:rsidR="00012D41" w:rsidRDefault="00012D41" w:rsidP="00012D41">
      <w:r>
        <w:lastRenderedPageBreak/>
        <w:t>La búsqueda comprendió estudios publicados desde enero de 2000 hasta la fecha de cierre establecida para la revisión, sin restricción por idioma. Las estrategias se adaptaron a la estructura, el funcionamiento y las características de cada base de datos.</w:t>
      </w:r>
    </w:p>
    <w:p w14:paraId="275FBB03" w14:textId="77777777" w:rsidR="00012D41" w:rsidRDefault="00012D41" w:rsidP="00012D41">
      <w:r>
        <w:t>Se utilizaron términos libres en español e inglés relacionados con misoprostol, hemorragia posparto, sangrado, prevención, parto, cesárea, ensayo clínico, vía sublingual, vía oral y América Latina. También se incorporaron términos correspondientes a los países y subregiones latinoamericanas. Los conceptos se combinaron mediante los operadores booleanos AND y OR, según los requerimientos de cada fuente de información.</w:t>
      </w:r>
    </w:p>
    <w:p w14:paraId="03079C56" w14:textId="77777777" w:rsidR="00012D41" w:rsidRDefault="00012D41" w:rsidP="00012D41">
      <w:r>
        <w:t xml:space="preserve">En PubMed se emplearon combinaciones de los términos misoprostol, </w:t>
      </w:r>
      <w:proofErr w:type="spellStart"/>
      <w:r>
        <w:t>postpartum</w:t>
      </w:r>
      <w:proofErr w:type="spellEnd"/>
      <w:r>
        <w:t xml:space="preserve"> </w:t>
      </w:r>
      <w:proofErr w:type="spellStart"/>
      <w:r>
        <w:t>hemorrhage</w:t>
      </w:r>
      <w:proofErr w:type="spellEnd"/>
      <w:r>
        <w:t xml:space="preserve">, </w:t>
      </w:r>
      <w:proofErr w:type="spellStart"/>
      <w:r>
        <w:t>postpartum</w:t>
      </w:r>
      <w:proofErr w:type="spellEnd"/>
      <w:r>
        <w:t xml:space="preserve"> </w:t>
      </w:r>
      <w:proofErr w:type="spellStart"/>
      <w:r>
        <w:t>haemorrhage</w:t>
      </w:r>
      <w:proofErr w:type="spellEnd"/>
      <w:r>
        <w:t xml:space="preserve">, </w:t>
      </w:r>
      <w:proofErr w:type="spellStart"/>
      <w:r>
        <w:t>bleeding</w:t>
      </w:r>
      <w:proofErr w:type="spellEnd"/>
      <w:r>
        <w:t xml:space="preserve">, </w:t>
      </w:r>
      <w:proofErr w:type="spellStart"/>
      <w:r>
        <w:t>clinical</w:t>
      </w:r>
      <w:proofErr w:type="spellEnd"/>
      <w:r>
        <w:t xml:space="preserve"> trial y trial, junto con términos geográficos relacionados con América Latina, América del Sur, América Central, el Caribe y los países de la región. En LILACS, SciELO y Redalyc se utilizaron combinaciones de los términos “misoprostol”, “hemorragia posparto”, “hemorragia postparto”, “parto”, “cesárea”, “sublingual” y “oral”. Las estrategias completas aplicadas en cada base de datos se presentaron en el Anexo 2.</w:t>
      </w:r>
    </w:p>
    <w:p w14:paraId="2472AC49" w14:textId="77777777" w:rsidR="00012D41" w:rsidRDefault="00012D41" w:rsidP="00012D41">
      <w:r>
        <w:t>Las estrategias no se limitaron a la presencia simultánea de los términos “sublingual” y “oral”, con el propósito de identificar tanto estudios que compararan directamente ambas vías como investigaciones que evaluaran por separado la eficacia o la seguridad del misoprostol sublingual o del misoprostol oral.</w:t>
      </w:r>
    </w:p>
    <w:p w14:paraId="1289EE16" w14:textId="77777777" w:rsidR="00012D41" w:rsidRDefault="00012D41" w:rsidP="00012D41">
      <w:r>
        <w:t>De manera complementaria, se revisaron manualmente las listas de referencias de los estudios seleccionados, de revisiones sistemáticas relacionadas con el tema y de otras publicaciones relevantes. Los registros identificados mediante esta búsqueda complementaria fueron sometidos a los mismos criterios de elegibilidad aplicados a los registros recuperados de las bases de datos.</w:t>
      </w:r>
    </w:p>
    <w:p w14:paraId="401C5DCE" w14:textId="5F742846" w:rsidR="002104E2" w:rsidRDefault="00012D41" w:rsidP="00012D41">
      <w:r>
        <w:t>Para favorecer la reproducibilidad del proceso, se documentaron las bases consultadas, las estrategias utilizadas, el periodo cubierto y la fecha de ejecución de las búsquedas. Los registros recuperados fueron reunidos en una sola base y se eliminaron las publicaciones duplicadas antes de iniciar el proceso de cribado por título y resumen.</w:t>
      </w:r>
    </w:p>
    <w:p w14:paraId="1B478619" w14:textId="77777777" w:rsidR="002104E2" w:rsidRDefault="002104E2" w:rsidP="002104E2">
      <w:pPr>
        <w:pStyle w:val="Ttulo2"/>
      </w:pPr>
      <w:bookmarkStart w:id="33" w:name="_Toc235815368"/>
      <w:r>
        <w:lastRenderedPageBreak/>
        <w:t>Proceso de selección de estudios</w:t>
      </w:r>
      <w:bookmarkEnd w:id="33"/>
    </w:p>
    <w:p w14:paraId="35E2B1A0" w14:textId="77777777" w:rsidR="004C4B36" w:rsidRDefault="004C4B36" w:rsidP="004C4B36">
      <w:r>
        <w:t>Los registros recuperados mediante la búsqueda electrónica fueron reunidos en una sola base de datos para facilitar su organización. Antes del cribado, se identificaron y eliminaron las publicaciones duplicadas.</w:t>
      </w:r>
    </w:p>
    <w:p w14:paraId="29E4B186" w14:textId="77777777" w:rsidR="004C4B36" w:rsidRDefault="004C4B36" w:rsidP="004C4B36">
      <w:r>
        <w:t>Posteriormente, se examinaron los títulos y resúmenes de los registros restantes mediante la aplicación de los criterios de inclusión y exclusión previamente establecidos. Los registros que parecieron cumplir los criterios o que no proporcionaron información suficiente para tomar una decisión durante esta etapa fueron seleccionados para su revisión a texto completo.</w:t>
      </w:r>
    </w:p>
    <w:p w14:paraId="224E3E82" w14:textId="77777777" w:rsidR="004C4B36" w:rsidRDefault="004C4B36" w:rsidP="004C4B36">
      <w:r>
        <w:t>Los documentos recuperados a texto completo fueron evaluados para confirmar la correspondencia de la población, el uso profiláctico del misoprostol, la vía de administración, el comparador, los desenlaces informados, el diseño metodológico y el contexto geográfico con los criterios de elegibilidad. Los casos dudosos fueron revisados nuevamente mediante la aplicación estricta de estos criterios. También se registraron los documentos cuyo texto completo no pudo recuperarse y las razones de exclusión de las publicaciones evaluadas en la fase de elegibilidad.</w:t>
      </w:r>
    </w:p>
    <w:p w14:paraId="36EEB4DE" w14:textId="77777777" w:rsidR="004C4B36" w:rsidRDefault="004C4B36" w:rsidP="004C4B36">
      <w:r>
        <w:t>Los registros identificados mediante la revisión manual de las listas de referencias de los estudios seleccionados, revisiones sistemáticas y otras publicaciones relacionadas fueron evaluados mediante los mismos criterios aplicados a los registros procedentes de las bases de datos.</w:t>
      </w:r>
    </w:p>
    <w:p w14:paraId="6424B136" w14:textId="1E8DF8D6" w:rsidR="002104E2" w:rsidRDefault="004C4B36" w:rsidP="004C4B36">
      <w:r>
        <w:t>El proceso de identificación, eliminación de duplicados, cribado, recuperación, evaluación de la elegibilidad e inclusión de los estudios fue documentado mediante un diagrama de flujo elaborado conforme a las directrices de PRISMA 2020.</w:t>
      </w:r>
    </w:p>
    <w:p w14:paraId="5812311A" w14:textId="77777777" w:rsidR="002104E2" w:rsidRDefault="002104E2" w:rsidP="002104E2">
      <w:pPr>
        <w:pStyle w:val="Ttulo2"/>
      </w:pPr>
      <w:bookmarkStart w:id="34" w:name="_Toc235815369"/>
      <w:r>
        <w:t>Extracción de datos</w:t>
      </w:r>
      <w:bookmarkEnd w:id="34"/>
    </w:p>
    <w:p w14:paraId="7D1E4E15" w14:textId="6D27A97F" w:rsidR="004C4B36" w:rsidRDefault="004C4B36" w:rsidP="004C4B36">
      <w:r>
        <w:t>Se diseñaron matrices estructuradas para organizar de manera uniforme la información de los estudios incluidos</w:t>
      </w:r>
      <w:r w:rsidR="0047036E">
        <w:t xml:space="preserve"> (ver anexo 2)</w:t>
      </w:r>
      <w:r>
        <w:t>. Se utilizó una matriz general para registrar las características bibliográficas, metodológicas y clínicas, y una matriz específica para recopilar los resultados de eficacia y seguridad relacionados con el uso profiláctico del misoprostol. Las matrices empleadas se presentaron en el Anexo 3.</w:t>
      </w:r>
    </w:p>
    <w:p w14:paraId="0EA66FEC" w14:textId="77777777" w:rsidR="004C4B36" w:rsidRDefault="004C4B36" w:rsidP="004C4B36"/>
    <w:p w14:paraId="2220609E" w14:textId="77777777" w:rsidR="004C4B36" w:rsidRDefault="004C4B36" w:rsidP="004C4B36">
      <w:r>
        <w:lastRenderedPageBreak/>
        <w:t>De cada estudio se extrajeron el autor, el año de publicación, el país y centro de realización, el periodo en que se desarrolló la investigación, el propósito del estudio, el diseño metodológico, el tamaño de la muestra y las características de la población. También se registraron los criterios de inclusión y exclusión establecidos por los autores, el tipo de parto, la edad gestacional y las características obstétricas relevantes cuando esta información estuvo disponible.</w:t>
      </w:r>
    </w:p>
    <w:p w14:paraId="30553E86" w14:textId="77777777" w:rsidR="004C4B36" w:rsidRDefault="004C4B36" w:rsidP="004C4B36">
      <w:r>
        <w:t xml:space="preserve">En relación con las intervenciones, se documentaron la vía de administración del misoprostol, la dosis, el momento de administración, el número de dosis, el uso concomitante de oxitocina u otros uterotónicos y las condiciones en las que se administró el medicamento. Para los grupos comparadores se registraron el fármaco o placebo utilizado, la dosis, la vía de administración, el momento de aplicación y las </w:t>
      </w:r>
      <w:proofErr w:type="spellStart"/>
      <w:r>
        <w:t>cointervenciones</w:t>
      </w:r>
      <w:proofErr w:type="spellEnd"/>
      <w:r>
        <w:t xml:space="preserve"> informadas.</w:t>
      </w:r>
    </w:p>
    <w:p w14:paraId="78AF7712" w14:textId="77777777" w:rsidR="004C4B36" w:rsidRDefault="004C4B36" w:rsidP="004C4B36">
      <w:r>
        <w:t>La extracción no se limitó a la comparación directa entre misoprostol sublingual y oral. También se recopilaron los datos de los estudios que evaluaron separadamente alguna de estas vías frente a oxitocina, placebo o diferentes dosis de misoprostol, así como la información procedente de los estudios complementarios sobre otras vías de administración o cesárea.</w:t>
      </w:r>
    </w:p>
    <w:p w14:paraId="5692AA41" w14:textId="77777777" w:rsidR="004C4B36" w:rsidRDefault="004C4B36" w:rsidP="004C4B36">
      <w:r>
        <w:t>Para los desenlaces de eficacia se registraron la definición de hemorragia posparto empleada por cada estudio, el número de eventos y el total de participantes por grupo, el volumen medio de pérdida sanguínea, la duración del alumbramiento, la atonía o hipotonía uterina, los cambios en hemoglobina y hematocrito, la necesidad de uterotónicos adicionales, la transfusión sanguínea, la retención placentaria o de restos y otras intervenciones requeridas para controlar el sangrado.</w:t>
      </w:r>
    </w:p>
    <w:p w14:paraId="64E1F7BD" w14:textId="77777777" w:rsidR="004C4B36" w:rsidRDefault="004C4B36" w:rsidP="004C4B36">
      <w:r>
        <w:t>Para la evaluación de la seguridad se extrajeron la frecuencia y el tipo de reacciones adversas maternas, entre ellas fiebre, escalofríos, temblores, náuseas, vómitos, diarrea, dolor abdominal, mareos y cualquier complicación atribuida al medicamento.</w:t>
      </w:r>
    </w:p>
    <w:p w14:paraId="6C08F5A1" w14:textId="77777777" w:rsidR="004C4B36" w:rsidRDefault="004C4B36" w:rsidP="004C4B36">
      <w:r>
        <w:t xml:space="preserve">También se recopilaron las medidas de efecto, los intervalos de confianza y los valores de significancia estadística informados por los autores. Cuando los estudios proporcionaron el número de eventos y el tamaño de la muestra, se calcularon las proporciones </w:t>
      </w:r>
      <w:r>
        <w:lastRenderedPageBreak/>
        <w:t>correspondientes y sus intervalos de confianza del 95 % para la síntesis descriptiva y los análisis exploratorios.</w:t>
      </w:r>
    </w:p>
    <w:p w14:paraId="6D3262B3" w14:textId="3284751F" w:rsidR="002104E2" w:rsidRDefault="004C4B36" w:rsidP="004C4B36">
      <w:r>
        <w:t>Los datos extraídos fueron organizados en tablas que permitieron describir las características metodológicas, clínicas y terapéuticas de los estudios, resumir sus resultados de eficacia y seguridad y valorar la posibilidad de combinar estadísticamente sus estimaciones</w:t>
      </w:r>
      <w:r w:rsidR="002104E2">
        <w:t>.</w:t>
      </w:r>
    </w:p>
    <w:p w14:paraId="410151A8" w14:textId="77777777" w:rsidR="002104E2" w:rsidRDefault="002104E2" w:rsidP="002104E2">
      <w:pPr>
        <w:pStyle w:val="Ttulo2"/>
      </w:pPr>
      <w:bookmarkStart w:id="35" w:name="_Toc235815370"/>
      <w:r>
        <w:t>Evaluación del riesgo de sesgo</w:t>
      </w:r>
      <w:bookmarkEnd w:id="35"/>
    </w:p>
    <w:p w14:paraId="2D1D8AA7" w14:textId="77777777" w:rsidR="004C4B36" w:rsidRDefault="004C4B36" w:rsidP="004C4B36">
      <w:r>
        <w:t xml:space="preserve">El riesgo de sesgo fue evaluado de acuerdo con el diseño metodológico de los estudios incluidos. En los ensayos clínicos aleatorizados se aplicó la herramienta Cochrane </w:t>
      </w:r>
      <w:proofErr w:type="spellStart"/>
      <w:r>
        <w:t>Risk</w:t>
      </w:r>
      <w:proofErr w:type="spellEnd"/>
      <w:r>
        <w:t xml:space="preserve"> </w:t>
      </w:r>
      <w:proofErr w:type="spellStart"/>
      <w:r>
        <w:t>of</w:t>
      </w:r>
      <w:proofErr w:type="spellEnd"/>
      <w:r>
        <w:t xml:space="preserve"> </w:t>
      </w:r>
      <w:proofErr w:type="spellStart"/>
      <w:r>
        <w:t>Bias</w:t>
      </w:r>
      <w:proofErr w:type="spellEnd"/>
      <w:r>
        <w:t xml:space="preserve"> 2 (</w:t>
      </w:r>
      <w:proofErr w:type="spellStart"/>
      <w:r>
        <w:t>RoB</w:t>
      </w:r>
      <w:proofErr w:type="spellEnd"/>
      <w:r>
        <w:t xml:space="preserve"> 2).</w:t>
      </w:r>
    </w:p>
    <w:p w14:paraId="43453FCD" w14:textId="77777777" w:rsidR="004C4B36" w:rsidRDefault="004C4B36" w:rsidP="004C4B36">
      <w:r>
        <w:t>La evaluación comprendió cinco dominios: sesgo derivado del proceso de aleatorización, sesgo debido a desviaciones de las intervenciones previstas, sesgo relacionado con datos faltantes de los desenlaces, sesgo en la medición de los resultados y sesgo en la selección del resultado informado. Cada dominio y el juicio global fueron clasificados como bajo riesgo, algunas preocupaciones o alto riesgo de sesgo.</w:t>
      </w:r>
    </w:p>
    <w:p w14:paraId="64EFFEEC" w14:textId="77777777" w:rsidR="004C4B36" w:rsidRDefault="004C4B36" w:rsidP="004C4B36">
      <w:r>
        <w:t xml:space="preserve">La herramienta </w:t>
      </w:r>
      <w:proofErr w:type="spellStart"/>
      <w:r>
        <w:t>RoB</w:t>
      </w:r>
      <w:proofErr w:type="spellEnd"/>
      <w:r>
        <w:t xml:space="preserve"> 2 no fue aplicada a los estudios que utilizaron asignación no aleatoria, debido a que no resultaba metodológicamente apropiada para estos diseños. Sus principales limitaciones fueron valoradas cualitativamente considerando aspectos relacionados con la confusión, la selección de participantes, la asignación de las intervenciones, la ausencia de cegamiento, la medición de los desenlaces y la selección de los resultados informados, tomando como referencia los dominios generales de ROBINS-I.</w:t>
      </w:r>
    </w:p>
    <w:p w14:paraId="14E7C086" w14:textId="77777777" w:rsidR="004C4B36" w:rsidRDefault="004C4B36" w:rsidP="004C4B36">
      <w:r>
        <w:t>La información necesaria para la evaluación se obtuvo de la descripción metodológica, las tablas, los resultados y los anexos de cada publicación. Cuando no se encontró información suficiente sobre un dominio, esta ausencia fue considerada al formular el juicio correspondiente.</w:t>
      </w:r>
    </w:p>
    <w:p w14:paraId="0E67F148" w14:textId="1A6649E8" w:rsidR="002104E2" w:rsidRDefault="004C4B36" w:rsidP="004C4B36">
      <w:r>
        <w:t>Los resultados fueron presentados en una tabla por estudio y dominio, además de una representación gráfica que permitió visualizar la distribución de los juicios de riesgo de sesgo. Esta evaluación se tomó en cuenta para interpretar la solidez y las limitaciones de los hallazgos</w:t>
      </w:r>
      <w:r w:rsidR="002104E2">
        <w:t>.</w:t>
      </w:r>
    </w:p>
    <w:p w14:paraId="44A0126D" w14:textId="77777777" w:rsidR="002104E2" w:rsidRDefault="002104E2" w:rsidP="002104E2">
      <w:pPr>
        <w:pStyle w:val="Ttulo2"/>
      </w:pPr>
      <w:bookmarkStart w:id="36" w:name="_Toc235815371"/>
      <w:r>
        <w:lastRenderedPageBreak/>
        <w:t>Métodos de síntesis</w:t>
      </w:r>
      <w:bookmarkEnd w:id="36"/>
    </w:p>
    <w:p w14:paraId="5CFA3491" w14:textId="77777777" w:rsidR="004C4B36" w:rsidRDefault="004C4B36" w:rsidP="004C4B36">
      <w:r>
        <w:t>En una primera etapa se realizó una síntesis narrativa de todos los estudios incluidos. Los estudios fueron organizados según la vía de administración del misoprostol, el tipo de parto, la dosis utilizada, el comparador y los desenlaces evaluados.</w:t>
      </w:r>
    </w:p>
    <w:p w14:paraId="20ACAD07" w14:textId="77777777" w:rsidR="004C4B36" w:rsidRDefault="004C4B36" w:rsidP="004C4B36">
      <w:r>
        <w:t>La evidencia comparativa directa entre misoprostol sublingual y oral fue examinada de manera prioritaria. Cuando los estudios no compararon directamente ambas vías, la eficacia y la seguridad se describieron a partir de los resultados observados separadamente en las investigaciones sobre misoprostol sublingual y misoprostol oral. Los estudios sobre otras vías de administración o realizados durante cesárea fueron sintetizados como evidencia complementaria.</w:t>
      </w:r>
    </w:p>
    <w:p w14:paraId="333A5F90" w14:textId="77777777" w:rsidR="004C4B36" w:rsidRDefault="004C4B36" w:rsidP="004C4B36">
      <w:r>
        <w:t>Se describieron las diferencias entre los estudios en cuanto a diseño, población, dosis, momento de administración, comparadores, métodos de medición de la pérdida sanguínea y definiciones de hemorragia posparto. La definición del desenlace utilizada por cada investigación fue conservada durante la extracción y la síntesis. Los eventos relacionados con la hemorragia posparto, como la hipotonía uterina, fueron identificados de manera diferenciada y no se consideraron equivalentes a una hemorragia confirmada mediante un umbral cuantificado de pérdida sanguínea.</w:t>
      </w:r>
    </w:p>
    <w:p w14:paraId="42E36DBB" w14:textId="77777777" w:rsidR="004C4B36" w:rsidRDefault="004C4B36" w:rsidP="004C4B36">
      <w:r>
        <w:t xml:space="preserve">La viabilidad de realizar un </w:t>
      </w:r>
      <w:proofErr w:type="spellStart"/>
      <w:r>
        <w:t>metanálisis</w:t>
      </w:r>
      <w:proofErr w:type="spellEnd"/>
      <w:r>
        <w:t xml:space="preserve"> comparativo fue valorada considerando la disponibilidad de al menos dos estudios con intervenciones, comparadores, poblaciones, diseños y definiciones de desenlace suficientemente semejantes. Cuando estas condiciones no se cumplieron, los resultados comparativos fueron presentados mediante una síntesis narrativa estructurada.</w:t>
      </w:r>
    </w:p>
    <w:p w14:paraId="4929F579" w14:textId="77777777" w:rsidR="004C4B36" w:rsidRDefault="004C4B36" w:rsidP="004C4B36">
      <w:r>
        <w:t xml:space="preserve">De manera exploratoria, se realizaron </w:t>
      </w:r>
      <w:proofErr w:type="spellStart"/>
      <w:r>
        <w:t>metanálisis</w:t>
      </w:r>
      <w:proofErr w:type="spellEnd"/>
      <w:r>
        <w:t xml:space="preserve"> de proporciones separados para los estudios de misoprostol sublingual y oral que proporcionaron el número de eventos y el total de participantes expuestos. Cuando un estudio evaluó varias dosis, cada grupo fue incorporado como una estimación separada; la falta de independencia entre los grupos procedentes de una misma investigación fue considerada al interpretar los resultados.</w:t>
      </w:r>
    </w:p>
    <w:p w14:paraId="44D197AC" w14:textId="77777777" w:rsidR="004C4B36" w:rsidRDefault="004C4B36" w:rsidP="004C4B36">
      <w:r>
        <w:t xml:space="preserve">Para cada vía se estimaron proporciones combinadas con intervalos de confianza del 95 % mediante modelos de efectos fijos y de efectos aleatorios. El modelo de efectos aleatorios se </w:t>
      </w:r>
      <w:r>
        <w:lastRenderedPageBreak/>
        <w:t>consideró principal cuando existió heterogeneidad clínica o estadística relevante. La heterogeneidad se examinó mediante la prueba Q de Cochran, el estadístico I² y la estimación de τ². Un valor de I² igual o superior al 50 % fue considerado indicativo de heterogeneidad relevante.</w:t>
      </w:r>
    </w:p>
    <w:p w14:paraId="06AFC222" w14:textId="1F486F38" w:rsidR="002104E2" w:rsidRDefault="004C4B36" w:rsidP="004C4B36">
      <w:r>
        <w:t xml:space="preserve">En los estudios sin eventos se aplicó una corrección de continuidad de 0,5 para permitir su incorporación al análisis. Las estimaciones individuales y combinadas fueron representadas mediante diagramas de bosque. Los </w:t>
      </w:r>
      <w:proofErr w:type="spellStart"/>
      <w:r>
        <w:t>metanálisis</w:t>
      </w:r>
      <w:proofErr w:type="spellEnd"/>
      <w:r>
        <w:t xml:space="preserve"> de proporciones se utilizaron únicamente para resumir de manera exploratoria la frecuencia de eventos dentro de cada vía y no como una comparación indirecta de la efectividad del misoprostol sublingual frente al oral</w:t>
      </w:r>
      <w:r w:rsidR="002104E2">
        <w:t>.</w:t>
      </w:r>
    </w:p>
    <w:p w14:paraId="1FB74AB3" w14:textId="77777777" w:rsidR="002104E2" w:rsidRDefault="002104E2" w:rsidP="002104E2">
      <w:pPr>
        <w:pStyle w:val="Ttulo2"/>
      </w:pPr>
      <w:bookmarkStart w:id="37" w:name="_Toc235815372"/>
      <w:r>
        <w:t>Evaluación del sesgo de publicación</w:t>
      </w:r>
      <w:bookmarkEnd w:id="37"/>
    </w:p>
    <w:p w14:paraId="472B5575" w14:textId="2181E711" w:rsidR="004C4B36" w:rsidRDefault="004C4B36" w:rsidP="004C4B36">
      <w:r>
        <w:t xml:space="preserve">El posible sesgo de publicación fue explorado mediante gráficos de embudo elaborados para los </w:t>
      </w:r>
      <w:proofErr w:type="spellStart"/>
      <w:r>
        <w:t>metanálisis</w:t>
      </w:r>
      <w:proofErr w:type="spellEnd"/>
      <w:r>
        <w:t xml:space="preserve"> de proporciones según la vía de administración. La simetría de la distribución de las estimaciones se examinó visualmente en relación con su precisión.</w:t>
      </w:r>
    </w:p>
    <w:p w14:paraId="647A4750" w14:textId="77777777" w:rsidR="004C4B36" w:rsidRDefault="004C4B36" w:rsidP="004C4B36">
      <w:r>
        <w:t xml:space="preserve">En el análisis correspondiente al misoprostol sublingual también se aplicaron, con finalidad exploratoria, la prueba de regresión de </w:t>
      </w:r>
      <w:proofErr w:type="spellStart"/>
      <w:r>
        <w:t>Egger</w:t>
      </w:r>
      <w:proofErr w:type="spellEnd"/>
      <w:r>
        <w:t xml:space="preserve"> y la prueba de correlación de rangos de Begg. Debido al reducido número de estimaciones y a que algunas procedieron de diferentes grupos de dosis de un mismo estudio, estas pruebas no se consideraron confirmatorias y sus resultados se interpretaron con cautela.</w:t>
      </w:r>
    </w:p>
    <w:p w14:paraId="6F831BBE" w14:textId="20FEA88D" w:rsidR="002104E2" w:rsidRDefault="004C4B36" w:rsidP="002104E2">
      <w:r>
        <w:t>Cuando el número de estudios fue insuficiente para la aplicación válida de pruebas estadísticas de asimetría, la evaluación se limitó a la inspección descriptiva del gráfico de embudo. Se reconoció que cualquier asimetría podía estar relacionada con heterogeneidad clínica y metodológica, diferencias en la definición de los desenlaces, dependencia entre las estimaciones o efectos asociados con el tamaño de los estudios, y no necesariamente con sesgo de publicación</w:t>
      </w:r>
      <w:r w:rsidR="002104E2">
        <w:t>.</w:t>
      </w:r>
    </w:p>
    <w:p w14:paraId="2BD46D16" w14:textId="6BF9B00F" w:rsidR="00D44AED" w:rsidRDefault="00D44AED" w:rsidP="009B4446"/>
    <w:p w14:paraId="64E41A25" w14:textId="1DCBF075" w:rsidR="002104E2" w:rsidRDefault="002104E2" w:rsidP="009B4446"/>
    <w:p w14:paraId="33D48B60" w14:textId="7BF3B7AA" w:rsidR="002104E2" w:rsidRDefault="002104E2" w:rsidP="009B4446"/>
    <w:p w14:paraId="4FD9F423" w14:textId="7777B475" w:rsidR="002104E2" w:rsidRDefault="002104E2" w:rsidP="009B4446"/>
    <w:p w14:paraId="61957351" w14:textId="60D21198" w:rsidR="00676C73" w:rsidRDefault="00676C73" w:rsidP="00676C73">
      <w:pPr>
        <w:pStyle w:val="Ttulo1"/>
      </w:pPr>
      <w:bookmarkStart w:id="38" w:name="_Toc235815373"/>
      <w:r>
        <w:lastRenderedPageBreak/>
        <w:t>Resultados</w:t>
      </w:r>
      <w:bookmarkEnd w:id="38"/>
    </w:p>
    <w:p w14:paraId="0EE06FAF" w14:textId="77777777" w:rsidR="00676C73" w:rsidRDefault="00676C73" w:rsidP="00676C73">
      <w:pPr>
        <w:pStyle w:val="Ttulo2"/>
      </w:pPr>
      <w:bookmarkStart w:id="39" w:name="_Toc235815374"/>
      <w:r>
        <w:t>Resultados del proceso de identificación y selección de estudios</w:t>
      </w:r>
      <w:bookmarkEnd w:id="39"/>
    </w:p>
    <w:p w14:paraId="24BE285F" w14:textId="1E8DF247" w:rsidR="00D9536A" w:rsidRDefault="00D9536A" w:rsidP="00676C73">
      <w:r>
        <w:t>En la siguiente figura 1 se detalla el resultado del proceso de identificación y selección de los estudios de acuerdo a las directrices PRISMA 2020.</w:t>
      </w:r>
    </w:p>
    <w:p w14:paraId="469462C3" w14:textId="77777777" w:rsidR="00D9536A" w:rsidRDefault="00D9536A" w:rsidP="00D9536A">
      <w:pPr>
        <w:pStyle w:val="Descripcin"/>
        <w:rPr>
          <w:b/>
          <w:bCs/>
        </w:rPr>
      </w:pPr>
      <w:bookmarkStart w:id="40" w:name="_Toc235815425"/>
      <w:r>
        <w:t xml:space="preserve">Figura </w:t>
      </w:r>
      <w:r>
        <w:fldChar w:fldCharType="begin"/>
      </w:r>
      <w:r>
        <w:instrText xml:space="preserve"> SEQ Figura \* ARABIC </w:instrText>
      </w:r>
      <w:r>
        <w:fldChar w:fldCharType="separate"/>
      </w:r>
      <w:r>
        <w:rPr>
          <w:noProof/>
        </w:rPr>
        <w:t>1</w:t>
      </w:r>
      <w:r>
        <w:fldChar w:fldCharType="end"/>
      </w:r>
      <w:r>
        <w:t>. Diagrama de flujo del proceso de identificación, cribado, elegibilidad e inclusión de estudios</w:t>
      </w:r>
      <w:bookmarkEnd w:id="40"/>
    </w:p>
    <w:p w14:paraId="459DABEE" w14:textId="77777777" w:rsidR="00D9536A" w:rsidRPr="006F5322" w:rsidRDefault="00D9536A" w:rsidP="00D9536A">
      <w:pPr>
        <w:jc w:val="center"/>
      </w:pPr>
      <w:r>
        <w:rPr>
          <w:noProof/>
        </w:rPr>
        <w:drawing>
          <wp:inline distT="0" distB="0" distL="0" distR="0" wp14:anchorId="542F7495" wp14:editId="15C9652C">
            <wp:extent cx="4629150" cy="482790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5677"/>
                    <a:stretch/>
                  </pic:blipFill>
                  <pic:spPr bwMode="auto">
                    <a:xfrm>
                      <a:off x="0" y="0"/>
                      <a:ext cx="4656149" cy="4856063"/>
                    </a:xfrm>
                    <a:prstGeom prst="rect">
                      <a:avLst/>
                    </a:prstGeom>
                    <a:noFill/>
                    <a:ln>
                      <a:noFill/>
                    </a:ln>
                    <a:extLst>
                      <a:ext uri="{53640926-AAD7-44D8-BBD7-CCE9431645EC}">
                        <a14:shadowObscured xmlns:a14="http://schemas.microsoft.com/office/drawing/2010/main"/>
                      </a:ext>
                    </a:extLst>
                  </pic:spPr>
                </pic:pic>
              </a:graphicData>
            </a:graphic>
          </wp:inline>
        </w:drawing>
      </w:r>
    </w:p>
    <w:p w14:paraId="4CD9A22D" w14:textId="5DD3B273" w:rsidR="00D9536A" w:rsidRPr="00D9536A" w:rsidRDefault="00D9536A" w:rsidP="00D9536A">
      <w:pPr>
        <w:spacing w:after="0" w:line="276" w:lineRule="auto"/>
        <w:rPr>
          <w:sz w:val="18"/>
          <w:szCs w:val="18"/>
        </w:rPr>
      </w:pPr>
      <w:r w:rsidRPr="00D9536A">
        <w:rPr>
          <w:sz w:val="18"/>
          <w:szCs w:val="18"/>
        </w:rPr>
        <w:t>Nota. Diagrama elaborado conforme a la estructura PRISMA 2020. Los registros identificados mediante revisión de referencias y otras publicaciones se presentan como una vía complementaria e independiente de la búsqueda en bases de datos. Los estudios excluidos en la fase de texto completo no cumplieron los criterios de elegibilidad definidos para la revisión.</w:t>
      </w:r>
    </w:p>
    <w:p w14:paraId="1D71DD24" w14:textId="77777777" w:rsidR="00D9536A" w:rsidRDefault="00D9536A" w:rsidP="00D9536A">
      <w:pPr>
        <w:spacing w:after="0" w:line="276" w:lineRule="auto"/>
        <w:rPr>
          <w:b/>
          <w:bCs/>
        </w:rPr>
      </w:pPr>
    </w:p>
    <w:p w14:paraId="4EA2BEA3" w14:textId="2941F9BA" w:rsidR="00676C73" w:rsidRDefault="00676C73" w:rsidP="00676C73">
      <w:r>
        <w:t xml:space="preserve">La búsqueda en PubMed, SciELO, LILACS y Redalyc permitió identificar 140 registros. Después de eliminar 51 duplicados, se examinaron los títulos y resúmenes de 89 publicaciones. Durante esta etapa se excluyeron 57 registros por no cumplir los criterios </w:t>
      </w:r>
      <w:r>
        <w:lastRenderedPageBreak/>
        <w:t>establecidos, por lo que 32 publicaciones fueron seleccionadas para revisión a texto completo.</w:t>
      </w:r>
      <w:r w:rsidR="00D9536A">
        <w:t xml:space="preserve"> </w:t>
      </w:r>
      <w:r>
        <w:t>No fue posible recuperar el texto completo de una publicación. En consecuencia, se evaluaron 31 documentos para determinar su elegibilidad, de los cuales 22 fueron excluidos. Finalmente, nueve estudios cumplieron los criterios de inclusión y fueron incorporados en la revisión. De manera complementaria, se identificaron cinco publicaciones mediante la revisión de referencias de revisiones sistemáticas y otros documentos relacionados; todas fueron evaluadas a texto completo, pero ninguna fue incluida (Figura 1).</w:t>
      </w:r>
    </w:p>
    <w:p w14:paraId="27B4F24D" w14:textId="455D0A89" w:rsidR="00676C73" w:rsidRDefault="00676C73" w:rsidP="00676C73">
      <w:pPr>
        <w:pStyle w:val="Ttulo2"/>
      </w:pPr>
      <w:bookmarkStart w:id="41" w:name="_Toc235815375"/>
      <w:r>
        <w:t>Características generales de los estudios</w:t>
      </w:r>
      <w:bookmarkEnd w:id="41"/>
    </w:p>
    <w:p w14:paraId="04C2DB57" w14:textId="02D24B13" w:rsidR="00676C73" w:rsidRDefault="00676C73" w:rsidP="00676C73">
      <w:r>
        <w:t xml:space="preserve">En la tabla 1 se describe las características generales de los estudios incluidos en la </w:t>
      </w:r>
      <w:proofErr w:type="spellStart"/>
      <w:r>
        <w:t>revision</w:t>
      </w:r>
      <w:proofErr w:type="spellEnd"/>
      <w:r>
        <w:t xml:space="preserve">. Se incluyeron nueve estudios publicados entre 2000 y 2018, realizados en cinco países de América Latina. Perú y México aportaron tres estudios cada uno, mientras que Colombia, Venezuela y Argentina contribuyeron con un estudio respectivamente. El estudio de </w:t>
      </w:r>
      <w:proofErr w:type="spellStart"/>
      <w:r>
        <w:t>Gülmezoglu</w:t>
      </w:r>
      <w:proofErr w:type="spellEnd"/>
      <w:r>
        <w:t xml:space="preserve"> et al. correspondió a un ensayo multicéntrico internacional que incluyó un centro participante en Argentina.</w:t>
      </w:r>
      <w:r w:rsidR="00D9536A">
        <w:t xml:space="preserve"> </w:t>
      </w:r>
      <w:r>
        <w:t>Siete investigaciones fueron descritas como ensayos clínicos aleatorizados, aunque existieron diferencias en el nivel de detalle con el que se informaron la generación de la secuencia, el ocultamiento de la asignación y el cegamiento. Alva et al. emplearon asignación secuencial no aleatoria y Falcón Condezo realizó un estudio cuasiexperimental no aleatorizado (ver tabla 1).</w:t>
      </w:r>
    </w:p>
    <w:p w14:paraId="757994E4" w14:textId="1906CE49" w:rsidR="00676C73" w:rsidRDefault="00676C73" w:rsidP="00676C73">
      <w:r>
        <w:t>Cinco estudios evaluaron misoprostol sublingual, tres incluyeron misoprostol oral y dos investigaron la administración intrauterina como complemento de la oxitocina durante la cesárea. Alva et al. fue el único estudio que comparó directamente las vías sublingual y oral. Los comparadores utilizados incluyeron oxitocina intravenosa o intramuscular, placebo y diferentes dosis de misoprostol (ver tabla 1).</w:t>
      </w:r>
    </w:p>
    <w:p w14:paraId="35249771" w14:textId="77E95A97" w:rsidR="00D9536A" w:rsidRDefault="00D9536A" w:rsidP="00676C73">
      <w:r w:rsidRPr="00D9536A">
        <w:t xml:space="preserve">Los desenlaces evaluados fueron heterogéneos. La mayoría de los estudios cuantificó el volumen de pérdida sanguínea, mientras que algunos informaron la incidencia de hemorragia posparto utilizando umbrales de 500 o 1000 </w:t>
      </w:r>
      <w:proofErr w:type="spellStart"/>
      <w:r w:rsidRPr="00D9536A">
        <w:t>mL</w:t>
      </w:r>
      <w:proofErr w:type="spellEnd"/>
      <w:r w:rsidRPr="00D9536A">
        <w:t>. También se evaluaron duración del alumbramiento, cambios en hemoglobina y hematocrito, necesidad de uterotónicos adicionales, atonía o hipotonía uterina y reacciones adversas. Esta variabilidad en las intervenciones, los comparadores y la definición de los desenlaces limitó la comparabilidad.</w:t>
      </w:r>
    </w:p>
    <w:p w14:paraId="77293F34" w14:textId="77777777" w:rsidR="00D9536A" w:rsidRDefault="00D9536A" w:rsidP="00676C73">
      <w:pPr>
        <w:sectPr w:rsidR="00D9536A" w:rsidSect="006F5322">
          <w:pgSz w:w="12240" w:h="15840"/>
          <w:pgMar w:top="1418" w:right="1701" w:bottom="1418" w:left="1701" w:header="709" w:footer="709" w:gutter="0"/>
          <w:cols w:space="708"/>
          <w:docGrid w:linePitch="360"/>
        </w:sectPr>
      </w:pPr>
    </w:p>
    <w:p w14:paraId="01F7ED30" w14:textId="77777777" w:rsidR="00D9536A" w:rsidRDefault="00D9536A" w:rsidP="00D9536A">
      <w:pPr>
        <w:pStyle w:val="Descripcin"/>
      </w:pPr>
      <w:bookmarkStart w:id="42" w:name="_Toc235815409"/>
      <w:r w:rsidRPr="007F5E80">
        <w:lastRenderedPageBreak/>
        <w:t xml:space="preserve">Tabla </w:t>
      </w:r>
      <w:r w:rsidRPr="007F5E80">
        <w:fldChar w:fldCharType="begin"/>
      </w:r>
      <w:r w:rsidRPr="007F5E80">
        <w:instrText xml:space="preserve"> SEQ Tabla \* ARABIC </w:instrText>
      </w:r>
      <w:r w:rsidRPr="007F5E80">
        <w:fldChar w:fldCharType="separate"/>
      </w:r>
      <w:r>
        <w:rPr>
          <w:noProof/>
        </w:rPr>
        <w:t>1</w:t>
      </w:r>
      <w:r w:rsidRPr="007F5E80">
        <w:fldChar w:fldCharType="end"/>
      </w:r>
      <w:r w:rsidRPr="007F5E80">
        <w:t>.</w:t>
      </w:r>
      <w:r>
        <w:t xml:space="preserve"> </w:t>
      </w:r>
      <w:r w:rsidRPr="000B4BD0">
        <w:t>Características generales de los estudios sobre misoprostol para la prevención de la hemorragia posparto realizados en América Latina</w:t>
      </w:r>
      <w:r>
        <w:t>.</w:t>
      </w:r>
      <w:bookmarkEnd w:id="42"/>
    </w:p>
    <w:tbl>
      <w:tblPr>
        <w:tblStyle w:val="Tablaconcuadrcula"/>
        <w:tblW w:w="0" w:type="auto"/>
        <w:tblLook w:val="04A0" w:firstRow="1" w:lastRow="0" w:firstColumn="1" w:lastColumn="0" w:noHBand="0" w:noVBand="1"/>
      </w:tblPr>
      <w:tblGrid>
        <w:gridCol w:w="1265"/>
        <w:gridCol w:w="1597"/>
        <w:gridCol w:w="1756"/>
        <w:gridCol w:w="1555"/>
        <w:gridCol w:w="2335"/>
        <w:gridCol w:w="1562"/>
        <w:gridCol w:w="1340"/>
        <w:gridCol w:w="1584"/>
      </w:tblGrid>
      <w:tr w:rsidR="00D9536A" w:rsidRPr="00B23CF1" w14:paraId="58BA71D8" w14:textId="77777777" w:rsidTr="00905AD4">
        <w:tc>
          <w:tcPr>
            <w:tcW w:w="0" w:type="auto"/>
            <w:shd w:val="clear" w:color="auto" w:fill="E3FDB5"/>
            <w:hideMark/>
          </w:tcPr>
          <w:p w14:paraId="1F52FB85" w14:textId="77777777" w:rsidR="00D9536A" w:rsidRPr="00B23CF1" w:rsidRDefault="00D9536A" w:rsidP="00905AD4">
            <w:pPr>
              <w:jc w:val="center"/>
              <w:rPr>
                <w:rFonts w:eastAsia="Times New Roman" w:cs="Arial"/>
                <w:b/>
                <w:bCs/>
                <w:kern w:val="0"/>
                <w:sz w:val="18"/>
                <w:szCs w:val="18"/>
                <w:lang w:val="es-ES" w:eastAsia="es-ES"/>
                <w14:ligatures w14:val="none"/>
              </w:rPr>
            </w:pPr>
            <w:r w:rsidRPr="00B23CF1">
              <w:rPr>
                <w:rFonts w:eastAsia="Times New Roman" w:cs="Arial"/>
                <w:b/>
                <w:bCs/>
                <w:kern w:val="0"/>
                <w:sz w:val="18"/>
                <w:szCs w:val="18"/>
                <w:lang w:val="es-ES" w:eastAsia="es-ES"/>
                <w14:ligatures w14:val="none"/>
              </w:rPr>
              <w:t>Autor y año de publicación</w:t>
            </w:r>
          </w:p>
        </w:tc>
        <w:tc>
          <w:tcPr>
            <w:tcW w:w="0" w:type="auto"/>
            <w:shd w:val="clear" w:color="auto" w:fill="E3FDB5"/>
            <w:hideMark/>
          </w:tcPr>
          <w:p w14:paraId="4D87CFD2" w14:textId="77777777" w:rsidR="00D9536A" w:rsidRPr="00B23CF1" w:rsidRDefault="00D9536A" w:rsidP="00905AD4">
            <w:pPr>
              <w:jc w:val="center"/>
              <w:rPr>
                <w:rFonts w:eastAsia="Times New Roman" w:cs="Arial"/>
                <w:b/>
                <w:bCs/>
                <w:kern w:val="0"/>
                <w:sz w:val="18"/>
                <w:szCs w:val="18"/>
                <w:lang w:val="es-ES" w:eastAsia="es-ES"/>
                <w14:ligatures w14:val="none"/>
              </w:rPr>
            </w:pPr>
            <w:r w:rsidRPr="00B23CF1">
              <w:rPr>
                <w:rFonts w:eastAsia="Times New Roman" w:cs="Arial"/>
                <w:b/>
                <w:bCs/>
                <w:kern w:val="0"/>
                <w:sz w:val="18"/>
                <w:szCs w:val="18"/>
                <w:lang w:val="es-ES" w:eastAsia="es-ES"/>
                <w14:ligatures w14:val="none"/>
              </w:rPr>
              <w:t>País y centro</w:t>
            </w:r>
          </w:p>
        </w:tc>
        <w:tc>
          <w:tcPr>
            <w:tcW w:w="0" w:type="auto"/>
            <w:shd w:val="clear" w:color="auto" w:fill="E3FDB5"/>
            <w:hideMark/>
          </w:tcPr>
          <w:p w14:paraId="6E3C861A" w14:textId="77777777" w:rsidR="00D9536A" w:rsidRPr="00B23CF1" w:rsidRDefault="00D9536A" w:rsidP="00905AD4">
            <w:pPr>
              <w:jc w:val="center"/>
              <w:rPr>
                <w:rFonts w:eastAsia="Times New Roman" w:cs="Arial"/>
                <w:b/>
                <w:bCs/>
                <w:kern w:val="0"/>
                <w:sz w:val="18"/>
                <w:szCs w:val="18"/>
                <w:lang w:val="es-ES" w:eastAsia="es-ES"/>
                <w14:ligatures w14:val="none"/>
              </w:rPr>
            </w:pPr>
            <w:r w:rsidRPr="00B23CF1">
              <w:rPr>
                <w:rFonts w:eastAsia="Times New Roman" w:cs="Arial"/>
                <w:b/>
                <w:bCs/>
                <w:kern w:val="0"/>
                <w:sz w:val="18"/>
                <w:szCs w:val="18"/>
                <w:lang w:val="es-ES" w:eastAsia="es-ES"/>
                <w14:ligatures w14:val="none"/>
              </w:rPr>
              <w:t>Tipo de estudio y período de realización</w:t>
            </w:r>
          </w:p>
        </w:tc>
        <w:tc>
          <w:tcPr>
            <w:tcW w:w="0" w:type="auto"/>
            <w:shd w:val="clear" w:color="auto" w:fill="E3FDB5"/>
            <w:hideMark/>
          </w:tcPr>
          <w:p w14:paraId="22F172FB" w14:textId="77777777" w:rsidR="00D9536A" w:rsidRPr="00B23CF1" w:rsidRDefault="00D9536A" w:rsidP="00905AD4">
            <w:pPr>
              <w:jc w:val="center"/>
              <w:rPr>
                <w:rFonts w:eastAsia="Times New Roman" w:cs="Arial"/>
                <w:b/>
                <w:bCs/>
                <w:kern w:val="0"/>
                <w:sz w:val="18"/>
                <w:szCs w:val="18"/>
                <w:lang w:val="es-ES" w:eastAsia="es-ES"/>
                <w14:ligatures w14:val="none"/>
              </w:rPr>
            </w:pPr>
            <w:r w:rsidRPr="00B23CF1">
              <w:rPr>
                <w:rFonts w:eastAsia="Times New Roman" w:cs="Arial"/>
                <w:b/>
                <w:bCs/>
                <w:kern w:val="0"/>
                <w:sz w:val="18"/>
                <w:szCs w:val="18"/>
                <w:lang w:val="es-ES" w:eastAsia="es-ES"/>
                <w14:ligatures w14:val="none"/>
              </w:rPr>
              <w:t>Población de estudio</w:t>
            </w:r>
          </w:p>
        </w:tc>
        <w:tc>
          <w:tcPr>
            <w:tcW w:w="0" w:type="auto"/>
            <w:shd w:val="clear" w:color="auto" w:fill="E3FDB5"/>
            <w:hideMark/>
          </w:tcPr>
          <w:p w14:paraId="23D4D171" w14:textId="77777777" w:rsidR="00D9536A" w:rsidRPr="00B23CF1" w:rsidRDefault="00D9536A" w:rsidP="00905AD4">
            <w:pPr>
              <w:jc w:val="center"/>
              <w:rPr>
                <w:rFonts w:eastAsia="Times New Roman" w:cs="Arial"/>
                <w:b/>
                <w:bCs/>
                <w:kern w:val="0"/>
                <w:sz w:val="18"/>
                <w:szCs w:val="18"/>
                <w:lang w:val="es-ES" w:eastAsia="es-ES"/>
                <w14:ligatures w14:val="none"/>
              </w:rPr>
            </w:pPr>
            <w:r w:rsidRPr="00B23CF1">
              <w:rPr>
                <w:rFonts w:eastAsia="Times New Roman" w:cs="Arial"/>
                <w:b/>
                <w:bCs/>
                <w:kern w:val="0"/>
                <w:sz w:val="18"/>
                <w:szCs w:val="18"/>
                <w:lang w:val="es-ES" w:eastAsia="es-ES"/>
                <w14:ligatures w14:val="none"/>
              </w:rPr>
              <w:t>Criterios de inclusión</w:t>
            </w:r>
          </w:p>
        </w:tc>
        <w:tc>
          <w:tcPr>
            <w:tcW w:w="0" w:type="auto"/>
            <w:shd w:val="clear" w:color="auto" w:fill="E3FDB5"/>
            <w:hideMark/>
          </w:tcPr>
          <w:p w14:paraId="36738FC1" w14:textId="77777777" w:rsidR="00D9536A" w:rsidRPr="00B23CF1" w:rsidRDefault="00D9536A" w:rsidP="00905AD4">
            <w:pPr>
              <w:jc w:val="center"/>
              <w:rPr>
                <w:rFonts w:eastAsia="Times New Roman" w:cs="Arial"/>
                <w:b/>
                <w:bCs/>
                <w:kern w:val="0"/>
                <w:sz w:val="18"/>
                <w:szCs w:val="18"/>
                <w:lang w:val="es-ES" w:eastAsia="es-ES"/>
                <w14:ligatures w14:val="none"/>
              </w:rPr>
            </w:pPr>
            <w:r w:rsidRPr="00B23CF1">
              <w:rPr>
                <w:rFonts w:eastAsia="Times New Roman" w:cs="Arial"/>
                <w:b/>
                <w:bCs/>
                <w:kern w:val="0"/>
                <w:sz w:val="18"/>
                <w:szCs w:val="18"/>
                <w:lang w:val="es-ES" w:eastAsia="es-ES"/>
                <w14:ligatures w14:val="none"/>
              </w:rPr>
              <w:t>Intervención de estudio</w:t>
            </w:r>
          </w:p>
        </w:tc>
        <w:tc>
          <w:tcPr>
            <w:tcW w:w="0" w:type="auto"/>
            <w:shd w:val="clear" w:color="auto" w:fill="E3FDB5"/>
            <w:hideMark/>
          </w:tcPr>
          <w:p w14:paraId="0A5E9F55" w14:textId="77777777" w:rsidR="00D9536A" w:rsidRPr="00B23CF1" w:rsidRDefault="00D9536A" w:rsidP="00905AD4">
            <w:pPr>
              <w:jc w:val="center"/>
              <w:rPr>
                <w:rFonts w:eastAsia="Times New Roman" w:cs="Arial"/>
                <w:b/>
                <w:bCs/>
                <w:kern w:val="0"/>
                <w:sz w:val="18"/>
                <w:szCs w:val="18"/>
                <w:lang w:val="es-ES" w:eastAsia="es-ES"/>
                <w14:ligatures w14:val="none"/>
              </w:rPr>
            </w:pPr>
            <w:r w:rsidRPr="00B23CF1">
              <w:rPr>
                <w:rFonts w:eastAsia="Times New Roman" w:cs="Arial"/>
                <w:b/>
                <w:bCs/>
                <w:kern w:val="0"/>
                <w:sz w:val="18"/>
                <w:szCs w:val="18"/>
                <w:lang w:val="es-ES" w:eastAsia="es-ES"/>
                <w14:ligatures w14:val="none"/>
              </w:rPr>
              <w:t>Intervención de comparación</w:t>
            </w:r>
          </w:p>
        </w:tc>
        <w:tc>
          <w:tcPr>
            <w:tcW w:w="0" w:type="auto"/>
            <w:shd w:val="clear" w:color="auto" w:fill="E3FDB5"/>
            <w:hideMark/>
          </w:tcPr>
          <w:p w14:paraId="6B13268A" w14:textId="77777777" w:rsidR="00D9536A" w:rsidRPr="00B23CF1" w:rsidRDefault="00D9536A" w:rsidP="00905AD4">
            <w:pPr>
              <w:jc w:val="center"/>
              <w:rPr>
                <w:rFonts w:eastAsia="Times New Roman" w:cs="Arial"/>
                <w:b/>
                <w:bCs/>
                <w:kern w:val="0"/>
                <w:sz w:val="18"/>
                <w:szCs w:val="18"/>
                <w:lang w:val="es-ES" w:eastAsia="es-ES"/>
                <w14:ligatures w14:val="none"/>
              </w:rPr>
            </w:pPr>
            <w:r w:rsidRPr="00B23CF1">
              <w:rPr>
                <w:rFonts w:eastAsia="Times New Roman" w:cs="Arial"/>
                <w:b/>
                <w:bCs/>
                <w:kern w:val="0"/>
                <w:sz w:val="18"/>
                <w:szCs w:val="18"/>
                <w:lang w:val="es-ES" w:eastAsia="es-ES"/>
                <w14:ligatures w14:val="none"/>
              </w:rPr>
              <w:t>Desenlaces de interés</w:t>
            </w:r>
          </w:p>
        </w:tc>
      </w:tr>
      <w:tr w:rsidR="00D9536A" w:rsidRPr="00B23CF1" w14:paraId="755E0DC7" w14:textId="77777777" w:rsidTr="00905AD4">
        <w:tc>
          <w:tcPr>
            <w:tcW w:w="0" w:type="auto"/>
            <w:hideMark/>
          </w:tcPr>
          <w:p w14:paraId="03AE5319"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Alva et al., 2000</w:t>
            </w:r>
          </w:p>
        </w:tc>
        <w:tc>
          <w:tcPr>
            <w:tcW w:w="0" w:type="auto"/>
            <w:hideMark/>
          </w:tcPr>
          <w:p w14:paraId="51B6A193"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Perú; Servicio de Obstetricia, Hospital Regional Docente de Trujillo</w:t>
            </w:r>
          </w:p>
        </w:tc>
        <w:tc>
          <w:tcPr>
            <w:tcW w:w="0" w:type="auto"/>
            <w:hideMark/>
          </w:tcPr>
          <w:p w14:paraId="666166C8"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Estudio experimental prospectivo, comparativo, no aleatorizado, con asignación secuencial; junio–diciembre de 1997</w:t>
            </w:r>
          </w:p>
        </w:tc>
        <w:tc>
          <w:tcPr>
            <w:tcW w:w="0" w:type="auto"/>
            <w:hideMark/>
          </w:tcPr>
          <w:p w14:paraId="41B0F37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78 gestantes atendidas por parto vaginal, distribuidas en dos grupos de 39</w:t>
            </w:r>
          </w:p>
        </w:tc>
        <w:tc>
          <w:tcPr>
            <w:tcW w:w="0" w:type="auto"/>
            <w:hideMark/>
          </w:tcPr>
          <w:p w14:paraId="3C78791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Parturientas atendidas en el hospital y seleccionadas secuencialmente. Los criterios específicos de inclusión y exclusión no se describen con suficiente detalle</w:t>
            </w:r>
          </w:p>
        </w:tc>
        <w:tc>
          <w:tcPr>
            <w:tcW w:w="0" w:type="auto"/>
            <w:hideMark/>
          </w:tcPr>
          <w:p w14:paraId="74CA39E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sublingual 200 µg, triturado, n=39</w:t>
            </w:r>
          </w:p>
        </w:tc>
        <w:tc>
          <w:tcPr>
            <w:tcW w:w="0" w:type="auto"/>
            <w:hideMark/>
          </w:tcPr>
          <w:p w14:paraId="0D1D1962"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oral 200 µg, n=39</w:t>
            </w:r>
          </w:p>
        </w:tc>
        <w:tc>
          <w:tcPr>
            <w:tcW w:w="0" w:type="auto"/>
            <w:hideMark/>
          </w:tcPr>
          <w:p w14:paraId="306387D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Volumen de sangrado uterino, duración del alumbramiento, intensidad de las contracciones uterinas y efectos adversos</w:t>
            </w:r>
          </w:p>
        </w:tc>
      </w:tr>
      <w:tr w:rsidR="00D9536A" w:rsidRPr="00B23CF1" w14:paraId="1FFD6581" w14:textId="77777777" w:rsidTr="00905AD4">
        <w:tc>
          <w:tcPr>
            <w:tcW w:w="0" w:type="auto"/>
            <w:hideMark/>
          </w:tcPr>
          <w:p w14:paraId="3443759E" w14:textId="77777777" w:rsidR="00D9536A" w:rsidRPr="00B23CF1" w:rsidRDefault="00D9536A" w:rsidP="00905AD4">
            <w:pPr>
              <w:rPr>
                <w:rFonts w:eastAsia="Times New Roman" w:cs="Arial"/>
                <w:kern w:val="0"/>
                <w:sz w:val="20"/>
                <w:szCs w:val="20"/>
                <w:lang w:val="es-ES" w:eastAsia="es-ES"/>
                <w14:ligatures w14:val="none"/>
              </w:rPr>
            </w:pPr>
            <w:proofErr w:type="spellStart"/>
            <w:r w:rsidRPr="00B23CF1">
              <w:rPr>
                <w:rFonts w:eastAsia="Times New Roman" w:cs="Arial"/>
                <w:b/>
                <w:bCs/>
                <w:kern w:val="0"/>
                <w:sz w:val="20"/>
                <w:szCs w:val="20"/>
                <w:lang w:val="es-ES" w:eastAsia="es-ES"/>
                <w14:ligatures w14:val="none"/>
              </w:rPr>
              <w:t>Gülmezoglu</w:t>
            </w:r>
            <w:proofErr w:type="spellEnd"/>
            <w:r w:rsidRPr="00B23CF1">
              <w:rPr>
                <w:rFonts w:eastAsia="Times New Roman" w:cs="Arial"/>
                <w:b/>
                <w:bCs/>
                <w:kern w:val="0"/>
                <w:sz w:val="20"/>
                <w:szCs w:val="20"/>
                <w:lang w:val="es-ES" w:eastAsia="es-ES"/>
                <w14:ligatures w14:val="none"/>
              </w:rPr>
              <w:t xml:space="preserve"> et al., 2001</w:t>
            </w:r>
          </w:p>
        </w:tc>
        <w:tc>
          <w:tcPr>
            <w:tcW w:w="0" w:type="auto"/>
            <w:hideMark/>
          </w:tcPr>
          <w:p w14:paraId="1B03FEA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Ensayo internacional con participación latinoamericana en Argentina: Centro Rosarino de Estudios Perinatales, Maternidad Martin y </w:t>
            </w:r>
            <w:r w:rsidRPr="00B23CF1">
              <w:rPr>
                <w:rFonts w:eastAsia="Times New Roman" w:cs="Arial"/>
                <w:kern w:val="0"/>
                <w:sz w:val="20"/>
                <w:szCs w:val="20"/>
                <w:lang w:val="es-ES" w:eastAsia="es-ES"/>
                <w14:ligatures w14:val="none"/>
              </w:rPr>
              <w:lastRenderedPageBreak/>
              <w:t>Sanatorio de la Mujer, Rosario</w:t>
            </w:r>
          </w:p>
        </w:tc>
        <w:tc>
          <w:tcPr>
            <w:tcW w:w="0" w:type="auto"/>
            <w:hideMark/>
          </w:tcPr>
          <w:p w14:paraId="034CEE6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lastRenderedPageBreak/>
              <w:t>Ensayo clínico aleatorizado, multicéntrico, doble ciego, de grupos paralelos; período de realización no especificado claramente en el artículo</w:t>
            </w:r>
          </w:p>
        </w:tc>
        <w:tc>
          <w:tcPr>
            <w:tcW w:w="0" w:type="auto"/>
            <w:hideMark/>
          </w:tcPr>
          <w:p w14:paraId="39621BC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Mujeres próximas a presentar parto vaginal en hospitales de nueve países. El número incluido exclusivamente en Argentina no se presenta desagregado</w:t>
            </w:r>
          </w:p>
        </w:tc>
        <w:tc>
          <w:tcPr>
            <w:tcW w:w="0" w:type="auto"/>
            <w:hideMark/>
          </w:tcPr>
          <w:p w14:paraId="03CFF2D8"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Mujeres con parto vaginal previsto y capacidad para otorgar consentimiento. Se excluyeron asma o enfermedad alérgica crónica grave, parto considerado aborto, cesárea programada, temperatura &gt;38 °C e imposibilidad o negativa para consentir</w:t>
            </w:r>
          </w:p>
        </w:tc>
        <w:tc>
          <w:tcPr>
            <w:tcW w:w="0" w:type="auto"/>
            <w:hideMark/>
          </w:tcPr>
          <w:p w14:paraId="5BA3FB45"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oral 600 µg más placebo inyectable</w:t>
            </w:r>
          </w:p>
        </w:tc>
        <w:tc>
          <w:tcPr>
            <w:tcW w:w="0" w:type="auto"/>
            <w:hideMark/>
          </w:tcPr>
          <w:p w14:paraId="3CEB65C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Oxitocina 10 UI IV o IM más placebo oral</w:t>
            </w:r>
          </w:p>
        </w:tc>
        <w:tc>
          <w:tcPr>
            <w:tcW w:w="0" w:type="auto"/>
            <w:hideMark/>
          </w:tcPr>
          <w:p w14:paraId="2DAB4EDE"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HPP ≥1000 </w:t>
            </w:r>
            <w:proofErr w:type="spellStart"/>
            <w:r w:rsidRPr="00B23CF1">
              <w:rPr>
                <w:rFonts w:eastAsia="Times New Roman" w:cs="Arial"/>
                <w:kern w:val="0"/>
                <w:sz w:val="20"/>
                <w:szCs w:val="20"/>
                <w:lang w:val="es-ES" w:eastAsia="es-ES"/>
                <w14:ligatures w14:val="none"/>
              </w:rPr>
              <w:t>mL</w:t>
            </w:r>
            <w:proofErr w:type="spellEnd"/>
            <w:r w:rsidRPr="00B23CF1">
              <w:rPr>
                <w:rFonts w:eastAsia="Times New Roman" w:cs="Arial"/>
                <w:kern w:val="0"/>
                <w:sz w:val="20"/>
                <w:szCs w:val="20"/>
                <w:lang w:val="es-ES" w:eastAsia="es-ES"/>
                <w14:ligatures w14:val="none"/>
              </w:rPr>
              <w:t xml:space="preserve">, uso de uterotónicos adicionales, pérdida sanguínea, transfusión y efectos adversos. Los resultados no se presentan </w:t>
            </w:r>
            <w:r w:rsidRPr="00B23CF1">
              <w:rPr>
                <w:rFonts w:eastAsia="Times New Roman" w:cs="Arial"/>
                <w:kern w:val="0"/>
                <w:sz w:val="20"/>
                <w:szCs w:val="20"/>
                <w:lang w:val="es-ES" w:eastAsia="es-ES"/>
                <w14:ligatures w14:val="none"/>
              </w:rPr>
              <w:lastRenderedPageBreak/>
              <w:t>separadamente para Argentina</w:t>
            </w:r>
          </w:p>
        </w:tc>
      </w:tr>
      <w:tr w:rsidR="00D9536A" w:rsidRPr="00B23CF1" w14:paraId="68B81884" w14:textId="77777777" w:rsidTr="00905AD4">
        <w:tc>
          <w:tcPr>
            <w:tcW w:w="0" w:type="auto"/>
            <w:hideMark/>
          </w:tcPr>
          <w:p w14:paraId="572BCAF2"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Angarita Peñaranda et al., 2003</w:t>
            </w:r>
          </w:p>
        </w:tc>
        <w:tc>
          <w:tcPr>
            <w:tcW w:w="0" w:type="auto"/>
            <w:hideMark/>
          </w:tcPr>
          <w:p w14:paraId="461591E3"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Colombia; Hospital de Maternidad Rafael Calvo, Cartagena</w:t>
            </w:r>
          </w:p>
        </w:tc>
        <w:tc>
          <w:tcPr>
            <w:tcW w:w="0" w:type="auto"/>
            <w:hideMark/>
          </w:tcPr>
          <w:p w14:paraId="448A817D"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Ensayo clínico aleatorizado, doble ciego, controlado con placebo; realizado del 7 al 12 de abril de 2001</w:t>
            </w:r>
          </w:p>
        </w:tc>
        <w:tc>
          <w:tcPr>
            <w:tcW w:w="0" w:type="auto"/>
            <w:hideMark/>
          </w:tcPr>
          <w:p w14:paraId="109671F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80 mujeres con parto vaginal; 85 fueron evaluadas y 5 excluidas</w:t>
            </w:r>
          </w:p>
        </w:tc>
        <w:tc>
          <w:tcPr>
            <w:tcW w:w="0" w:type="auto"/>
            <w:hideMark/>
          </w:tcPr>
          <w:p w14:paraId="769E537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Mujeres con parto vaginal y consentimiento informado. Se excluyeron asma, embarazo gemelar, óbito fetal, coagulopatía, parto instrumentado, macrosomía fetal, polihidramnios, expulsivo prolongado, desgarros graves y contaminación del recipiente recolector</w:t>
            </w:r>
          </w:p>
        </w:tc>
        <w:tc>
          <w:tcPr>
            <w:tcW w:w="0" w:type="auto"/>
            <w:hideMark/>
          </w:tcPr>
          <w:p w14:paraId="32F3D99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sublingual 100 µg inmediatamente después del pinzamiento del cordón, n=40</w:t>
            </w:r>
          </w:p>
        </w:tc>
        <w:tc>
          <w:tcPr>
            <w:tcW w:w="0" w:type="auto"/>
            <w:hideMark/>
          </w:tcPr>
          <w:p w14:paraId="4FEE361D"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Placebo sublingual, n=40</w:t>
            </w:r>
          </w:p>
        </w:tc>
        <w:tc>
          <w:tcPr>
            <w:tcW w:w="0" w:type="auto"/>
            <w:hideMark/>
          </w:tcPr>
          <w:p w14:paraId="009ED759"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Pérdida sanguínea cuantificada, duración del alumbramiento, signos vitales y efectos adversos</w:t>
            </w:r>
          </w:p>
        </w:tc>
      </w:tr>
      <w:tr w:rsidR="00D9536A" w:rsidRPr="00B23CF1" w14:paraId="46C11154" w14:textId="77777777" w:rsidTr="00905AD4">
        <w:tc>
          <w:tcPr>
            <w:tcW w:w="0" w:type="auto"/>
            <w:hideMark/>
          </w:tcPr>
          <w:p w14:paraId="7991801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Morgan Ortiz et al., 2004</w:t>
            </w:r>
          </w:p>
        </w:tc>
        <w:tc>
          <w:tcPr>
            <w:tcW w:w="0" w:type="auto"/>
            <w:hideMark/>
          </w:tcPr>
          <w:p w14:paraId="5DEB7BC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México; Hospital Civil de Culiacán, Sinaloa</w:t>
            </w:r>
          </w:p>
        </w:tc>
        <w:tc>
          <w:tcPr>
            <w:tcW w:w="0" w:type="auto"/>
            <w:hideMark/>
          </w:tcPr>
          <w:p w14:paraId="2DF916C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Ensayo clínico aleatorizado, simple ciego, de grupos paralelos; septiembre de 2001–enero de 2002</w:t>
            </w:r>
          </w:p>
        </w:tc>
        <w:tc>
          <w:tcPr>
            <w:tcW w:w="0" w:type="auto"/>
            <w:hideMark/>
          </w:tcPr>
          <w:p w14:paraId="47EAB53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398 mujeres con parto vaginal espontáneo, eutócico, único y no complicado</w:t>
            </w:r>
          </w:p>
        </w:tc>
        <w:tc>
          <w:tcPr>
            <w:tcW w:w="0" w:type="auto"/>
            <w:hideMark/>
          </w:tcPr>
          <w:p w14:paraId="1235F2CB"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Embarazo a término, feto único en presentación cefálica y menos de cuatro gestaciones. Se excluyeron trabajo de parto prolongado, medicamentos que alteraran la contractilidad uterina, polihidramnios y trastornos de coagulación</w:t>
            </w:r>
          </w:p>
        </w:tc>
        <w:tc>
          <w:tcPr>
            <w:tcW w:w="0" w:type="auto"/>
            <w:hideMark/>
          </w:tcPr>
          <w:p w14:paraId="3AB00EFE"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oral 400 µg en dosis única más placebo IV, n=200</w:t>
            </w:r>
          </w:p>
        </w:tc>
        <w:tc>
          <w:tcPr>
            <w:tcW w:w="0" w:type="auto"/>
            <w:hideMark/>
          </w:tcPr>
          <w:p w14:paraId="0F3BF76D"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Oxitocina 20 UI en 1000 </w:t>
            </w:r>
            <w:proofErr w:type="spellStart"/>
            <w:r w:rsidRPr="00B23CF1">
              <w:rPr>
                <w:rFonts w:eastAsia="Times New Roman" w:cs="Arial"/>
                <w:kern w:val="0"/>
                <w:sz w:val="20"/>
                <w:szCs w:val="20"/>
                <w:lang w:val="es-ES" w:eastAsia="es-ES"/>
                <w14:ligatures w14:val="none"/>
              </w:rPr>
              <w:t>mL</w:t>
            </w:r>
            <w:proofErr w:type="spellEnd"/>
            <w:r w:rsidRPr="00B23CF1">
              <w:rPr>
                <w:rFonts w:eastAsia="Times New Roman" w:cs="Arial"/>
                <w:kern w:val="0"/>
                <w:sz w:val="20"/>
                <w:szCs w:val="20"/>
                <w:lang w:val="es-ES" w:eastAsia="es-ES"/>
                <w14:ligatures w14:val="none"/>
              </w:rPr>
              <w:t xml:space="preserve"> de solución glucosada durante seis horas más placebo oral, n=198</w:t>
            </w:r>
          </w:p>
        </w:tc>
        <w:tc>
          <w:tcPr>
            <w:tcW w:w="0" w:type="auto"/>
            <w:hideMark/>
          </w:tcPr>
          <w:p w14:paraId="0A8FB93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HPP &gt;500 </w:t>
            </w:r>
            <w:proofErr w:type="spellStart"/>
            <w:r w:rsidRPr="00B23CF1">
              <w:rPr>
                <w:rFonts w:eastAsia="Times New Roman" w:cs="Arial"/>
                <w:kern w:val="0"/>
                <w:sz w:val="20"/>
                <w:szCs w:val="20"/>
                <w:lang w:val="es-ES" w:eastAsia="es-ES"/>
                <w14:ligatures w14:val="none"/>
              </w:rPr>
              <w:t>mL</w:t>
            </w:r>
            <w:proofErr w:type="spellEnd"/>
            <w:r w:rsidRPr="00B23CF1">
              <w:rPr>
                <w:rFonts w:eastAsia="Times New Roman" w:cs="Arial"/>
                <w:kern w:val="0"/>
                <w:sz w:val="20"/>
                <w:szCs w:val="20"/>
                <w:lang w:val="es-ES" w:eastAsia="es-ES"/>
                <w14:ligatures w14:val="none"/>
              </w:rPr>
              <w:t xml:space="preserve"> en las primeras seis horas, volumen de sangrado, atonía uterina, hemoglobina y hematocrito pre y posparto y efectos adversos</w:t>
            </w:r>
          </w:p>
        </w:tc>
      </w:tr>
      <w:tr w:rsidR="00D9536A" w:rsidRPr="00B23CF1" w14:paraId="386658CD" w14:textId="77777777" w:rsidTr="00905AD4">
        <w:tc>
          <w:tcPr>
            <w:tcW w:w="0" w:type="auto"/>
            <w:hideMark/>
          </w:tcPr>
          <w:p w14:paraId="77C28CA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Sandoval et al., 2004</w:t>
            </w:r>
          </w:p>
        </w:tc>
        <w:tc>
          <w:tcPr>
            <w:tcW w:w="0" w:type="auto"/>
            <w:hideMark/>
          </w:tcPr>
          <w:p w14:paraId="7D9A7A9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Perú; Hospital Sergio E. Bernales, Lima</w:t>
            </w:r>
          </w:p>
        </w:tc>
        <w:tc>
          <w:tcPr>
            <w:tcW w:w="0" w:type="auto"/>
            <w:hideMark/>
          </w:tcPr>
          <w:p w14:paraId="2A5D0AC8"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Ensayo clínico aleatorizado, abierto, de grupos paralelos; enero–noviembre de 2003</w:t>
            </w:r>
          </w:p>
        </w:tc>
        <w:tc>
          <w:tcPr>
            <w:tcW w:w="0" w:type="auto"/>
            <w:hideMark/>
          </w:tcPr>
          <w:p w14:paraId="4E73691B"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136 mujeres con parto vaginal, 68 por grupo</w:t>
            </w:r>
          </w:p>
        </w:tc>
        <w:tc>
          <w:tcPr>
            <w:tcW w:w="0" w:type="auto"/>
            <w:hideMark/>
          </w:tcPr>
          <w:p w14:paraId="3C94117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Gestación a término, multíparas de dos a cinco partos, trabajo de parto espontáneo, parto vaginal y consentimiento. Se excluyeron episiotomía o desgarros, restos placentarios, macrosomía, polihidramnios, presentación podálica, preeclampsia/eclampsia y coagulopatías</w:t>
            </w:r>
          </w:p>
        </w:tc>
        <w:tc>
          <w:tcPr>
            <w:tcW w:w="0" w:type="auto"/>
            <w:hideMark/>
          </w:tcPr>
          <w:p w14:paraId="176EE83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sublingual 200 µg administrado durante el pinzamiento del cordón, n=68</w:t>
            </w:r>
          </w:p>
        </w:tc>
        <w:tc>
          <w:tcPr>
            <w:tcW w:w="0" w:type="auto"/>
            <w:hideMark/>
          </w:tcPr>
          <w:p w14:paraId="14CF1B43"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Oxitocina 10 UI IM, n=68</w:t>
            </w:r>
          </w:p>
        </w:tc>
        <w:tc>
          <w:tcPr>
            <w:tcW w:w="0" w:type="auto"/>
            <w:hideMark/>
          </w:tcPr>
          <w:p w14:paraId="6855A34B"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Pérdida sanguínea total hasta dos horas posparto, HPP ≥1000 </w:t>
            </w:r>
            <w:proofErr w:type="spellStart"/>
            <w:r w:rsidRPr="00B23CF1">
              <w:rPr>
                <w:rFonts w:eastAsia="Times New Roman" w:cs="Arial"/>
                <w:kern w:val="0"/>
                <w:sz w:val="20"/>
                <w:szCs w:val="20"/>
                <w:lang w:val="es-ES" w:eastAsia="es-ES"/>
                <w14:ligatures w14:val="none"/>
              </w:rPr>
              <w:t>mL</w:t>
            </w:r>
            <w:proofErr w:type="spellEnd"/>
            <w:r w:rsidRPr="00B23CF1">
              <w:rPr>
                <w:rFonts w:eastAsia="Times New Roman" w:cs="Arial"/>
                <w:kern w:val="0"/>
                <w:sz w:val="20"/>
                <w:szCs w:val="20"/>
                <w:lang w:val="es-ES" w:eastAsia="es-ES"/>
                <w14:ligatures w14:val="none"/>
              </w:rPr>
              <w:t>, duración del alumbramiento, cambio del hematocrito y efectos adversos</w:t>
            </w:r>
          </w:p>
        </w:tc>
      </w:tr>
      <w:tr w:rsidR="00D9536A" w:rsidRPr="00B23CF1" w14:paraId="180F0050" w14:textId="77777777" w:rsidTr="00905AD4">
        <w:tc>
          <w:tcPr>
            <w:tcW w:w="0" w:type="auto"/>
            <w:hideMark/>
          </w:tcPr>
          <w:p w14:paraId="4969812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Quiroga Díaz et al., 2009</w:t>
            </w:r>
          </w:p>
        </w:tc>
        <w:tc>
          <w:tcPr>
            <w:tcW w:w="0" w:type="auto"/>
            <w:hideMark/>
          </w:tcPr>
          <w:p w14:paraId="6F8D4082"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México; institución hospitalaria de Monterrey, Nuevo León</w:t>
            </w:r>
          </w:p>
        </w:tc>
        <w:tc>
          <w:tcPr>
            <w:tcW w:w="0" w:type="auto"/>
            <w:hideMark/>
          </w:tcPr>
          <w:p w14:paraId="18F0BF0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Ensayo clínico aleatorizado, controlado con placebo, de grupos paralelos; período de realización no informado claramente</w:t>
            </w:r>
          </w:p>
        </w:tc>
        <w:tc>
          <w:tcPr>
            <w:tcW w:w="0" w:type="auto"/>
            <w:hideMark/>
          </w:tcPr>
          <w:p w14:paraId="66DD367F"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200 mujeres sometidas a cesárea, 100 por grupo</w:t>
            </w:r>
          </w:p>
        </w:tc>
        <w:tc>
          <w:tcPr>
            <w:tcW w:w="0" w:type="auto"/>
            <w:hideMark/>
          </w:tcPr>
          <w:p w14:paraId="4F80A6DD"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Mujeres a quienes se realizó cesárea. El artículo no presenta con suficiente claridad una lista completa de criterios de inclusión y exclusión</w:t>
            </w:r>
          </w:p>
        </w:tc>
        <w:tc>
          <w:tcPr>
            <w:tcW w:w="0" w:type="auto"/>
            <w:hideMark/>
          </w:tcPr>
          <w:p w14:paraId="158E486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intrauterino 800 µg después del nacimiento, además del esquema convencional con oxitocina, n=100</w:t>
            </w:r>
          </w:p>
        </w:tc>
        <w:tc>
          <w:tcPr>
            <w:tcW w:w="0" w:type="auto"/>
            <w:hideMark/>
          </w:tcPr>
          <w:p w14:paraId="0E7B476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Placebo intrauterino más el mismo esquema convencional con oxitocina, n=100</w:t>
            </w:r>
          </w:p>
        </w:tc>
        <w:tc>
          <w:tcPr>
            <w:tcW w:w="0" w:type="auto"/>
            <w:hideMark/>
          </w:tcPr>
          <w:p w14:paraId="2A6FA4B8"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Reducción de hemoglobina y hematocrito, disminución de Hb &gt;3 g/</w:t>
            </w:r>
            <w:proofErr w:type="spellStart"/>
            <w:r w:rsidRPr="00B23CF1">
              <w:rPr>
                <w:rFonts w:eastAsia="Times New Roman" w:cs="Arial"/>
                <w:kern w:val="0"/>
                <w:sz w:val="20"/>
                <w:szCs w:val="20"/>
                <w:lang w:val="es-ES" w:eastAsia="es-ES"/>
                <w14:ligatures w14:val="none"/>
              </w:rPr>
              <w:t>dL</w:t>
            </w:r>
            <w:proofErr w:type="spellEnd"/>
            <w:r w:rsidRPr="00B23CF1">
              <w:rPr>
                <w:rFonts w:eastAsia="Times New Roman" w:cs="Arial"/>
                <w:kern w:val="0"/>
                <w:sz w:val="20"/>
                <w:szCs w:val="20"/>
                <w:lang w:val="es-ES" w:eastAsia="es-ES"/>
                <w14:ligatures w14:val="none"/>
              </w:rPr>
              <w:t xml:space="preserve">, disminución de </w:t>
            </w:r>
            <w:proofErr w:type="spellStart"/>
            <w:r w:rsidRPr="00B23CF1">
              <w:rPr>
                <w:rFonts w:eastAsia="Times New Roman" w:cs="Arial"/>
                <w:kern w:val="0"/>
                <w:sz w:val="20"/>
                <w:szCs w:val="20"/>
                <w:lang w:val="es-ES" w:eastAsia="es-ES"/>
                <w14:ligatures w14:val="none"/>
              </w:rPr>
              <w:t>Hto</w:t>
            </w:r>
            <w:proofErr w:type="spellEnd"/>
            <w:r w:rsidRPr="00B23CF1">
              <w:rPr>
                <w:rFonts w:eastAsia="Times New Roman" w:cs="Arial"/>
                <w:kern w:val="0"/>
                <w:sz w:val="20"/>
                <w:szCs w:val="20"/>
                <w:lang w:val="es-ES" w:eastAsia="es-ES"/>
                <w14:ligatures w14:val="none"/>
              </w:rPr>
              <w:t xml:space="preserve"> &gt;10%, uterotónicos adicionales, transfusión, histerectomía y efectos adversos</w:t>
            </w:r>
          </w:p>
        </w:tc>
      </w:tr>
      <w:tr w:rsidR="00D9536A" w:rsidRPr="00B23CF1" w14:paraId="62C4902E" w14:textId="77777777" w:rsidTr="00905AD4">
        <w:tc>
          <w:tcPr>
            <w:tcW w:w="0" w:type="auto"/>
            <w:hideMark/>
          </w:tcPr>
          <w:p w14:paraId="128BABE5"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Falcón Condezo, 2015</w:t>
            </w:r>
          </w:p>
        </w:tc>
        <w:tc>
          <w:tcPr>
            <w:tcW w:w="0" w:type="auto"/>
            <w:hideMark/>
          </w:tcPr>
          <w:p w14:paraId="134E37D3"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Perú; Hospital Tingo María, Huánuco</w:t>
            </w:r>
          </w:p>
        </w:tc>
        <w:tc>
          <w:tcPr>
            <w:tcW w:w="0" w:type="auto"/>
            <w:hideMark/>
          </w:tcPr>
          <w:p w14:paraId="3AC0660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Estudio cuasiexperimental prospectivo, comparativo, no aleatorizado; realizado en 2008</w:t>
            </w:r>
          </w:p>
        </w:tc>
        <w:tc>
          <w:tcPr>
            <w:tcW w:w="0" w:type="auto"/>
            <w:hideMark/>
          </w:tcPr>
          <w:p w14:paraId="021611BA"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60 multigestas con alto riesgo de HPP y trabajo de parto espontáneo; 30 por grupo</w:t>
            </w:r>
          </w:p>
        </w:tc>
        <w:tc>
          <w:tcPr>
            <w:tcW w:w="0" w:type="auto"/>
            <w:hideMark/>
          </w:tcPr>
          <w:p w14:paraId="23B2CC7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Multigestas con alto riesgo de HPP y trabajo de parto espontáneo. Se excluyeron cesárea previa, rotura prolongada de membranas, parto pretérmino, abortos recurrentes, óbito fetal, embarazo prolongado, primigestas, inducción del parto, asma, coagulopatías, desgarros graves y contaminación del recolector</w:t>
            </w:r>
          </w:p>
        </w:tc>
        <w:tc>
          <w:tcPr>
            <w:tcW w:w="0" w:type="auto"/>
            <w:hideMark/>
          </w:tcPr>
          <w:p w14:paraId="1D5B889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sublingual 100 µg, n=30</w:t>
            </w:r>
          </w:p>
        </w:tc>
        <w:tc>
          <w:tcPr>
            <w:tcW w:w="0" w:type="auto"/>
            <w:hideMark/>
          </w:tcPr>
          <w:p w14:paraId="5B92F32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Oxitocina 10 UI IM, n=30</w:t>
            </w:r>
          </w:p>
        </w:tc>
        <w:tc>
          <w:tcPr>
            <w:tcW w:w="0" w:type="auto"/>
            <w:hideMark/>
          </w:tcPr>
          <w:p w14:paraId="2F86D5CB"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Volumen de sangrado vaginal y duración del alumbramiento</w:t>
            </w:r>
          </w:p>
        </w:tc>
      </w:tr>
      <w:tr w:rsidR="00D9536A" w:rsidRPr="00B23CF1" w14:paraId="7EF39690" w14:textId="77777777" w:rsidTr="00905AD4">
        <w:tc>
          <w:tcPr>
            <w:tcW w:w="0" w:type="auto"/>
            <w:hideMark/>
          </w:tcPr>
          <w:p w14:paraId="29DC20D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Sarabia Salazar et al., 2015</w:t>
            </w:r>
          </w:p>
        </w:tc>
        <w:tc>
          <w:tcPr>
            <w:tcW w:w="0" w:type="auto"/>
            <w:hideMark/>
          </w:tcPr>
          <w:p w14:paraId="7CE4695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Venezuela; Maternidad Concepción Palacios, Caracas</w:t>
            </w:r>
          </w:p>
        </w:tc>
        <w:tc>
          <w:tcPr>
            <w:tcW w:w="0" w:type="auto"/>
            <w:hideMark/>
          </w:tcPr>
          <w:p w14:paraId="61A9FFE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Ensayo clínico aleatorizado, abierto, de tres grupos paralelos; período de realización no informado</w:t>
            </w:r>
          </w:p>
        </w:tc>
        <w:tc>
          <w:tcPr>
            <w:tcW w:w="0" w:type="auto"/>
            <w:hideMark/>
          </w:tcPr>
          <w:p w14:paraId="51CB1DE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350 mujeres con embarazo a término y parto vaginal</w:t>
            </w:r>
          </w:p>
        </w:tc>
        <w:tc>
          <w:tcPr>
            <w:tcW w:w="0" w:type="auto"/>
            <w:hideMark/>
          </w:tcPr>
          <w:p w14:paraId="784710B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Embarazo a término y parto vaginal. Los criterios adicionales de inclusión y exclusión no se describen de forma completa</w:t>
            </w:r>
          </w:p>
        </w:tc>
        <w:tc>
          <w:tcPr>
            <w:tcW w:w="0" w:type="auto"/>
            <w:hideMark/>
          </w:tcPr>
          <w:p w14:paraId="5959289A"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sublingual 200 µg, n=120</w:t>
            </w:r>
          </w:p>
        </w:tc>
        <w:tc>
          <w:tcPr>
            <w:tcW w:w="0" w:type="auto"/>
            <w:hideMark/>
          </w:tcPr>
          <w:p w14:paraId="4C7779FB"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sublingual 400 µg, n=120, y misoprostol sublingual 600 µg, n=110</w:t>
            </w:r>
          </w:p>
        </w:tc>
        <w:tc>
          <w:tcPr>
            <w:tcW w:w="0" w:type="auto"/>
            <w:hideMark/>
          </w:tcPr>
          <w:p w14:paraId="1E8F6A7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Duración del alumbramiento, pérdida hemática, hipotonía uterina, retención de restos, HPP y efectos adversos</w:t>
            </w:r>
          </w:p>
        </w:tc>
      </w:tr>
      <w:tr w:rsidR="00D9536A" w:rsidRPr="00B23CF1" w14:paraId="2DA34802" w14:textId="77777777" w:rsidTr="00905AD4">
        <w:tc>
          <w:tcPr>
            <w:tcW w:w="0" w:type="auto"/>
            <w:hideMark/>
          </w:tcPr>
          <w:p w14:paraId="61E41BE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Rubio-</w:t>
            </w:r>
            <w:proofErr w:type="spellStart"/>
            <w:r w:rsidRPr="00B23CF1">
              <w:rPr>
                <w:rFonts w:eastAsia="Times New Roman" w:cs="Arial"/>
                <w:b/>
                <w:bCs/>
                <w:kern w:val="0"/>
                <w:sz w:val="20"/>
                <w:szCs w:val="20"/>
                <w:lang w:val="es-ES" w:eastAsia="es-ES"/>
                <w14:ligatures w14:val="none"/>
              </w:rPr>
              <w:t>Esperano</w:t>
            </w:r>
            <w:proofErr w:type="spellEnd"/>
            <w:r w:rsidRPr="00B23CF1">
              <w:rPr>
                <w:rFonts w:eastAsia="Times New Roman" w:cs="Arial"/>
                <w:b/>
                <w:bCs/>
                <w:kern w:val="0"/>
                <w:sz w:val="20"/>
                <w:szCs w:val="20"/>
                <w:lang w:val="es-ES" w:eastAsia="es-ES"/>
                <w14:ligatures w14:val="none"/>
              </w:rPr>
              <w:t xml:space="preserve"> et al., 2018</w:t>
            </w:r>
          </w:p>
        </w:tc>
        <w:tc>
          <w:tcPr>
            <w:tcW w:w="0" w:type="auto"/>
            <w:hideMark/>
          </w:tcPr>
          <w:p w14:paraId="070E737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México; Hospital Civil de Culiacán, Sinaloa</w:t>
            </w:r>
          </w:p>
        </w:tc>
        <w:tc>
          <w:tcPr>
            <w:tcW w:w="0" w:type="auto"/>
            <w:hideMark/>
          </w:tcPr>
          <w:p w14:paraId="50703ED9"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Ensayo clínico aleatorizado, controlado con placebo, de grupos paralelos; mayo–julio de 2017</w:t>
            </w:r>
          </w:p>
        </w:tc>
        <w:tc>
          <w:tcPr>
            <w:tcW w:w="0" w:type="auto"/>
            <w:hideMark/>
          </w:tcPr>
          <w:p w14:paraId="7D27E185"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148 mujeres con embarazo ≥37 semanas, cesárea y al menos un factor de riesgo de atonía uterina</w:t>
            </w:r>
          </w:p>
        </w:tc>
        <w:tc>
          <w:tcPr>
            <w:tcW w:w="0" w:type="auto"/>
            <w:hideMark/>
          </w:tcPr>
          <w:p w14:paraId="7E03B19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Cesárea con histerotomía segmentaria transversa, anestesia regional, al menos un factor de riesgo de atonía y consentimiento. Se excluyeron placenta previa, desprendimiento placentario, prolapso de cordón, discrasias, miomatosis grande, lesión vascular o uterina, rotura uterina previa, muerte fetal y temperatura ≥38,5 °C</w:t>
            </w:r>
          </w:p>
        </w:tc>
        <w:tc>
          <w:tcPr>
            <w:tcW w:w="0" w:type="auto"/>
            <w:hideMark/>
          </w:tcPr>
          <w:p w14:paraId="6EC0B483"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Misoprostol intrauterino 400 µg después de extraer la placenta más oxitocina convencional, n=74</w:t>
            </w:r>
          </w:p>
        </w:tc>
        <w:tc>
          <w:tcPr>
            <w:tcW w:w="0" w:type="auto"/>
            <w:hideMark/>
          </w:tcPr>
          <w:p w14:paraId="71D9EA8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Placebo intrauterino de sorbitol más el mismo esquema de oxitocina, n=74</w:t>
            </w:r>
          </w:p>
        </w:tc>
        <w:tc>
          <w:tcPr>
            <w:tcW w:w="0" w:type="auto"/>
            <w:hideMark/>
          </w:tcPr>
          <w:p w14:paraId="5006BD9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Hemorragia obstétrica ≥1000 </w:t>
            </w:r>
            <w:proofErr w:type="spellStart"/>
            <w:r w:rsidRPr="00B23CF1">
              <w:rPr>
                <w:rFonts w:eastAsia="Times New Roman" w:cs="Arial"/>
                <w:kern w:val="0"/>
                <w:sz w:val="20"/>
                <w:szCs w:val="20"/>
                <w:lang w:val="es-ES" w:eastAsia="es-ES"/>
                <w14:ligatures w14:val="none"/>
              </w:rPr>
              <w:t>mL</w:t>
            </w:r>
            <w:proofErr w:type="spellEnd"/>
            <w:r w:rsidRPr="00B23CF1">
              <w:rPr>
                <w:rFonts w:eastAsia="Times New Roman" w:cs="Arial"/>
                <w:kern w:val="0"/>
                <w:sz w:val="20"/>
                <w:szCs w:val="20"/>
                <w:lang w:val="es-ES" w:eastAsia="es-ES"/>
                <w14:ligatures w14:val="none"/>
              </w:rPr>
              <w:t>, atonía uterina, volumen de sangrado, hemoglobina y hematocrito, uterotónicos adicionales, transfusión y efectos adversos</w:t>
            </w:r>
          </w:p>
        </w:tc>
      </w:tr>
    </w:tbl>
    <w:p w14:paraId="6C0E3084" w14:textId="77777777" w:rsidR="00D9536A" w:rsidRDefault="00D9536A" w:rsidP="00D9536A">
      <w:r w:rsidRPr="00B23CF1">
        <w:t xml:space="preserve">Nota. En </w:t>
      </w:r>
      <w:proofErr w:type="spellStart"/>
      <w:r w:rsidRPr="00B23CF1">
        <w:t>Gülmezoglu</w:t>
      </w:r>
      <w:proofErr w:type="spellEnd"/>
      <w:r w:rsidRPr="00B23CF1">
        <w:t xml:space="preserve"> et al., Argentina fue uno de los países participantes, pero el artículo informa los resultados agregados de los nueve países y no permite extraer un efecto específico para la población argentina. Alva et al. utilizó asignación secuencial, mientras que Falcón Condezo declaró explícitamente un diseño cuasiexperimental no aleatorizad</w:t>
      </w:r>
      <w:r>
        <w:t>o.</w:t>
      </w:r>
    </w:p>
    <w:p w14:paraId="047C20E7" w14:textId="7E329FCC" w:rsidR="00D9536A" w:rsidRDefault="00D9536A" w:rsidP="00676C73"/>
    <w:p w14:paraId="07D81EDA" w14:textId="0924571B" w:rsidR="00D9536A" w:rsidRDefault="00D9536A" w:rsidP="00676C73"/>
    <w:p w14:paraId="522E6C57" w14:textId="59FF3506" w:rsidR="00D9536A" w:rsidRDefault="00D9536A" w:rsidP="00676C73"/>
    <w:p w14:paraId="2EA204D7" w14:textId="18A087E5" w:rsidR="00D9536A" w:rsidRDefault="00D9536A" w:rsidP="00676C73"/>
    <w:p w14:paraId="0CD09305" w14:textId="77777777" w:rsidR="00D9536A" w:rsidRDefault="00D9536A" w:rsidP="00676C73">
      <w:pPr>
        <w:sectPr w:rsidR="00D9536A" w:rsidSect="00D9536A">
          <w:pgSz w:w="15840" w:h="12240" w:orient="landscape"/>
          <w:pgMar w:top="1701" w:right="1418" w:bottom="1701" w:left="1418" w:header="709" w:footer="709" w:gutter="0"/>
          <w:cols w:space="708"/>
          <w:docGrid w:linePitch="360"/>
        </w:sectPr>
      </w:pPr>
    </w:p>
    <w:p w14:paraId="06BF0531" w14:textId="6F95E96E" w:rsidR="00676C73" w:rsidRDefault="00676C73" w:rsidP="00676C73">
      <w:pPr>
        <w:pStyle w:val="Ttulo2"/>
      </w:pPr>
      <w:bookmarkStart w:id="43" w:name="_Toc235815376"/>
      <w:r>
        <w:lastRenderedPageBreak/>
        <w:t>Evaluación del riesgo de sesgo en los estudios seleccionados</w:t>
      </w:r>
      <w:bookmarkEnd w:id="43"/>
    </w:p>
    <w:p w14:paraId="77854EC8" w14:textId="1877C218" w:rsidR="00676C73" w:rsidRDefault="00676C73" w:rsidP="00676C73">
      <w:r>
        <w:t xml:space="preserve">La evaluación mediante la herramienta </w:t>
      </w:r>
      <w:proofErr w:type="spellStart"/>
      <w:r>
        <w:t>RoB</w:t>
      </w:r>
      <w:proofErr w:type="spellEnd"/>
      <w:r>
        <w:t xml:space="preserve"> 2 mostró que ninguno de los ensayos aleatorizados pudo clasificarse globalmente como de bajo riesgo de sesgo. </w:t>
      </w:r>
      <w:proofErr w:type="spellStart"/>
      <w:r>
        <w:t>Gülmezoglu</w:t>
      </w:r>
      <w:proofErr w:type="spellEnd"/>
      <w:r>
        <w:t xml:space="preserve"> et al. y Angarita Peñaranda et al. presentaron la descripción metodológica más completa, con bajo riesgo en los dominios relacionados con la aleatorización, las desviaciones de las intervenciones, los datos faltantes y la medición del desenlace. Sin embargo, ambos fueron clasificados globalmente con algunas preocupaciones debido a la ausencia de un protocolo público que permitiera verificar los análisis previamente especificados (tabla 2 y figura 2).</w:t>
      </w:r>
    </w:p>
    <w:p w14:paraId="426DCE66" w14:textId="40E7F678" w:rsidR="00676C73" w:rsidRDefault="00676C73" w:rsidP="00676C73">
      <w:r>
        <w:t>Morgan Ortiz et al., Sandoval et al., Quiroga Díaz et al., Sarabia Salazar et al. y Rubio-</w:t>
      </w:r>
      <w:proofErr w:type="spellStart"/>
      <w:r>
        <w:t>Esperano</w:t>
      </w:r>
      <w:proofErr w:type="spellEnd"/>
      <w:r>
        <w:t xml:space="preserve"> et al. también fueron clasificados con algunas preocupaciones. Las principales limitaciones correspondieron a información insuficiente sobre la generación y el ocultamiento de la secuencia aleatoria, ausencia o descripción incompleta del cegamiento, posible conocimiento de la intervención por los evaluadores y falta de protocolos o registros previos (tabla 2 y figura 2).</w:t>
      </w:r>
    </w:p>
    <w:p w14:paraId="0993EF28" w14:textId="6E4844E4" w:rsidR="00676C73" w:rsidRDefault="00676C73" w:rsidP="00676C73">
      <w:r>
        <w:t xml:space="preserve">Alva et al. y Falcón Condezo no fueron evaluables mediante </w:t>
      </w:r>
      <w:proofErr w:type="spellStart"/>
      <w:r>
        <w:t>RoB</w:t>
      </w:r>
      <w:proofErr w:type="spellEnd"/>
      <w:r>
        <w:t xml:space="preserve"> 2 debido a que utilizaron diseños no aleatorizados. Su valoración requiere una herramienta destinada a estudios de intervención no aleatorizados, como ROBINS-I, especialmente por el riesgo de confusión, selección de participantes y ausencia de cegamiento (tabla 2 y figura 2).</w:t>
      </w:r>
    </w:p>
    <w:p w14:paraId="24B946B0" w14:textId="32719CFD" w:rsidR="00676C73" w:rsidRDefault="00676C73" w:rsidP="00676C73">
      <w:r>
        <w:t>La evaluación gráfica del riesgo de sesgo mostró que los datos faltantes del desenlace constituyeron el dominio con menor nivel de preocupación, debido a que la mayoría de los ensayos presentó resultados para casi todas las participantes incluidas. En contraste, las mayores preocupaciones se concentraron en el proceso de aleatorización, las desviaciones de las intervenciones previstas, la medición de los desenlaces y la selección de los resultados informados (figura 2)</w:t>
      </w:r>
    </w:p>
    <w:p w14:paraId="1FEFD288" w14:textId="21A6A12B" w:rsidR="00676C73" w:rsidRDefault="00676C73" w:rsidP="00676C73">
      <w:r>
        <w:t xml:space="preserve">El juicio global fue de algunas preocupaciones para los siete ensayos aleatorizados. Alva et al. y Falcón Condezo representan estudios de alto riesgo y con limitaciones para ser evaluados mediante </w:t>
      </w:r>
      <w:proofErr w:type="spellStart"/>
      <w:r>
        <w:t>RoB</w:t>
      </w:r>
      <w:proofErr w:type="spellEnd"/>
      <w:r>
        <w:t xml:space="preserve"> 2.</w:t>
      </w:r>
    </w:p>
    <w:p w14:paraId="1081C0F8" w14:textId="5CD4B578" w:rsidR="00D9536A" w:rsidRDefault="00D9536A" w:rsidP="00676C73"/>
    <w:p w14:paraId="6742B274" w14:textId="04C501A2" w:rsidR="00D9536A" w:rsidRDefault="00D9536A" w:rsidP="00676C73"/>
    <w:p w14:paraId="66E84B50" w14:textId="77777777" w:rsidR="00D9536A" w:rsidRDefault="00D9536A" w:rsidP="00676C73">
      <w:pPr>
        <w:sectPr w:rsidR="00D9536A" w:rsidSect="006F5322">
          <w:pgSz w:w="12240" w:h="15840"/>
          <w:pgMar w:top="1418" w:right="1701" w:bottom="1418" w:left="1701" w:header="709" w:footer="709" w:gutter="0"/>
          <w:cols w:space="708"/>
          <w:docGrid w:linePitch="360"/>
        </w:sectPr>
      </w:pPr>
    </w:p>
    <w:p w14:paraId="4356449B" w14:textId="77777777" w:rsidR="00D9536A" w:rsidRDefault="00D9536A" w:rsidP="00D9536A">
      <w:pPr>
        <w:pStyle w:val="Descripcin"/>
      </w:pPr>
      <w:bookmarkStart w:id="44" w:name="_Toc235815410"/>
      <w:r>
        <w:lastRenderedPageBreak/>
        <w:t xml:space="preserve">Tabla </w:t>
      </w:r>
      <w:r>
        <w:fldChar w:fldCharType="begin"/>
      </w:r>
      <w:r>
        <w:instrText xml:space="preserve"> SEQ Tabla \* ARABIC </w:instrText>
      </w:r>
      <w:r>
        <w:fldChar w:fldCharType="separate"/>
      </w:r>
      <w:r>
        <w:rPr>
          <w:noProof/>
        </w:rPr>
        <w:t>2</w:t>
      </w:r>
      <w:r>
        <w:fldChar w:fldCharType="end"/>
      </w:r>
      <w:r>
        <w:t xml:space="preserve">. </w:t>
      </w:r>
      <w:r w:rsidRPr="00B23CF1">
        <w:t xml:space="preserve">Evaluación del riesgo de sesgo de los estudios según los dominios de la herramienta </w:t>
      </w:r>
      <w:proofErr w:type="spellStart"/>
      <w:r w:rsidRPr="00B23CF1">
        <w:t>RoB</w:t>
      </w:r>
      <w:proofErr w:type="spellEnd"/>
      <w:r w:rsidRPr="00B23CF1">
        <w:t xml:space="preserve"> 2 de Cochrane</w:t>
      </w:r>
      <w:bookmarkEnd w:id="44"/>
    </w:p>
    <w:tbl>
      <w:tblPr>
        <w:tblStyle w:val="Tablaconcuadrcula"/>
        <w:tblW w:w="0" w:type="auto"/>
        <w:tblLook w:val="04A0" w:firstRow="1" w:lastRow="0" w:firstColumn="1" w:lastColumn="0" w:noHBand="0" w:noVBand="1"/>
      </w:tblPr>
      <w:tblGrid>
        <w:gridCol w:w="1312"/>
        <w:gridCol w:w="1914"/>
        <w:gridCol w:w="1948"/>
        <w:gridCol w:w="1619"/>
        <w:gridCol w:w="2131"/>
        <w:gridCol w:w="1915"/>
        <w:gridCol w:w="2155"/>
      </w:tblGrid>
      <w:tr w:rsidR="00D9536A" w:rsidRPr="00B23CF1" w14:paraId="28D8AD9B" w14:textId="77777777" w:rsidTr="00905AD4">
        <w:tc>
          <w:tcPr>
            <w:tcW w:w="0" w:type="auto"/>
            <w:shd w:val="clear" w:color="auto" w:fill="FCFEB4"/>
            <w:hideMark/>
          </w:tcPr>
          <w:p w14:paraId="5F92D0D6" w14:textId="77777777" w:rsidR="00D9536A" w:rsidRPr="00B23CF1" w:rsidRDefault="00D9536A" w:rsidP="00905AD4">
            <w:pPr>
              <w:jc w:val="center"/>
              <w:rPr>
                <w:rFonts w:eastAsia="Times New Roman" w:cs="Arial"/>
                <w:b/>
                <w:bCs/>
                <w:kern w:val="0"/>
                <w:sz w:val="20"/>
                <w:szCs w:val="20"/>
                <w:lang w:val="es-ES" w:eastAsia="es-ES"/>
                <w14:ligatures w14:val="none"/>
              </w:rPr>
            </w:pPr>
            <w:r w:rsidRPr="00B23CF1">
              <w:rPr>
                <w:rFonts w:eastAsia="Times New Roman" w:cs="Arial"/>
                <w:b/>
                <w:bCs/>
                <w:kern w:val="0"/>
                <w:sz w:val="20"/>
                <w:szCs w:val="20"/>
                <w:lang w:val="es-ES" w:eastAsia="es-ES"/>
                <w14:ligatures w14:val="none"/>
              </w:rPr>
              <w:t>Autor y año</w:t>
            </w:r>
          </w:p>
        </w:tc>
        <w:tc>
          <w:tcPr>
            <w:tcW w:w="0" w:type="auto"/>
            <w:shd w:val="clear" w:color="auto" w:fill="FCFEB4"/>
            <w:hideMark/>
          </w:tcPr>
          <w:p w14:paraId="1E629C7A" w14:textId="77777777" w:rsidR="00D9536A" w:rsidRPr="00B23CF1" w:rsidRDefault="00D9536A" w:rsidP="00905AD4">
            <w:pPr>
              <w:jc w:val="center"/>
              <w:rPr>
                <w:rFonts w:eastAsia="Times New Roman" w:cs="Arial"/>
                <w:b/>
                <w:bCs/>
                <w:kern w:val="0"/>
                <w:sz w:val="20"/>
                <w:szCs w:val="20"/>
                <w:lang w:val="es-ES" w:eastAsia="es-ES"/>
                <w14:ligatures w14:val="none"/>
              </w:rPr>
            </w:pPr>
            <w:r w:rsidRPr="00B23CF1">
              <w:rPr>
                <w:rFonts w:eastAsia="Times New Roman" w:cs="Arial"/>
                <w:b/>
                <w:bCs/>
                <w:kern w:val="0"/>
                <w:sz w:val="20"/>
                <w:szCs w:val="20"/>
                <w:lang w:val="es-ES" w:eastAsia="es-ES"/>
                <w14:ligatures w14:val="none"/>
              </w:rPr>
              <w:t>D1. Proceso de aleatorización</w:t>
            </w:r>
          </w:p>
        </w:tc>
        <w:tc>
          <w:tcPr>
            <w:tcW w:w="0" w:type="auto"/>
            <w:shd w:val="clear" w:color="auto" w:fill="FCFEB4"/>
            <w:hideMark/>
          </w:tcPr>
          <w:p w14:paraId="4819BC07" w14:textId="77777777" w:rsidR="00D9536A" w:rsidRPr="00B23CF1" w:rsidRDefault="00D9536A" w:rsidP="00905AD4">
            <w:pPr>
              <w:jc w:val="center"/>
              <w:rPr>
                <w:rFonts w:eastAsia="Times New Roman" w:cs="Arial"/>
                <w:b/>
                <w:bCs/>
                <w:kern w:val="0"/>
                <w:sz w:val="20"/>
                <w:szCs w:val="20"/>
                <w:lang w:val="es-ES" w:eastAsia="es-ES"/>
                <w14:ligatures w14:val="none"/>
              </w:rPr>
            </w:pPr>
            <w:r w:rsidRPr="00B23CF1">
              <w:rPr>
                <w:rFonts w:eastAsia="Times New Roman" w:cs="Arial"/>
                <w:b/>
                <w:bCs/>
                <w:kern w:val="0"/>
                <w:sz w:val="20"/>
                <w:szCs w:val="20"/>
                <w:lang w:val="es-ES" w:eastAsia="es-ES"/>
                <w14:ligatures w14:val="none"/>
              </w:rPr>
              <w:t>D2. Desviaciones de las intervenciones previstas</w:t>
            </w:r>
          </w:p>
        </w:tc>
        <w:tc>
          <w:tcPr>
            <w:tcW w:w="0" w:type="auto"/>
            <w:shd w:val="clear" w:color="auto" w:fill="FCFEB4"/>
            <w:hideMark/>
          </w:tcPr>
          <w:p w14:paraId="1E4F2BDE" w14:textId="77777777" w:rsidR="00D9536A" w:rsidRPr="00B23CF1" w:rsidRDefault="00D9536A" w:rsidP="00905AD4">
            <w:pPr>
              <w:jc w:val="center"/>
              <w:rPr>
                <w:rFonts w:eastAsia="Times New Roman" w:cs="Arial"/>
                <w:b/>
                <w:bCs/>
                <w:kern w:val="0"/>
                <w:sz w:val="20"/>
                <w:szCs w:val="20"/>
                <w:lang w:val="es-ES" w:eastAsia="es-ES"/>
                <w14:ligatures w14:val="none"/>
              </w:rPr>
            </w:pPr>
            <w:r w:rsidRPr="00B23CF1">
              <w:rPr>
                <w:rFonts w:eastAsia="Times New Roman" w:cs="Arial"/>
                <w:b/>
                <w:bCs/>
                <w:kern w:val="0"/>
                <w:sz w:val="20"/>
                <w:szCs w:val="20"/>
                <w:lang w:val="es-ES" w:eastAsia="es-ES"/>
                <w14:ligatures w14:val="none"/>
              </w:rPr>
              <w:t>D3. Datos faltantes del desenlace</w:t>
            </w:r>
          </w:p>
        </w:tc>
        <w:tc>
          <w:tcPr>
            <w:tcW w:w="0" w:type="auto"/>
            <w:shd w:val="clear" w:color="auto" w:fill="FCFEB4"/>
            <w:hideMark/>
          </w:tcPr>
          <w:p w14:paraId="5E529686" w14:textId="77777777" w:rsidR="00D9536A" w:rsidRPr="00B23CF1" w:rsidRDefault="00D9536A" w:rsidP="00905AD4">
            <w:pPr>
              <w:jc w:val="center"/>
              <w:rPr>
                <w:rFonts w:eastAsia="Times New Roman" w:cs="Arial"/>
                <w:b/>
                <w:bCs/>
                <w:kern w:val="0"/>
                <w:sz w:val="20"/>
                <w:szCs w:val="20"/>
                <w:lang w:val="es-ES" w:eastAsia="es-ES"/>
                <w14:ligatures w14:val="none"/>
              </w:rPr>
            </w:pPr>
            <w:r w:rsidRPr="00B23CF1">
              <w:rPr>
                <w:rFonts w:eastAsia="Times New Roman" w:cs="Arial"/>
                <w:b/>
                <w:bCs/>
                <w:kern w:val="0"/>
                <w:sz w:val="20"/>
                <w:szCs w:val="20"/>
                <w:lang w:val="es-ES" w:eastAsia="es-ES"/>
                <w14:ligatures w14:val="none"/>
              </w:rPr>
              <w:t>D4. Medición del desenlace</w:t>
            </w:r>
          </w:p>
        </w:tc>
        <w:tc>
          <w:tcPr>
            <w:tcW w:w="0" w:type="auto"/>
            <w:shd w:val="clear" w:color="auto" w:fill="FCFEB4"/>
            <w:hideMark/>
          </w:tcPr>
          <w:p w14:paraId="21657955" w14:textId="77777777" w:rsidR="00D9536A" w:rsidRPr="00B23CF1" w:rsidRDefault="00D9536A" w:rsidP="00905AD4">
            <w:pPr>
              <w:jc w:val="center"/>
              <w:rPr>
                <w:rFonts w:eastAsia="Times New Roman" w:cs="Arial"/>
                <w:b/>
                <w:bCs/>
                <w:kern w:val="0"/>
                <w:sz w:val="20"/>
                <w:szCs w:val="20"/>
                <w:lang w:val="es-ES" w:eastAsia="es-ES"/>
                <w14:ligatures w14:val="none"/>
              </w:rPr>
            </w:pPr>
            <w:r w:rsidRPr="00B23CF1">
              <w:rPr>
                <w:rFonts w:eastAsia="Times New Roman" w:cs="Arial"/>
                <w:b/>
                <w:bCs/>
                <w:kern w:val="0"/>
                <w:sz w:val="20"/>
                <w:szCs w:val="20"/>
                <w:lang w:val="es-ES" w:eastAsia="es-ES"/>
                <w14:ligatures w14:val="none"/>
              </w:rPr>
              <w:t>D5. Selección del resultado informado</w:t>
            </w:r>
          </w:p>
        </w:tc>
        <w:tc>
          <w:tcPr>
            <w:tcW w:w="0" w:type="auto"/>
            <w:shd w:val="clear" w:color="auto" w:fill="FCFEB4"/>
            <w:hideMark/>
          </w:tcPr>
          <w:p w14:paraId="4CEC85E0" w14:textId="77777777" w:rsidR="00D9536A" w:rsidRPr="00B23CF1" w:rsidRDefault="00D9536A" w:rsidP="00905AD4">
            <w:pPr>
              <w:jc w:val="center"/>
              <w:rPr>
                <w:rFonts w:eastAsia="Times New Roman" w:cs="Arial"/>
                <w:b/>
                <w:bCs/>
                <w:kern w:val="0"/>
                <w:sz w:val="20"/>
                <w:szCs w:val="20"/>
                <w:lang w:val="es-ES" w:eastAsia="es-ES"/>
                <w14:ligatures w14:val="none"/>
              </w:rPr>
            </w:pPr>
            <w:r w:rsidRPr="00B23CF1">
              <w:rPr>
                <w:rFonts w:eastAsia="Times New Roman" w:cs="Arial"/>
                <w:b/>
                <w:bCs/>
                <w:kern w:val="0"/>
                <w:sz w:val="20"/>
                <w:szCs w:val="20"/>
                <w:lang w:val="es-ES" w:eastAsia="es-ES"/>
                <w14:ligatures w14:val="none"/>
              </w:rPr>
              <w:t>Juicio global</w:t>
            </w:r>
          </w:p>
        </w:tc>
      </w:tr>
      <w:tr w:rsidR="00D9536A" w:rsidRPr="00B23CF1" w14:paraId="0D2457CF" w14:textId="77777777" w:rsidTr="00905AD4">
        <w:tc>
          <w:tcPr>
            <w:tcW w:w="0" w:type="auto"/>
            <w:hideMark/>
          </w:tcPr>
          <w:p w14:paraId="1B88D4E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Alva et al., 2000</w:t>
            </w:r>
          </w:p>
        </w:tc>
        <w:tc>
          <w:tcPr>
            <w:tcW w:w="0" w:type="auto"/>
            <w:hideMark/>
          </w:tcPr>
          <w:p w14:paraId="6B5B466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No aplicable:</w:t>
            </w:r>
            <w:r w:rsidRPr="00B23CF1">
              <w:rPr>
                <w:rFonts w:eastAsia="Times New Roman" w:cs="Arial"/>
                <w:kern w:val="0"/>
                <w:sz w:val="20"/>
                <w:szCs w:val="20"/>
                <w:lang w:val="es-ES" w:eastAsia="es-ES"/>
                <w14:ligatures w14:val="none"/>
              </w:rPr>
              <w:t xml:space="preserve"> asignación secuencial, no aleatoria</w:t>
            </w:r>
          </w:p>
        </w:tc>
        <w:tc>
          <w:tcPr>
            <w:tcW w:w="0" w:type="auto"/>
            <w:hideMark/>
          </w:tcPr>
          <w:p w14:paraId="27A7C923"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No aplicable a </w:t>
            </w:r>
            <w:proofErr w:type="spellStart"/>
            <w:r w:rsidRPr="00B23CF1">
              <w:rPr>
                <w:rFonts w:eastAsia="Times New Roman" w:cs="Arial"/>
                <w:kern w:val="0"/>
                <w:sz w:val="20"/>
                <w:szCs w:val="20"/>
                <w:lang w:val="es-ES" w:eastAsia="es-ES"/>
                <w14:ligatures w14:val="none"/>
              </w:rPr>
              <w:t>RoB</w:t>
            </w:r>
            <w:proofErr w:type="spellEnd"/>
            <w:r w:rsidRPr="00B23CF1">
              <w:rPr>
                <w:rFonts w:eastAsia="Times New Roman" w:cs="Arial"/>
                <w:kern w:val="0"/>
                <w:sz w:val="20"/>
                <w:szCs w:val="20"/>
                <w:lang w:val="es-ES" w:eastAsia="es-ES"/>
                <w14:ligatures w14:val="none"/>
              </w:rPr>
              <w:t xml:space="preserve"> 2</w:t>
            </w:r>
          </w:p>
        </w:tc>
        <w:tc>
          <w:tcPr>
            <w:tcW w:w="0" w:type="auto"/>
            <w:hideMark/>
          </w:tcPr>
          <w:p w14:paraId="6ADC0BB8"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No aplicable a </w:t>
            </w:r>
            <w:proofErr w:type="spellStart"/>
            <w:r w:rsidRPr="00B23CF1">
              <w:rPr>
                <w:rFonts w:eastAsia="Times New Roman" w:cs="Arial"/>
                <w:kern w:val="0"/>
                <w:sz w:val="20"/>
                <w:szCs w:val="20"/>
                <w:lang w:val="es-ES" w:eastAsia="es-ES"/>
                <w14:ligatures w14:val="none"/>
              </w:rPr>
              <w:t>RoB</w:t>
            </w:r>
            <w:proofErr w:type="spellEnd"/>
            <w:r w:rsidRPr="00B23CF1">
              <w:rPr>
                <w:rFonts w:eastAsia="Times New Roman" w:cs="Arial"/>
                <w:kern w:val="0"/>
                <w:sz w:val="20"/>
                <w:szCs w:val="20"/>
                <w:lang w:val="es-ES" w:eastAsia="es-ES"/>
                <w14:ligatures w14:val="none"/>
              </w:rPr>
              <w:t xml:space="preserve"> 2</w:t>
            </w:r>
          </w:p>
        </w:tc>
        <w:tc>
          <w:tcPr>
            <w:tcW w:w="0" w:type="auto"/>
            <w:hideMark/>
          </w:tcPr>
          <w:p w14:paraId="16BA810A"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No aplicable a </w:t>
            </w:r>
            <w:proofErr w:type="spellStart"/>
            <w:r w:rsidRPr="00B23CF1">
              <w:rPr>
                <w:rFonts w:eastAsia="Times New Roman" w:cs="Arial"/>
                <w:kern w:val="0"/>
                <w:sz w:val="20"/>
                <w:szCs w:val="20"/>
                <w:lang w:val="es-ES" w:eastAsia="es-ES"/>
                <w14:ligatures w14:val="none"/>
              </w:rPr>
              <w:t>RoB</w:t>
            </w:r>
            <w:proofErr w:type="spellEnd"/>
            <w:r w:rsidRPr="00B23CF1">
              <w:rPr>
                <w:rFonts w:eastAsia="Times New Roman" w:cs="Arial"/>
                <w:kern w:val="0"/>
                <w:sz w:val="20"/>
                <w:szCs w:val="20"/>
                <w:lang w:val="es-ES" w:eastAsia="es-ES"/>
                <w14:ligatures w14:val="none"/>
              </w:rPr>
              <w:t xml:space="preserve"> 2</w:t>
            </w:r>
          </w:p>
        </w:tc>
        <w:tc>
          <w:tcPr>
            <w:tcW w:w="0" w:type="auto"/>
            <w:hideMark/>
          </w:tcPr>
          <w:p w14:paraId="0BF5256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No aplicable a </w:t>
            </w:r>
            <w:proofErr w:type="spellStart"/>
            <w:r w:rsidRPr="00B23CF1">
              <w:rPr>
                <w:rFonts w:eastAsia="Times New Roman" w:cs="Arial"/>
                <w:kern w:val="0"/>
                <w:sz w:val="20"/>
                <w:szCs w:val="20"/>
                <w:lang w:val="es-ES" w:eastAsia="es-ES"/>
                <w14:ligatures w14:val="none"/>
              </w:rPr>
              <w:t>RoB</w:t>
            </w:r>
            <w:proofErr w:type="spellEnd"/>
            <w:r w:rsidRPr="00B23CF1">
              <w:rPr>
                <w:rFonts w:eastAsia="Times New Roman" w:cs="Arial"/>
                <w:kern w:val="0"/>
                <w:sz w:val="20"/>
                <w:szCs w:val="20"/>
                <w:lang w:val="es-ES" w:eastAsia="es-ES"/>
                <w14:ligatures w14:val="none"/>
              </w:rPr>
              <w:t xml:space="preserve"> 2</w:t>
            </w:r>
          </w:p>
        </w:tc>
        <w:tc>
          <w:tcPr>
            <w:tcW w:w="0" w:type="auto"/>
            <w:hideMark/>
          </w:tcPr>
          <w:p w14:paraId="56A82F1D"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 xml:space="preserve">No aplicable a </w:t>
            </w:r>
            <w:proofErr w:type="spellStart"/>
            <w:r w:rsidRPr="00B23CF1">
              <w:rPr>
                <w:rFonts w:eastAsia="Times New Roman" w:cs="Arial"/>
                <w:b/>
                <w:bCs/>
                <w:kern w:val="0"/>
                <w:sz w:val="20"/>
                <w:szCs w:val="20"/>
                <w:lang w:val="es-ES" w:eastAsia="es-ES"/>
                <w14:ligatures w14:val="none"/>
              </w:rPr>
              <w:t>RoB</w:t>
            </w:r>
            <w:proofErr w:type="spellEnd"/>
            <w:r w:rsidRPr="00B23CF1">
              <w:rPr>
                <w:rFonts w:eastAsia="Times New Roman" w:cs="Arial"/>
                <w:b/>
                <w:bCs/>
                <w:kern w:val="0"/>
                <w:sz w:val="20"/>
                <w:szCs w:val="20"/>
                <w:lang w:val="es-ES" w:eastAsia="es-ES"/>
                <w14:ligatures w14:val="none"/>
              </w:rPr>
              <w:t xml:space="preserve"> 2.</w:t>
            </w:r>
            <w:r w:rsidRPr="00B23CF1">
              <w:rPr>
                <w:rFonts w:eastAsia="Times New Roman" w:cs="Arial"/>
                <w:kern w:val="0"/>
                <w:sz w:val="20"/>
                <w:szCs w:val="20"/>
                <w:lang w:val="es-ES" w:eastAsia="es-ES"/>
                <w14:ligatures w14:val="none"/>
              </w:rPr>
              <w:t xml:space="preserve"> En una valoración tipo ROBINS-I presentaría riesgo serio, principalmente por confusión y selección de participantes</w:t>
            </w:r>
          </w:p>
        </w:tc>
      </w:tr>
      <w:tr w:rsidR="00D9536A" w:rsidRPr="00B23CF1" w14:paraId="74083810" w14:textId="77777777" w:rsidTr="00905AD4">
        <w:tc>
          <w:tcPr>
            <w:tcW w:w="0" w:type="auto"/>
            <w:hideMark/>
          </w:tcPr>
          <w:p w14:paraId="464965BC" w14:textId="77777777" w:rsidR="00D9536A" w:rsidRPr="00B23CF1" w:rsidRDefault="00D9536A" w:rsidP="00905AD4">
            <w:pPr>
              <w:rPr>
                <w:rFonts w:eastAsia="Times New Roman" w:cs="Arial"/>
                <w:kern w:val="0"/>
                <w:sz w:val="20"/>
                <w:szCs w:val="20"/>
                <w:lang w:val="es-ES" w:eastAsia="es-ES"/>
                <w14:ligatures w14:val="none"/>
              </w:rPr>
            </w:pPr>
            <w:proofErr w:type="spellStart"/>
            <w:r w:rsidRPr="00B23CF1">
              <w:rPr>
                <w:rFonts w:eastAsia="Times New Roman" w:cs="Arial"/>
                <w:b/>
                <w:bCs/>
                <w:kern w:val="0"/>
                <w:sz w:val="20"/>
                <w:szCs w:val="20"/>
                <w:lang w:val="es-ES" w:eastAsia="es-ES"/>
                <w14:ligatures w14:val="none"/>
              </w:rPr>
              <w:t>Gülmezoglu</w:t>
            </w:r>
            <w:proofErr w:type="spellEnd"/>
            <w:r w:rsidRPr="00B23CF1">
              <w:rPr>
                <w:rFonts w:eastAsia="Times New Roman" w:cs="Arial"/>
                <w:b/>
                <w:bCs/>
                <w:kern w:val="0"/>
                <w:sz w:val="20"/>
                <w:szCs w:val="20"/>
                <w:lang w:val="es-ES" w:eastAsia="es-ES"/>
                <w14:ligatures w14:val="none"/>
              </w:rPr>
              <w:t xml:space="preserve"> et al., 2001</w:t>
            </w:r>
          </w:p>
        </w:tc>
        <w:tc>
          <w:tcPr>
            <w:tcW w:w="0" w:type="auto"/>
            <w:hideMark/>
          </w:tcPr>
          <w:p w14:paraId="08D0A65B"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Bajo:</w:t>
            </w:r>
            <w:r w:rsidRPr="00B23CF1">
              <w:rPr>
                <w:rFonts w:eastAsia="Times New Roman" w:cs="Arial"/>
                <w:kern w:val="0"/>
                <w:sz w:val="20"/>
                <w:szCs w:val="20"/>
                <w:lang w:val="es-ES" w:eastAsia="es-ES"/>
                <w14:ligatures w14:val="none"/>
              </w:rPr>
              <w:t xml:space="preserve"> secuencia computarizada central, estratificada por país, bloques variables y paquetes numerados sellados</w:t>
            </w:r>
          </w:p>
        </w:tc>
        <w:tc>
          <w:tcPr>
            <w:tcW w:w="0" w:type="auto"/>
            <w:hideMark/>
          </w:tcPr>
          <w:p w14:paraId="478AA85B"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Bajo:</w:t>
            </w:r>
            <w:r w:rsidRPr="00B23CF1">
              <w:rPr>
                <w:rFonts w:eastAsia="Times New Roman" w:cs="Arial"/>
                <w:kern w:val="0"/>
                <w:sz w:val="20"/>
                <w:szCs w:val="20"/>
                <w:lang w:val="es-ES" w:eastAsia="es-ES"/>
                <w14:ligatures w14:val="none"/>
              </w:rPr>
              <w:t xml:space="preserve"> doble simulación, placebos idénticos y análisis por intención de tratar</w:t>
            </w:r>
          </w:p>
        </w:tc>
        <w:tc>
          <w:tcPr>
            <w:tcW w:w="0" w:type="auto"/>
            <w:hideMark/>
          </w:tcPr>
          <w:p w14:paraId="2D6986D9"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Bajo:</w:t>
            </w:r>
            <w:r w:rsidRPr="00B23CF1">
              <w:rPr>
                <w:rFonts w:eastAsia="Times New Roman" w:cs="Arial"/>
                <w:kern w:val="0"/>
                <w:sz w:val="20"/>
                <w:szCs w:val="20"/>
                <w:lang w:val="es-ES" w:eastAsia="es-ES"/>
                <w14:ligatures w14:val="none"/>
              </w:rPr>
              <w:t xml:space="preserve"> pérdidas mínimas y justificadas; se excluyeron cesáreas de urgencia que no recibieron la intervención ni tuvieron medido el desenlace</w:t>
            </w:r>
          </w:p>
        </w:tc>
        <w:tc>
          <w:tcPr>
            <w:tcW w:w="0" w:type="auto"/>
            <w:hideMark/>
          </w:tcPr>
          <w:p w14:paraId="4466F9DD"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Bajo:</w:t>
            </w:r>
            <w:r w:rsidRPr="00B23CF1">
              <w:rPr>
                <w:rFonts w:eastAsia="Times New Roman" w:cs="Arial"/>
                <w:kern w:val="0"/>
                <w:sz w:val="20"/>
                <w:szCs w:val="20"/>
                <w:lang w:val="es-ES" w:eastAsia="es-ES"/>
                <w14:ligatures w14:val="none"/>
              </w:rPr>
              <w:t xml:space="preserve"> pérdida sanguínea medida y procedimientos estandarizados; cegamiento de participantes y personal</w:t>
            </w:r>
          </w:p>
        </w:tc>
        <w:tc>
          <w:tcPr>
            <w:tcW w:w="0" w:type="auto"/>
            <w:hideMark/>
          </w:tcPr>
          <w:p w14:paraId="3D8C749E"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no se dispuso de protocolo público completo para verificar todos los análisis preespecificados</w:t>
            </w:r>
          </w:p>
        </w:tc>
        <w:tc>
          <w:tcPr>
            <w:tcW w:w="0" w:type="auto"/>
            <w:hideMark/>
          </w:tcPr>
          <w:p w14:paraId="5062A95D"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aunque metodológicamente es el estudio más sólido</w:t>
            </w:r>
          </w:p>
        </w:tc>
      </w:tr>
      <w:tr w:rsidR="00D9536A" w:rsidRPr="00B23CF1" w14:paraId="2A46748F" w14:textId="77777777" w:rsidTr="00905AD4">
        <w:tc>
          <w:tcPr>
            <w:tcW w:w="0" w:type="auto"/>
            <w:hideMark/>
          </w:tcPr>
          <w:p w14:paraId="7A5BB18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Angarita Peñaranda et al., 2003</w:t>
            </w:r>
          </w:p>
        </w:tc>
        <w:tc>
          <w:tcPr>
            <w:tcW w:w="0" w:type="auto"/>
            <w:hideMark/>
          </w:tcPr>
          <w:p w14:paraId="2AB566B9"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Bajo:</w:t>
            </w:r>
            <w:r w:rsidRPr="00B23CF1">
              <w:rPr>
                <w:rFonts w:eastAsia="Times New Roman" w:cs="Arial"/>
                <w:kern w:val="0"/>
                <w:sz w:val="20"/>
                <w:szCs w:val="20"/>
                <w:lang w:val="es-ES" w:eastAsia="es-ES"/>
                <w14:ligatures w14:val="none"/>
              </w:rPr>
              <w:t xml:space="preserve"> tabla de números aleatorios, generación por persona externa y </w:t>
            </w:r>
            <w:r w:rsidRPr="00B23CF1">
              <w:rPr>
                <w:rFonts w:eastAsia="Times New Roman" w:cs="Arial"/>
                <w:kern w:val="0"/>
                <w:sz w:val="20"/>
                <w:szCs w:val="20"/>
                <w:lang w:val="es-ES" w:eastAsia="es-ES"/>
                <w14:ligatures w14:val="none"/>
              </w:rPr>
              <w:lastRenderedPageBreak/>
              <w:t>sobres opacos codificados</w:t>
            </w:r>
          </w:p>
        </w:tc>
        <w:tc>
          <w:tcPr>
            <w:tcW w:w="0" w:type="auto"/>
            <w:hideMark/>
          </w:tcPr>
          <w:p w14:paraId="0C329E5A"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Bajo:</w:t>
            </w:r>
            <w:r w:rsidRPr="00B23CF1">
              <w:rPr>
                <w:rFonts w:eastAsia="Times New Roman" w:cs="Arial"/>
                <w:kern w:val="0"/>
                <w:sz w:val="20"/>
                <w:szCs w:val="20"/>
                <w:lang w:val="es-ES" w:eastAsia="es-ES"/>
                <w14:ligatures w14:val="none"/>
              </w:rPr>
              <w:t xml:space="preserve"> doble ciego; administración por personal diferente al </w:t>
            </w:r>
            <w:r w:rsidRPr="00B23CF1">
              <w:rPr>
                <w:rFonts w:eastAsia="Times New Roman" w:cs="Arial"/>
                <w:kern w:val="0"/>
                <w:sz w:val="20"/>
                <w:szCs w:val="20"/>
                <w:lang w:val="es-ES" w:eastAsia="es-ES"/>
                <w14:ligatures w14:val="none"/>
              </w:rPr>
              <w:lastRenderedPageBreak/>
              <w:t>que atendió el parto y midió el sangrado</w:t>
            </w:r>
          </w:p>
        </w:tc>
        <w:tc>
          <w:tcPr>
            <w:tcW w:w="0" w:type="auto"/>
            <w:hideMark/>
          </w:tcPr>
          <w:p w14:paraId="0CF19FB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Bajo:</w:t>
            </w:r>
            <w:r w:rsidRPr="00B23CF1">
              <w:rPr>
                <w:rFonts w:eastAsia="Times New Roman" w:cs="Arial"/>
                <w:kern w:val="0"/>
                <w:sz w:val="20"/>
                <w:szCs w:val="20"/>
                <w:lang w:val="es-ES" w:eastAsia="es-ES"/>
                <w14:ligatures w14:val="none"/>
              </w:rPr>
              <w:t xml:space="preserve"> se explicaron las cinco exclusiones y se </w:t>
            </w:r>
            <w:r w:rsidRPr="00B23CF1">
              <w:rPr>
                <w:rFonts w:eastAsia="Times New Roman" w:cs="Arial"/>
                <w:kern w:val="0"/>
                <w:sz w:val="20"/>
                <w:szCs w:val="20"/>
                <w:lang w:val="es-ES" w:eastAsia="es-ES"/>
                <w14:ligatures w14:val="none"/>
              </w:rPr>
              <w:lastRenderedPageBreak/>
              <w:t>analizaron 80 participantes</w:t>
            </w:r>
          </w:p>
        </w:tc>
        <w:tc>
          <w:tcPr>
            <w:tcW w:w="0" w:type="auto"/>
            <w:hideMark/>
          </w:tcPr>
          <w:p w14:paraId="2C87F73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Bajo:</w:t>
            </w:r>
            <w:r w:rsidRPr="00B23CF1">
              <w:rPr>
                <w:rFonts w:eastAsia="Times New Roman" w:cs="Arial"/>
                <w:kern w:val="0"/>
                <w:sz w:val="20"/>
                <w:szCs w:val="20"/>
                <w:lang w:val="es-ES" w:eastAsia="es-ES"/>
                <w14:ligatures w14:val="none"/>
              </w:rPr>
              <w:t xml:space="preserve"> cuantificación directa en recipiente calibrado y evaluadores enmascarados</w:t>
            </w:r>
          </w:p>
        </w:tc>
        <w:tc>
          <w:tcPr>
            <w:tcW w:w="0" w:type="auto"/>
            <w:hideMark/>
          </w:tcPr>
          <w:p w14:paraId="77247988"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ausencia de </w:t>
            </w:r>
            <w:r w:rsidRPr="00B23CF1">
              <w:rPr>
                <w:rFonts w:eastAsia="Times New Roman" w:cs="Arial"/>
                <w:kern w:val="0"/>
                <w:sz w:val="20"/>
                <w:szCs w:val="20"/>
                <w:lang w:val="es-ES" w:eastAsia="es-ES"/>
                <w14:ligatures w14:val="none"/>
              </w:rPr>
              <w:lastRenderedPageBreak/>
              <w:t>protocolo o registro previo accesible</w:t>
            </w:r>
          </w:p>
        </w:tc>
        <w:tc>
          <w:tcPr>
            <w:tcW w:w="0" w:type="auto"/>
            <w:hideMark/>
          </w:tcPr>
          <w:p w14:paraId="4D57543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Algunas preocupaciones</w:t>
            </w:r>
          </w:p>
        </w:tc>
      </w:tr>
      <w:tr w:rsidR="00D9536A" w:rsidRPr="00B23CF1" w14:paraId="1C2DD857" w14:textId="77777777" w:rsidTr="00905AD4">
        <w:tc>
          <w:tcPr>
            <w:tcW w:w="0" w:type="auto"/>
            <w:hideMark/>
          </w:tcPr>
          <w:p w14:paraId="6BF25CBA"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Morgan Ortiz et al., 2004</w:t>
            </w:r>
          </w:p>
        </w:tc>
        <w:tc>
          <w:tcPr>
            <w:tcW w:w="0" w:type="auto"/>
            <w:hideMark/>
          </w:tcPr>
          <w:p w14:paraId="4BDC300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se informa aleatorización, pero no se explica la generación de la secuencia ni su ocultamiento</w:t>
            </w:r>
          </w:p>
        </w:tc>
        <w:tc>
          <w:tcPr>
            <w:tcW w:w="0" w:type="auto"/>
            <w:hideMark/>
          </w:tcPr>
          <w:p w14:paraId="592C2C8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simple ciego; el personal podía identificar la intervención por la vía de administración</w:t>
            </w:r>
          </w:p>
        </w:tc>
        <w:tc>
          <w:tcPr>
            <w:tcW w:w="0" w:type="auto"/>
            <w:hideMark/>
          </w:tcPr>
          <w:p w14:paraId="0EB50DAA"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Bajo:</w:t>
            </w:r>
            <w:r w:rsidRPr="00B23CF1">
              <w:rPr>
                <w:rFonts w:eastAsia="Times New Roman" w:cs="Arial"/>
                <w:kern w:val="0"/>
                <w:sz w:val="20"/>
                <w:szCs w:val="20"/>
                <w:lang w:val="es-ES" w:eastAsia="es-ES"/>
                <w14:ligatures w14:val="none"/>
              </w:rPr>
              <w:t xml:space="preserve"> no se informan pérdidas relevantes entre las 398 participantes</w:t>
            </w:r>
          </w:p>
        </w:tc>
        <w:tc>
          <w:tcPr>
            <w:tcW w:w="0" w:type="auto"/>
            <w:hideMark/>
          </w:tcPr>
          <w:p w14:paraId="52D9E555"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el sangrado fue cuantificado, pero no se especifica si el evaluador estaba cegado</w:t>
            </w:r>
          </w:p>
        </w:tc>
        <w:tc>
          <w:tcPr>
            <w:tcW w:w="0" w:type="auto"/>
            <w:hideMark/>
          </w:tcPr>
          <w:p w14:paraId="0C3FDF0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sin protocolo o registro previo y con múltiples desenlaces</w:t>
            </w:r>
          </w:p>
        </w:tc>
        <w:tc>
          <w:tcPr>
            <w:tcW w:w="0" w:type="auto"/>
            <w:hideMark/>
          </w:tcPr>
          <w:p w14:paraId="095BA74D"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p>
        </w:tc>
      </w:tr>
      <w:tr w:rsidR="00D9536A" w:rsidRPr="00B23CF1" w14:paraId="2A00FE38" w14:textId="77777777" w:rsidTr="00905AD4">
        <w:tc>
          <w:tcPr>
            <w:tcW w:w="0" w:type="auto"/>
            <w:hideMark/>
          </w:tcPr>
          <w:p w14:paraId="25D15142"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Sandoval et al., 2004</w:t>
            </w:r>
          </w:p>
        </w:tc>
        <w:tc>
          <w:tcPr>
            <w:tcW w:w="0" w:type="auto"/>
            <w:hideMark/>
          </w:tcPr>
          <w:p w14:paraId="6A2707A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muestreo aleatorio simple, pero sin descripción suficiente del ocultamiento de la asignación</w:t>
            </w:r>
          </w:p>
        </w:tc>
        <w:tc>
          <w:tcPr>
            <w:tcW w:w="0" w:type="auto"/>
            <w:hideMark/>
          </w:tcPr>
          <w:p w14:paraId="765E424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estudio aparentemente abierto, con intervenciones de vías diferentes</w:t>
            </w:r>
          </w:p>
        </w:tc>
        <w:tc>
          <w:tcPr>
            <w:tcW w:w="0" w:type="auto"/>
            <w:hideMark/>
          </w:tcPr>
          <w:p w14:paraId="1920794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Bajo:</w:t>
            </w:r>
            <w:r w:rsidRPr="00B23CF1">
              <w:rPr>
                <w:rFonts w:eastAsia="Times New Roman" w:cs="Arial"/>
                <w:kern w:val="0"/>
                <w:sz w:val="20"/>
                <w:szCs w:val="20"/>
                <w:lang w:val="es-ES" w:eastAsia="es-ES"/>
                <w14:ligatures w14:val="none"/>
              </w:rPr>
              <w:t xml:space="preserve"> se presentan resultados para los 136 participantes</w:t>
            </w:r>
          </w:p>
        </w:tc>
        <w:tc>
          <w:tcPr>
            <w:tcW w:w="0" w:type="auto"/>
            <w:hideMark/>
          </w:tcPr>
          <w:p w14:paraId="0DD86A9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medición por balanza y toallas pesadas, pero sin cegamiento del evaluador; el conocimiento de la intervención pudo influir en medidas complementarias</w:t>
            </w:r>
          </w:p>
        </w:tc>
        <w:tc>
          <w:tcPr>
            <w:tcW w:w="0" w:type="auto"/>
            <w:hideMark/>
          </w:tcPr>
          <w:p w14:paraId="427DCA45"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no consta protocolo previo</w:t>
            </w:r>
          </w:p>
        </w:tc>
        <w:tc>
          <w:tcPr>
            <w:tcW w:w="0" w:type="auto"/>
            <w:hideMark/>
          </w:tcPr>
          <w:p w14:paraId="6EC5815F"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p>
        </w:tc>
      </w:tr>
      <w:tr w:rsidR="00D9536A" w:rsidRPr="00B23CF1" w14:paraId="65C22EFE" w14:textId="77777777" w:rsidTr="00905AD4">
        <w:tc>
          <w:tcPr>
            <w:tcW w:w="0" w:type="auto"/>
            <w:hideMark/>
          </w:tcPr>
          <w:p w14:paraId="0325629E"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Quiroga Díaz et al., 2009</w:t>
            </w:r>
          </w:p>
        </w:tc>
        <w:tc>
          <w:tcPr>
            <w:tcW w:w="0" w:type="auto"/>
            <w:hideMark/>
          </w:tcPr>
          <w:p w14:paraId="4C450AAF"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se indica asignación al azar, pero no se describe cómo se </w:t>
            </w:r>
            <w:r w:rsidRPr="00B23CF1">
              <w:rPr>
                <w:rFonts w:eastAsia="Times New Roman" w:cs="Arial"/>
                <w:kern w:val="0"/>
                <w:sz w:val="20"/>
                <w:szCs w:val="20"/>
                <w:lang w:val="es-ES" w:eastAsia="es-ES"/>
                <w14:ligatures w14:val="none"/>
              </w:rPr>
              <w:lastRenderedPageBreak/>
              <w:t>generó ni ocultó la secuencia</w:t>
            </w:r>
          </w:p>
        </w:tc>
        <w:tc>
          <w:tcPr>
            <w:tcW w:w="0" w:type="auto"/>
            <w:hideMark/>
          </w:tcPr>
          <w:p w14:paraId="0FB7B9C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Bajo/Algunas preocupaciones:</w:t>
            </w:r>
            <w:r w:rsidRPr="00B23CF1">
              <w:rPr>
                <w:rFonts w:eastAsia="Times New Roman" w:cs="Arial"/>
                <w:kern w:val="0"/>
                <w:sz w:val="20"/>
                <w:szCs w:val="20"/>
                <w:lang w:val="es-ES" w:eastAsia="es-ES"/>
                <w14:ligatures w14:val="none"/>
              </w:rPr>
              <w:t xml:space="preserve"> uso de placebo intrauterino, aunque no queda </w:t>
            </w:r>
            <w:r w:rsidRPr="00B23CF1">
              <w:rPr>
                <w:rFonts w:eastAsia="Times New Roman" w:cs="Arial"/>
                <w:kern w:val="0"/>
                <w:sz w:val="20"/>
                <w:szCs w:val="20"/>
                <w:lang w:val="es-ES" w:eastAsia="es-ES"/>
                <w14:ligatures w14:val="none"/>
              </w:rPr>
              <w:lastRenderedPageBreak/>
              <w:t>completamente claro quiénes permanecieron cegados</w:t>
            </w:r>
          </w:p>
        </w:tc>
        <w:tc>
          <w:tcPr>
            <w:tcW w:w="0" w:type="auto"/>
            <w:hideMark/>
          </w:tcPr>
          <w:p w14:paraId="165E44AF"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Bajo:</w:t>
            </w:r>
            <w:r w:rsidRPr="00B23CF1">
              <w:rPr>
                <w:rFonts w:eastAsia="Times New Roman" w:cs="Arial"/>
                <w:kern w:val="0"/>
                <w:sz w:val="20"/>
                <w:szCs w:val="20"/>
                <w:lang w:val="es-ES" w:eastAsia="es-ES"/>
                <w14:ligatures w14:val="none"/>
              </w:rPr>
              <w:t xml:space="preserve"> se reportan resultados de los 200 participantes</w:t>
            </w:r>
          </w:p>
        </w:tc>
        <w:tc>
          <w:tcPr>
            <w:tcW w:w="0" w:type="auto"/>
            <w:hideMark/>
          </w:tcPr>
          <w:p w14:paraId="397DB50E"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hemoglobina y hematocrito son objetivos, pero no se </w:t>
            </w:r>
            <w:r w:rsidRPr="00B23CF1">
              <w:rPr>
                <w:rFonts w:eastAsia="Times New Roman" w:cs="Arial"/>
                <w:kern w:val="0"/>
                <w:sz w:val="20"/>
                <w:szCs w:val="20"/>
                <w:lang w:val="es-ES" w:eastAsia="es-ES"/>
                <w14:ligatures w14:val="none"/>
              </w:rPr>
              <w:lastRenderedPageBreak/>
              <w:t>informa cegamiento de evaluadores ni estandarización completa de otras decisiones clínicas</w:t>
            </w:r>
          </w:p>
        </w:tc>
        <w:tc>
          <w:tcPr>
            <w:tcW w:w="0" w:type="auto"/>
            <w:hideMark/>
          </w:tcPr>
          <w:p w14:paraId="2697BEDE"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Algunas preocupaciones:</w:t>
            </w:r>
            <w:r w:rsidRPr="00B23CF1">
              <w:rPr>
                <w:rFonts w:eastAsia="Times New Roman" w:cs="Arial"/>
                <w:kern w:val="0"/>
                <w:sz w:val="20"/>
                <w:szCs w:val="20"/>
                <w:lang w:val="es-ES" w:eastAsia="es-ES"/>
                <w14:ligatures w14:val="none"/>
              </w:rPr>
              <w:t xml:space="preserve"> sin registro o protocolo previo disponible</w:t>
            </w:r>
          </w:p>
        </w:tc>
        <w:tc>
          <w:tcPr>
            <w:tcW w:w="0" w:type="auto"/>
            <w:hideMark/>
          </w:tcPr>
          <w:p w14:paraId="268209E4"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p>
        </w:tc>
      </w:tr>
      <w:tr w:rsidR="00D9536A" w:rsidRPr="00B23CF1" w14:paraId="4BA6D0F1" w14:textId="77777777" w:rsidTr="00905AD4">
        <w:tc>
          <w:tcPr>
            <w:tcW w:w="0" w:type="auto"/>
            <w:hideMark/>
          </w:tcPr>
          <w:p w14:paraId="6591A4D5"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Falcón Condezo, 2015</w:t>
            </w:r>
          </w:p>
        </w:tc>
        <w:tc>
          <w:tcPr>
            <w:tcW w:w="0" w:type="auto"/>
            <w:hideMark/>
          </w:tcPr>
          <w:p w14:paraId="1F6D621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No aplicable:</w:t>
            </w:r>
            <w:r w:rsidRPr="00B23CF1">
              <w:rPr>
                <w:rFonts w:eastAsia="Times New Roman" w:cs="Arial"/>
                <w:kern w:val="0"/>
                <w:sz w:val="20"/>
                <w:szCs w:val="20"/>
                <w:lang w:val="es-ES" w:eastAsia="es-ES"/>
                <w14:ligatures w14:val="none"/>
              </w:rPr>
              <w:t xml:space="preserve"> estudio no aleatorizado</w:t>
            </w:r>
          </w:p>
        </w:tc>
        <w:tc>
          <w:tcPr>
            <w:tcW w:w="0" w:type="auto"/>
            <w:hideMark/>
          </w:tcPr>
          <w:p w14:paraId="4257BBC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No aplicable a </w:t>
            </w:r>
            <w:proofErr w:type="spellStart"/>
            <w:r w:rsidRPr="00B23CF1">
              <w:rPr>
                <w:rFonts w:eastAsia="Times New Roman" w:cs="Arial"/>
                <w:kern w:val="0"/>
                <w:sz w:val="20"/>
                <w:szCs w:val="20"/>
                <w:lang w:val="es-ES" w:eastAsia="es-ES"/>
                <w14:ligatures w14:val="none"/>
              </w:rPr>
              <w:t>RoB</w:t>
            </w:r>
            <w:proofErr w:type="spellEnd"/>
            <w:r w:rsidRPr="00B23CF1">
              <w:rPr>
                <w:rFonts w:eastAsia="Times New Roman" w:cs="Arial"/>
                <w:kern w:val="0"/>
                <w:sz w:val="20"/>
                <w:szCs w:val="20"/>
                <w:lang w:val="es-ES" w:eastAsia="es-ES"/>
                <w14:ligatures w14:val="none"/>
              </w:rPr>
              <w:t xml:space="preserve"> 2</w:t>
            </w:r>
          </w:p>
        </w:tc>
        <w:tc>
          <w:tcPr>
            <w:tcW w:w="0" w:type="auto"/>
            <w:hideMark/>
          </w:tcPr>
          <w:p w14:paraId="3ACAC0F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No aplicable a </w:t>
            </w:r>
            <w:proofErr w:type="spellStart"/>
            <w:r w:rsidRPr="00B23CF1">
              <w:rPr>
                <w:rFonts w:eastAsia="Times New Roman" w:cs="Arial"/>
                <w:kern w:val="0"/>
                <w:sz w:val="20"/>
                <w:szCs w:val="20"/>
                <w:lang w:val="es-ES" w:eastAsia="es-ES"/>
                <w14:ligatures w14:val="none"/>
              </w:rPr>
              <w:t>RoB</w:t>
            </w:r>
            <w:proofErr w:type="spellEnd"/>
            <w:r w:rsidRPr="00B23CF1">
              <w:rPr>
                <w:rFonts w:eastAsia="Times New Roman" w:cs="Arial"/>
                <w:kern w:val="0"/>
                <w:sz w:val="20"/>
                <w:szCs w:val="20"/>
                <w:lang w:val="es-ES" w:eastAsia="es-ES"/>
                <w14:ligatures w14:val="none"/>
              </w:rPr>
              <w:t xml:space="preserve"> 2</w:t>
            </w:r>
          </w:p>
        </w:tc>
        <w:tc>
          <w:tcPr>
            <w:tcW w:w="0" w:type="auto"/>
            <w:hideMark/>
          </w:tcPr>
          <w:p w14:paraId="0F58B1A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No aplicable a </w:t>
            </w:r>
            <w:proofErr w:type="spellStart"/>
            <w:r w:rsidRPr="00B23CF1">
              <w:rPr>
                <w:rFonts w:eastAsia="Times New Roman" w:cs="Arial"/>
                <w:kern w:val="0"/>
                <w:sz w:val="20"/>
                <w:szCs w:val="20"/>
                <w:lang w:val="es-ES" w:eastAsia="es-ES"/>
                <w14:ligatures w14:val="none"/>
              </w:rPr>
              <w:t>RoB</w:t>
            </w:r>
            <w:proofErr w:type="spellEnd"/>
            <w:r w:rsidRPr="00B23CF1">
              <w:rPr>
                <w:rFonts w:eastAsia="Times New Roman" w:cs="Arial"/>
                <w:kern w:val="0"/>
                <w:sz w:val="20"/>
                <w:szCs w:val="20"/>
                <w:lang w:val="es-ES" w:eastAsia="es-ES"/>
                <w14:ligatures w14:val="none"/>
              </w:rPr>
              <w:t xml:space="preserve"> 2</w:t>
            </w:r>
          </w:p>
        </w:tc>
        <w:tc>
          <w:tcPr>
            <w:tcW w:w="0" w:type="auto"/>
            <w:hideMark/>
          </w:tcPr>
          <w:p w14:paraId="58A2F2F5"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kern w:val="0"/>
                <w:sz w:val="20"/>
                <w:szCs w:val="20"/>
                <w:lang w:val="es-ES" w:eastAsia="es-ES"/>
                <w14:ligatures w14:val="none"/>
              </w:rPr>
              <w:t xml:space="preserve">No aplicable a </w:t>
            </w:r>
            <w:proofErr w:type="spellStart"/>
            <w:r w:rsidRPr="00B23CF1">
              <w:rPr>
                <w:rFonts w:eastAsia="Times New Roman" w:cs="Arial"/>
                <w:kern w:val="0"/>
                <w:sz w:val="20"/>
                <w:szCs w:val="20"/>
                <w:lang w:val="es-ES" w:eastAsia="es-ES"/>
                <w14:ligatures w14:val="none"/>
              </w:rPr>
              <w:t>RoB</w:t>
            </w:r>
            <w:proofErr w:type="spellEnd"/>
            <w:r w:rsidRPr="00B23CF1">
              <w:rPr>
                <w:rFonts w:eastAsia="Times New Roman" w:cs="Arial"/>
                <w:kern w:val="0"/>
                <w:sz w:val="20"/>
                <w:szCs w:val="20"/>
                <w:lang w:val="es-ES" w:eastAsia="es-ES"/>
                <w14:ligatures w14:val="none"/>
              </w:rPr>
              <w:t xml:space="preserve"> 2</w:t>
            </w:r>
          </w:p>
        </w:tc>
        <w:tc>
          <w:tcPr>
            <w:tcW w:w="0" w:type="auto"/>
            <w:hideMark/>
          </w:tcPr>
          <w:p w14:paraId="7E4F84CE"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 xml:space="preserve">No aplicable a </w:t>
            </w:r>
            <w:proofErr w:type="spellStart"/>
            <w:r w:rsidRPr="00B23CF1">
              <w:rPr>
                <w:rFonts w:eastAsia="Times New Roman" w:cs="Arial"/>
                <w:b/>
                <w:bCs/>
                <w:kern w:val="0"/>
                <w:sz w:val="20"/>
                <w:szCs w:val="20"/>
                <w:lang w:val="es-ES" w:eastAsia="es-ES"/>
                <w14:ligatures w14:val="none"/>
              </w:rPr>
              <w:t>RoB</w:t>
            </w:r>
            <w:proofErr w:type="spellEnd"/>
            <w:r w:rsidRPr="00B23CF1">
              <w:rPr>
                <w:rFonts w:eastAsia="Times New Roman" w:cs="Arial"/>
                <w:b/>
                <w:bCs/>
                <w:kern w:val="0"/>
                <w:sz w:val="20"/>
                <w:szCs w:val="20"/>
                <w:lang w:val="es-ES" w:eastAsia="es-ES"/>
                <w14:ligatures w14:val="none"/>
              </w:rPr>
              <w:t xml:space="preserve"> 2.</w:t>
            </w:r>
            <w:r w:rsidRPr="00B23CF1">
              <w:rPr>
                <w:rFonts w:eastAsia="Times New Roman" w:cs="Arial"/>
                <w:kern w:val="0"/>
                <w:sz w:val="20"/>
                <w:szCs w:val="20"/>
                <w:lang w:val="es-ES" w:eastAsia="es-ES"/>
                <w14:ligatures w14:val="none"/>
              </w:rPr>
              <w:t xml:space="preserve"> En ROBINS-I presentaría riesgo serio por confusión, selección no aleatoria y ausencia de cegamiento</w:t>
            </w:r>
          </w:p>
        </w:tc>
      </w:tr>
      <w:tr w:rsidR="00D9536A" w:rsidRPr="00B23CF1" w14:paraId="00075D75" w14:textId="77777777" w:rsidTr="00905AD4">
        <w:tc>
          <w:tcPr>
            <w:tcW w:w="0" w:type="auto"/>
            <w:hideMark/>
          </w:tcPr>
          <w:p w14:paraId="59AA7C0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Sarabia Salazar et al., 2015</w:t>
            </w:r>
          </w:p>
        </w:tc>
        <w:tc>
          <w:tcPr>
            <w:tcW w:w="0" w:type="auto"/>
            <w:hideMark/>
          </w:tcPr>
          <w:p w14:paraId="7C63ECA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se declara distribución al azar, sin describir generación ni ocultamiento de la secuencia</w:t>
            </w:r>
          </w:p>
        </w:tc>
        <w:tc>
          <w:tcPr>
            <w:tcW w:w="0" w:type="auto"/>
            <w:hideMark/>
          </w:tcPr>
          <w:p w14:paraId="207ACF03"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no se informa cegamiento y las dosis eran identificables</w:t>
            </w:r>
          </w:p>
        </w:tc>
        <w:tc>
          <w:tcPr>
            <w:tcW w:w="0" w:type="auto"/>
            <w:hideMark/>
          </w:tcPr>
          <w:p w14:paraId="226461CF"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Bajo:</w:t>
            </w:r>
            <w:r w:rsidRPr="00B23CF1">
              <w:rPr>
                <w:rFonts w:eastAsia="Times New Roman" w:cs="Arial"/>
                <w:kern w:val="0"/>
                <w:sz w:val="20"/>
                <w:szCs w:val="20"/>
                <w:lang w:val="es-ES" w:eastAsia="es-ES"/>
                <w14:ligatures w14:val="none"/>
              </w:rPr>
              <w:t xml:space="preserve"> los 350 participantes se incluyen en los resultados</w:t>
            </w:r>
          </w:p>
        </w:tc>
        <w:tc>
          <w:tcPr>
            <w:tcW w:w="0" w:type="auto"/>
            <w:hideMark/>
          </w:tcPr>
          <w:p w14:paraId="0009132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desenlaces clínicos y duración del alumbramiento, pero sin información sobre cegamiento de los evaluadores ni método detallado para cuantificar la pérdida hemática</w:t>
            </w:r>
          </w:p>
        </w:tc>
        <w:tc>
          <w:tcPr>
            <w:tcW w:w="0" w:type="auto"/>
            <w:hideMark/>
          </w:tcPr>
          <w:p w14:paraId="772F6CB1"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no consta protocolo previo y la incidencia de HPP no se presenta claramente por grupo</w:t>
            </w:r>
          </w:p>
        </w:tc>
        <w:tc>
          <w:tcPr>
            <w:tcW w:w="0" w:type="auto"/>
            <w:hideMark/>
          </w:tcPr>
          <w:p w14:paraId="7169B9BC"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p>
        </w:tc>
      </w:tr>
      <w:tr w:rsidR="00D9536A" w:rsidRPr="00B23CF1" w14:paraId="329DDAD0" w14:textId="77777777" w:rsidTr="00905AD4">
        <w:tc>
          <w:tcPr>
            <w:tcW w:w="0" w:type="auto"/>
            <w:hideMark/>
          </w:tcPr>
          <w:p w14:paraId="3599043B"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Rubio-</w:t>
            </w:r>
            <w:proofErr w:type="spellStart"/>
            <w:r w:rsidRPr="00B23CF1">
              <w:rPr>
                <w:rFonts w:eastAsia="Times New Roman" w:cs="Arial"/>
                <w:b/>
                <w:bCs/>
                <w:kern w:val="0"/>
                <w:sz w:val="20"/>
                <w:szCs w:val="20"/>
                <w:lang w:val="es-ES" w:eastAsia="es-ES"/>
                <w14:ligatures w14:val="none"/>
              </w:rPr>
              <w:t>Esperano</w:t>
            </w:r>
            <w:proofErr w:type="spellEnd"/>
            <w:r w:rsidRPr="00B23CF1">
              <w:rPr>
                <w:rFonts w:eastAsia="Times New Roman" w:cs="Arial"/>
                <w:b/>
                <w:bCs/>
                <w:kern w:val="0"/>
                <w:sz w:val="20"/>
                <w:szCs w:val="20"/>
                <w:lang w:val="es-ES" w:eastAsia="es-ES"/>
                <w14:ligatures w14:val="none"/>
              </w:rPr>
              <w:t xml:space="preserve"> et al., 2018</w:t>
            </w:r>
          </w:p>
        </w:tc>
        <w:tc>
          <w:tcPr>
            <w:tcW w:w="0" w:type="auto"/>
            <w:hideMark/>
          </w:tcPr>
          <w:p w14:paraId="4A44242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t>Algunas preocupaciones:</w:t>
            </w:r>
            <w:r w:rsidRPr="00B23CF1">
              <w:rPr>
                <w:rFonts w:eastAsia="Times New Roman" w:cs="Arial"/>
                <w:kern w:val="0"/>
                <w:sz w:val="20"/>
                <w:szCs w:val="20"/>
                <w:lang w:val="es-ES" w:eastAsia="es-ES"/>
                <w14:ligatures w14:val="none"/>
              </w:rPr>
              <w:t xml:space="preserve"> se informa asignación </w:t>
            </w:r>
            <w:r w:rsidRPr="00B23CF1">
              <w:rPr>
                <w:rFonts w:eastAsia="Times New Roman" w:cs="Arial"/>
                <w:kern w:val="0"/>
                <w:sz w:val="20"/>
                <w:szCs w:val="20"/>
                <w:lang w:val="es-ES" w:eastAsia="es-ES"/>
                <w14:ligatures w14:val="none"/>
              </w:rPr>
              <w:lastRenderedPageBreak/>
              <w:t>aleatoria, pero no el método de generación ni ocultamiento</w:t>
            </w:r>
          </w:p>
        </w:tc>
        <w:tc>
          <w:tcPr>
            <w:tcW w:w="0" w:type="auto"/>
            <w:hideMark/>
          </w:tcPr>
          <w:p w14:paraId="332BAFAE"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Bajo/Algunas preocupaciones:</w:t>
            </w:r>
            <w:r w:rsidRPr="00B23CF1">
              <w:rPr>
                <w:rFonts w:eastAsia="Times New Roman" w:cs="Arial"/>
                <w:kern w:val="0"/>
                <w:sz w:val="20"/>
                <w:szCs w:val="20"/>
                <w:lang w:val="es-ES" w:eastAsia="es-ES"/>
                <w14:ligatures w14:val="none"/>
              </w:rPr>
              <w:t xml:space="preserve"> placebo intrauterino </w:t>
            </w:r>
            <w:r w:rsidRPr="00B23CF1">
              <w:rPr>
                <w:rFonts w:eastAsia="Times New Roman" w:cs="Arial"/>
                <w:kern w:val="0"/>
                <w:sz w:val="20"/>
                <w:szCs w:val="20"/>
                <w:lang w:val="es-ES" w:eastAsia="es-ES"/>
                <w14:ligatures w14:val="none"/>
              </w:rPr>
              <w:lastRenderedPageBreak/>
              <w:t>idéntico, aunque no se precisa el nivel de cegamiento del equipo quirúrgico</w:t>
            </w:r>
          </w:p>
        </w:tc>
        <w:tc>
          <w:tcPr>
            <w:tcW w:w="0" w:type="auto"/>
            <w:hideMark/>
          </w:tcPr>
          <w:p w14:paraId="2DFF72F0"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Bajo:</w:t>
            </w:r>
            <w:r w:rsidRPr="00B23CF1">
              <w:rPr>
                <w:rFonts w:eastAsia="Times New Roman" w:cs="Arial"/>
                <w:kern w:val="0"/>
                <w:sz w:val="20"/>
                <w:szCs w:val="20"/>
                <w:lang w:val="es-ES" w:eastAsia="es-ES"/>
                <w14:ligatures w14:val="none"/>
              </w:rPr>
              <w:t xml:space="preserve"> se informan los </w:t>
            </w:r>
            <w:r w:rsidRPr="00B23CF1">
              <w:rPr>
                <w:rFonts w:eastAsia="Times New Roman" w:cs="Arial"/>
                <w:kern w:val="0"/>
                <w:sz w:val="20"/>
                <w:szCs w:val="20"/>
                <w:lang w:val="es-ES" w:eastAsia="es-ES"/>
                <w14:ligatures w14:val="none"/>
              </w:rPr>
              <w:lastRenderedPageBreak/>
              <w:t>resultados de las 148 participantes</w:t>
            </w:r>
          </w:p>
        </w:tc>
        <w:tc>
          <w:tcPr>
            <w:tcW w:w="0" w:type="auto"/>
            <w:hideMark/>
          </w:tcPr>
          <w:p w14:paraId="3BE93B07"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Algunas preocupaciones:</w:t>
            </w:r>
            <w:r w:rsidRPr="00B23CF1">
              <w:rPr>
                <w:rFonts w:eastAsia="Times New Roman" w:cs="Arial"/>
                <w:kern w:val="0"/>
                <w:sz w:val="20"/>
                <w:szCs w:val="20"/>
                <w:lang w:val="es-ES" w:eastAsia="es-ES"/>
                <w14:ligatures w14:val="none"/>
              </w:rPr>
              <w:t xml:space="preserve"> el sangrado fue estimado </w:t>
            </w:r>
            <w:r w:rsidRPr="00B23CF1">
              <w:rPr>
                <w:rFonts w:eastAsia="Times New Roman" w:cs="Arial"/>
                <w:kern w:val="0"/>
                <w:sz w:val="20"/>
                <w:szCs w:val="20"/>
                <w:lang w:val="es-ES" w:eastAsia="es-ES"/>
                <w14:ligatures w14:val="none"/>
              </w:rPr>
              <w:lastRenderedPageBreak/>
              <w:t>por el anestesiólogo mediante pesaje, pero no se indica si permaneció cegado</w:t>
            </w:r>
          </w:p>
        </w:tc>
        <w:tc>
          <w:tcPr>
            <w:tcW w:w="0" w:type="auto"/>
            <w:hideMark/>
          </w:tcPr>
          <w:p w14:paraId="7D8A4D36"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Algunas preocupaciones:</w:t>
            </w:r>
            <w:r w:rsidRPr="00B23CF1">
              <w:rPr>
                <w:rFonts w:eastAsia="Times New Roman" w:cs="Arial"/>
                <w:kern w:val="0"/>
                <w:sz w:val="20"/>
                <w:szCs w:val="20"/>
                <w:lang w:val="es-ES" w:eastAsia="es-ES"/>
                <w14:ligatures w14:val="none"/>
              </w:rPr>
              <w:t xml:space="preserve"> no se identificó registro </w:t>
            </w:r>
            <w:r w:rsidRPr="00B23CF1">
              <w:rPr>
                <w:rFonts w:eastAsia="Times New Roman" w:cs="Arial"/>
                <w:kern w:val="0"/>
                <w:sz w:val="20"/>
                <w:szCs w:val="20"/>
                <w:lang w:val="es-ES" w:eastAsia="es-ES"/>
                <w14:ligatures w14:val="none"/>
              </w:rPr>
              <w:lastRenderedPageBreak/>
              <w:t>previo ni plan estadístico publicado</w:t>
            </w:r>
          </w:p>
        </w:tc>
        <w:tc>
          <w:tcPr>
            <w:tcW w:w="0" w:type="auto"/>
            <w:hideMark/>
          </w:tcPr>
          <w:p w14:paraId="3DC1105F" w14:textId="77777777" w:rsidR="00D9536A" w:rsidRPr="00B23CF1" w:rsidRDefault="00D9536A" w:rsidP="00905AD4">
            <w:pPr>
              <w:rPr>
                <w:rFonts w:eastAsia="Times New Roman" w:cs="Arial"/>
                <w:kern w:val="0"/>
                <w:sz w:val="20"/>
                <w:szCs w:val="20"/>
                <w:lang w:val="es-ES" w:eastAsia="es-ES"/>
                <w14:ligatures w14:val="none"/>
              </w:rPr>
            </w:pPr>
            <w:r w:rsidRPr="00B23CF1">
              <w:rPr>
                <w:rFonts w:eastAsia="Times New Roman" w:cs="Arial"/>
                <w:b/>
                <w:bCs/>
                <w:kern w:val="0"/>
                <w:sz w:val="20"/>
                <w:szCs w:val="20"/>
                <w:lang w:val="es-ES" w:eastAsia="es-ES"/>
                <w14:ligatures w14:val="none"/>
              </w:rPr>
              <w:lastRenderedPageBreak/>
              <w:t>Algunas preocupaciones</w:t>
            </w:r>
          </w:p>
        </w:tc>
      </w:tr>
    </w:tbl>
    <w:p w14:paraId="6CE03048" w14:textId="77777777" w:rsidR="00D9536A" w:rsidRPr="00B23CF1" w:rsidRDefault="00D9536A" w:rsidP="00D9536A">
      <w:pPr>
        <w:rPr>
          <w:sz w:val="20"/>
          <w:szCs w:val="20"/>
        </w:rPr>
      </w:pPr>
      <w:r w:rsidRPr="00B23CF1">
        <w:rPr>
          <w:sz w:val="20"/>
          <w:szCs w:val="20"/>
        </w:rPr>
        <w:t xml:space="preserve">Nota. D1: sesgo derivado del proceso de aleatorización; D2: sesgo debido a desviaciones de las intervenciones previstas; D3: sesgo debido a datos faltantes; D4: sesgo en la medición del desenlace; D5: sesgo en la selección del resultado informado. </w:t>
      </w:r>
      <w:proofErr w:type="spellStart"/>
      <w:r w:rsidRPr="00B23CF1">
        <w:rPr>
          <w:sz w:val="20"/>
          <w:szCs w:val="20"/>
        </w:rPr>
        <w:t>RoB</w:t>
      </w:r>
      <w:proofErr w:type="spellEnd"/>
      <w:r w:rsidRPr="00B23CF1">
        <w:rPr>
          <w:sz w:val="20"/>
          <w:szCs w:val="20"/>
        </w:rPr>
        <w:t xml:space="preserve"> 2 está diseñado para ensayos aleatorizados; por ello, no es apropiado aplicarlo directamente a Alva et al. ni a Falcón Condezo. La evaluación de estos estudios requiere ROBINS-I. Angarita et al. describió con mayor claridad la secuencia aleatoria, el ocultamiento y el enmascaramiento. El ensayo de la OMS utilizó generación computarizada central, bloques variables, paquetes secuenciales sellados y doble simulación.</w:t>
      </w:r>
    </w:p>
    <w:p w14:paraId="6FA92860" w14:textId="77777777" w:rsidR="00D9536A" w:rsidRDefault="00D9536A" w:rsidP="00D9536A"/>
    <w:p w14:paraId="477ECC35" w14:textId="77777777" w:rsidR="00D9536A" w:rsidRDefault="00D9536A" w:rsidP="00D9536A"/>
    <w:p w14:paraId="666CE54B" w14:textId="77777777" w:rsidR="00D9536A" w:rsidRDefault="00D9536A" w:rsidP="00D9536A"/>
    <w:p w14:paraId="7AA5587E" w14:textId="77777777" w:rsidR="00D9536A" w:rsidRDefault="00D9536A" w:rsidP="00D9536A"/>
    <w:p w14:paraId="3440C958" w14:textId="77777777" w:rsidR="00D9536A" w:rsidRDefault="00D9536A" w:rsidP="00D9536A"/>
    <w:p w14:paraId="3478FA47" w14:textId="77777777" w:rsidR="00D9536A" w:rsidRDefault="00D9536A" w:rsidP="00D9536A"/>
    <w:p w14:paraId="2026504F" w14:textId="77777777" w:rsidR="00D9536A" w:rsidRDefault="00D9536A" w:rsidP="00D9536A"/>
    <w:p w14:paraId="78E3AA5B" w14:textId="77777777" w:rsidR="00D9536A" w:rsidRDefault="00D9536A" w:rsidP="00D9536A"/>
    <w:p w14:paraId="510B6616" w14:textId="77777777" w:rsidR="00D9536A" w:rsidRDefault="00D9536A" w:rsidP="00D9536A"/>
    <w:p w14:paraId="3D582BBD" w14:textId="77777777" w:rsidR="00D9536A" w:rsidRDefault="00D9536A" w:rsidP="00D9536A"/>
    <w:p w14:paraId="7A92D204" w14:textId="77777777" w:rsidR="00D9536A" w:rsidRDefault="00D9536A" w:rsidP="00D9536A">
      <w:pPr>
        <w:pStyle w:val="Descripcin"/>
      </w:pPr>
      <w:bookmarkStart w:id="45" w:name="_Toc235815426"/>
      <w:r>
        <w:lastRenderedPageBreak/>
        <w:t xml:space="preserve">Figura </w:t>
      </w:r>
      <w:r>
        <w:fldChar w:fldCharType="begin"/>
      </w:r>
      <w:r>
        <w:instrText xml:space="preserve"> SEQ Figura \* ARABIC </w:instrText>
      </w:r>
      <w:r>
        <w:fldChar w:fldCharType="separate"/>
      </w:r>
      <w:r>
        <w:rPr>
          <w:noProof/>
        </w:rPr>
        <w:t>2</w:t>
      </w:r>
      <w:r>
        <w:fldChar w:fldCharType="end"/>
      </w:r>
      <w:r>
        <w:t xml:space="preserve">. </w:t>
      </w:r>
      <w:r w:rsidRPr="00A632F5">
        <w:t>Evaluación Del Riesgo De Sesgo De Los Estudios Mediante La Herramienta Rob 2</w:t>
      </w:r>
      <w:bookmarkEnd w:id="45"/>
    </w:p>
    <w:p w14:paraId="6D8FD3EB" w14:textId="77777777" w:rsidR="00D9536A" w:rsidRDefault="00D9536A" w:rsidP="00D9536A">
      <w:pPr>
        <w:jc w:val="center"/>
      </w:pPr>
      <w:r w:rsidRPr="00A632F5">
        <w:rPr>
          <w:noProof/>
        </w:rPr>
        <w:drawing>
          <wp:inline distT="0" distB="0" distL="0" distR="0" wp14:anchorId="437956B0" wp14:editId="7195AD2A">
            <wp:extent cx="6486277" cy="43243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97136" cy="4331589"/>
                    </a:xfrm>
                    <a:prstGeom prst="rect">
                      <a:avLst/>
                    </a:prstGeom>
                  </pic:spPr>
                </pic:pic>
              </a:graphicData>
            </a:graphic>
          </wp:inline>
        </w:drawing>
      </w:r>
    </w:p>
    <w:p w14:paraId="54926C53" w14:textId="162125A9" w:rsidR="00D9536A" w:rsidRDefault="00D9536A" w:rsidP="00D9536A">
      <w:pPr>
        <w:spacing w:line="276" w:lineRule="auto"/>
      </w:pPr>
      <w:r w:rsidRPr="00D9536A">
        <w:rPr>
          <w:sz w:val="18"/>
          <w:szCs w:val="18"/>
        </w:rPr>
        <w:t xml:space="preserve">Nota. El riesgo de sesgo se evaluó en cinco dominios: D1, proceso de aleatorización; D2, desviaciones de las intervenciones previstas; D3, datos de resultados faltantes; D4, medición del resultado; y D5, selección del resultado reportado. Los círculos verdes indican bajo riesgo de sesgo, los amarillos algunas preocupaciones y los rojos alto riesgo. En la valoración global, 14% de los estudios presentó bajo riesgo, 72% algunas preocupaciones y 14% alto riesgo. El dominio con mayor proporción de algunas preocupaciones fue D2, mientras que D3 y D4 mostraron el mayor porcentaje de estudios con bajo riesgo. Alva et al. (2000) y Falcón Condezo (2015) no corresponden estrictamente a ensayos aleatorizados, por lo que su evaluación mediante </w:t>
      </w:r>
      <w:proofErr w:type="spellStart"/>
      <w:r w:rsidRPr="00D9536A">
        <w:rPr>
          <w:sz w:val="18"/>
          <w:szCs w:val="18"/>
        </w:rPr>
        <w:t>RoB</w:t>
      </w:r>
      <w:proofErr w:type="spellEnd"/>
      <w:r w:rsidRPr="00D9536A">
        <w:rPr>
          <w:sz w:val="18"/>
          <w:szCs w:val="18"/>
        </w:rPr>
        <w:t xml:space="preserve"> 2 debe interpretarse con cautela; para estudios no aleatorizados, la herramienta metodológicamente más apropiada es ROBINS-I.</w:t>
      </w:r>
    </w:p>
    <w:p w14:paraId="66A38F18" w14:textId="77777777" w:rsidR="00D9536A" w:rsidRDefault="00D9536A" w:rsidP="00676C73">
      <w:pPr>
        <w:sectPr w:rsidR="00D9536A" w:rsidSect="00D9536A">
          <w:pgSz w:w="15840" w:h="12240" w:orient="landscape"/>
          <w:pgMar w:top="1701" w:right="1418" w:bottom="1701" w:left="1418" w:header="709" w:footer="709" w:gutter="0"/>
          <w:cols w:space="708"/>
          <w:docGrid w:linePitch="360"/>
        </w:sectPr>
      </w:pPr>
    </w:p>
    <w:p w14:paraId="318EB299" w14:textId="6FB64A93" w:rsidR="00676C73" w:rsidRDefault="00676C73" w:rsidP="00676C73">
      <w:pPr>
        <w:pStyle w:val="Ttulo2"/>
      </w:pPr>
      <w:bookmarkStart w:id="46" w:name="_Toc235815377"/>
      <w:r>
        <w:lastRenderedPageBreak/>
        <w:t>Eficacia de las intervenciones</w:t>
      </w:r>
      <w:bookmarkEnd w:id="46"/>
    </w:p>
    <w:p w14:paraId="55C6DD2A" w14:textId="6F6FFE93" w:rsidR="00676C73" w:rsidRDefault="00676C73" w:rsidP="00676C73">
      <w:r>
        <w:t xml:space="preserve">La descripción de los resultados reportados en los estudios seleccionados sobre la eficacia de las intervenciones en la prevención de la hemorragia postparto detallados en la tabla 3, indican que los resultados mostraron variabilidad según la vía de administración, la dosis y el comparador utilizado. En la única comparación directa entre misoprostol sublingual y oral, Alva et al. encontraron menor volumen medio de sangrado y menor duración del alumbramiento con la vía sublingual. El sangrado medio fue de 170,4 </w:t>
      </w:r>
      <w:proofErr w:type="spellStart"/>
      <w:r>
        <w:t>mL</w:t>
      </w:r>
      <w:proofErr w:type="spellEnd"/>
      <w:r>
        <w:t xml:space="preserve"> con misoprostol sublingual y 266,9 </w:t>
      </w:r>
      <w:proofErr w:type="spellStart"/>
      <w:r>
        <w:t>mL</w:t>
      </w:r>
      <w:proofErr w:type="spellEnd"/>
      <w:r>
        <w:t xml:space="preserve"> con misoprostol oral, con diferencia estadísticamente significativa .</w:t>
      </w:r>
    </w:p>
    <w:p w14:paraId="59A0DAC8" w14:textId="03C7176E" w:rsidR="00676C73" w:rsidRDefault="00676C73" w:rsidP="00676C73">
      <w:r>
        <w:t xml:space="preserve">En la comparación entre misoprostol sublingual y placebo, Angarita Peñaranda et al. observaron una menor frecuencia de sangrado igual o superior a 500 </w:t>
      </w:r>
      <w:proofErr w:type="spellStart"/>
      <w:r>
        <w:t>mL</w:t>
      </w:r>
      <w:proofErr w:type="spellEnd"/>
      <w:r>
        <w:t xml:space="preserve"> con misoprostol, 42% frente a 52%, aunque la diferencia no fue estadísticamente significativa. El volumen medio de sangrado y la duración del alumbramiento también fueron menores con misoprostol, sin alcanzar significación estadística (ver tabla 3).</w:t>
      </w:r>
    </w:p>
    <w:p w14:paraId="1DC36F08" w14:textId="59CD5FE6" w:rsidR="00676C73" w:rsidRDefault="00676C73" w:rsidP="00676C73">
      <w:r>
        <w:t xml:space="preserve">Los estudios que compararon misoprostol sublingual con oxitocina presentaron resultados diferentes. Sandoval et al. informaron mayor frecuencia de HPP igual o superior a 1000 </w:t>
      </w:r>
      <w:proofErr w:type="spellStart"/>
      <w:r>
        <w:t>mL</w:t>
      </w:r>
      <w:proofErr w:type="spellEnd"/>
      <w:r>
        <w:t>, mayor volumen de sangrado y mayor duración del alumbramiento con misoprostol sublingual. Falcón Condezo no encontró diferencias significativas en el volumen de sangrado, aunque reportó una menor duración del alumbramiento con misoprostol (ver tabla 3).</w:t>
      </w:r>
    </w:p>
    <w:p w14:paraId="6FE54D5A" w14:textId="02B3D232" w:rsidR="00676C73" w:rsidRDefault="00676C73" w:rsidP="00676C73">
      <w:r>
        <w:t xml:space="preserve">Entre los estudios de misoprostol oral, el centro argentino del ensayo de </w:t>
      </w:r>
      <w:proofErr w:type="spellStart"/>
      <w:r>
        <w:t>Gülmezoglu</w:t>
      </w:r>
      <w:proofErr w:type="spellEnd"/>
      <w:r>
        <w:t xml:space="preserve"> et al. registró pérdida sanguínea igual o superior a 1000 </w:t>
      </w:r>
      <w:proofErr w:type="spellStart"/>
      <w:r>
        <w:t>mL</w:t>
      </w:r>
      <w:proofErr w:type="spellEnd"/>
      <w:r>
        <w:t xml:space="preserve"> en 7% de las mujeres tratadas con misoprostol y en 4% de las que recibieron oxitocina. Por el contrario, Morgan Ortiz et al. informaron menor volumen medio de sangrado con misoprostol oral y ausencia de casos de HPP mayor de 500 </w:t>
      </w:r>
      <w:proofErr w:type="spellStart"/>
      <w:r>
        <w:t>mL</w:t>
      </w:r>
      <w:proofErr w:type="spellEnd"/>
      <w:r>
        <w:t xml:space="preserve"> en este grupo (ver tabla 3).</w:t>
      </w:r>
    </w:p>
    <w:p w14:paraId="75560122" w14:textId="7C0A641E" w:rsidR="00676C73" w:rsidRDefault="00676C73" w:rsidP="00676C73">
      <w:r>
        <w:t>Sarabia Salazar et al. no encontraron diferencias relevantes entre las dosis sublinguales de 200, 400 y 600 microgramos. Quiroga Díaz et al. y Rubio-</w:t>
      </w:r>
      <w:proofErr w:type="spellStart"/>
      <w:r>
        <w:t>Esperano</w:t>
      </w:r>
      <w:proofErr w:type="spellEnd"/>
      <w:r>
        <w:t xml:space="preserve"> et al. observaron resultados favorables con misoprostol intrauterino como complemento de la oxitocina en mujeres sometidas a cesárea, principalmente en indicadores hematológicos, frecuencia de hemorragia y necesidad de intervenciones adicionales (ver tabla 3).</w:t>
      </w:r>
    </w:p>
    <w:p w14:paraId="5B1F0C91" w14:textId="77777777" w:rsidR="009B4E27" w:rsidRDefault="009B4E27" w:rsidP="00676C73">
      <w:pPr>
        <w:sectPr w:rsidR="009B4E27" w:rsidSect="006F5322">
          <w:pgSz w:w="12240" w:h="15840"/>
          <w:pgMar w:top="1418" w:right="1701" w:bottom="1418" w:left="1701" w:header="709" w:footer="709" w:gutter="0"/>
          <w:cols w:space="708"/>
          <w:docGrid w:linePitch="360"/>
        </w:sectPr>
      </w:pPr>
    </w:p>
    <w:p w14:paraId="1F98EECD" w14:textId="77777777" w:rsidR="009B4E27" w:rsidRDefault="009B4E27" w:rsidP="009B4E27">
      <w:pPr>
        <w:pStyle w:val="Descripcin"/>
      </w:pPr>
      <w:bookmarkStart w:id="47" w:name="_Toc235815411"/>
      <w:r>
        <w:lastRenderedPageBreak/>
        <w:t xml:space="preserve">Tabla </w:t>
      </w:r>
      <w:r>
        <w:fldChar w:fldCharType="begin"/>
      </w:r>
      <w:r>
        <w:instrText xml:space="preserve"> SEQ Tabla \* ARABIC </w:instrText>
      </w:r>
      <w:r>
        <w:fldChar w:fldCharType="separate"/>
      </w:r>
      <w:r>
        <w:rPr>
          <w:noProof/>
        </w:rPr>
        <w:t>3</w:t>
      </w:r>
      <w:r>
        <w:fldChar w:fldCharType="end"/>
      </w:r>
      <w:r>
        <w:t>. Resultados de eficacia de las intervenciones para prevenir la hemorragia posparto</w:t>
      </w:r>
      <w:bookmarkEnd w:id="47"/>
    </w:p>
    <w:tbl>
      <w:tblPr>
        <w:tblStyle w:val="Tablaconcuadrcula"/>
        <w:tblW w:w="0" w:type="auto"/>
        <w:tblLook w:val="04A0" w:firstRow="1" w:lastRow="0" w:firstColumn="1" w:lastColumn="0" w:noHBand="0" w:noVBand="1"/>
      </w:tblPr>
      <w:tblGrid>
        <w:gridCol w:w="1458"/>
        <w:gridCol w:w="1798"/>
        <w:gridCol w:w="1776"/>
        <w:gridCol w:w="2254"/>
        <w:gridCol w:w="2237"/>
        <w:gridCol w:w="3471"/>
      </w:tblGrid>
      <w:tr w:rsidR="009B4E27" w:rsidRPr="00424406" w14:paraId="231C7500" w14:textId="77777777" w:rsidTr="00905AD4">
        <w:tc>
          <w:tcPr>
            <w:tcW w:w="0" w:type="auto"/>
            <w:shd w:val="clear" w:color="auto" w:fill="FFB3FF"/>
            <w:hideMark/>
          </w:tcPr>
          <w:p w14:paraId="490DF74D" w14:textId="77777777" w:rsidR="009B4E27" w:rsidRPr="00424406" w:rsidRDefault="009B4E27" w:rsidP="00905AD4">
            <w:pPr>
              <w:jc w:val="center"/>
              <w:rPr>
                <w:rFonts w:eastAsia="Times New Roman" w:cs="Arial"/>
                <w:b/>
                <w:bCs/>
                <w:kern w:val="0"/>
                <w:sz w:val="20"/>
                <w:szCs w:val="20"/>
                <w:lang w:val="es-ES" w:eastAsia="es-ES"/>
                <w14:ligatures w14:val="none"/>
              </w:rPr>
            </w:pPr>
            <w:r w:rsidRPr="00424406">
              <w:rPr>
                <w:rFonts w:eastAsia="Times New Roman" w:cs="Arial"/>
                <w:b/>
                <w:bCs/>
                <w:kern w:val="0"/>
                <w:sz w:val="20"/>
                <w:szCs w:val="20"/>
                <w:lang w:val="es-ES" w:eastAsia="es-ES"/>
                <w14:ligatures w14:val="none"/>
              </w:rPr>
              <w:t>Autor y año</w:t>
            </w:r>
          </w:p>
        </w:tc>
        <w:tc>
          <w:tcPr>
            <w:tcW w:w="0" w:type="auto"/>
            <w:shd w:val="clear" w:color="auto" w:fill="FFB3FF"/>
            <w:hideMark/>
          </w:tcPr>
          <w:p w14:paraId="37D53418" w14:textId="77777777" w:rsidR="009B4E27" w:rsidRPr="00424406" w:rsidRDefault="009B4E27" w:rsidP="00905AD4">
            <w:pPr>
              <w:jc w:val="center"/>
              <w:rPr>
                <w:rFonts w:eastAsia="Times New Roman" w:cs="Arial"/>
                <w:b/>
                <w:bCs/>
                <w:kern w:val="0"/>
                <w:sz w:val="20"/>
                <w:szCs w:val="20"/>
                <w:lang w:val="es-ES" w:eastAsia="es-ES"/>
                <w14:ligatures w14:val="none"/>
              </w:rPr>
            </w:pPr>
            <w:r w:rsidRPr="00424406">
              <w:rPr>
                <w:rFonts w:eastAsia="Times New Roman" w:cs="Arial"/>
                <w:b/>
                <w:bCs/>
                <w:kern w:val="0"/>
                <w:sz w:val="20"/>
                <w:szCs w:val="20"/>
                <w:lang w:val="es-ES" w:eastAsia="es-ES"/>
                <w14:ligatures w14:val="none"/>
              </w:rPr>
              <w:t>Comparación</w:t>
            </w:r>
          </w:p>
        </w:tc>
        <w:tc>
          <w:tcPr>
            <w:tcW w:w="0" w:type="auto"/>
            <w:shd w:val="clear" w:color="auto" w:fill="FFB3FF"/>
            <w:hideMark/>
          </w:tcPr>
          <w:p w14:paraId="093C3E82" w14:textId="77777777" w:rsidR="009B4E27" w:rsidRPr="00424406" w:rsidRDefault="009B4E27" w:rsidP="00905AD4">
            <w:pPr>
              <w:jc w:val="center"/>
              <w:rPr>
                <w:rFonts w:eastAsia="Times New Roman" w:cs="Arial"/>
                <w:b/>
                <w:bCs/>
                <w:kern w:val="0"/>
                <w:sz w:val="20"/>
                <w:szCs w:val="20"/>
                <w:lang w:val="es-ES" w:eastAsia="es-ES"/>
                <w14:ligatures w14:val="none"/>
              </w:rPr>
            </w:pPr>
            <w:r w:rsidRPr="00424406">
              <w:rPr>
                <w:rFonts w:eastAsia="Times New Roman" w:cs="Arial"/>
                <w:b/>
                <w:bCs/>
                <w:kern w:val="0"/>
                <w:sz w:val="20"/>
                <w:szCs w:val="20"/>
                <w:lang w:val="es-ES" w:eastAsia="es-ES"/>
                <w14:ligatures w14:val="none"/>
              </w:rPr>
              <w:t>Desenlace evaluado</w:t>
            </w:r>
          </w:p>
        </w:tc>
        <w:tc>
          <w:tcPr>
            <w:tcW w:w="0" w:type="auto"/>
            <w:shd w:val="clear" w:color="auto" w:fill="FFB3FF"/>
            <w:hideMark/>
          </w:tcPr>
          <w:p w14:paraId="6736C722" w14:textId="77777777" w:rsidR="009B4E27" w:rsidRPr="00424406" w:rsidRDefault="009B4E27" w:rsidP="00905AD4">
            <w:pPr>
              <w:jc w:val="center"/>
              <w:rPr>
                <w:rFonts w:eastAsia="Times New Roman" w:cs="Arial"/>
                <w:b/>
                <w:bCs/>
                <w:kern w:val="0"/>
                <w:sz w:val="20"/>
                <w:szCs w:val="20"/>
                <w:lang w:val="es-ES" w:eastAsia="es-ES"/>
                <w14:ligatures w14:val="none"/>
              </w:rPr>
            </w:pPr>
            <w:r w:rsidRPr="00424406">
              <w:rPr>
                <w:rFonts w:eastAsia="Times New Roman" w:cs="Arial"/>
                <w:b/>
                <w:bCs/>
                <w:kern w:val="0"/>
                <w:sz w:val="20"/>
                <w:szCs w:val="20"/>
                <w:lang w:val="es-ES" w:eastAsia="es-ES"/>
                <w14:ligatures w14:val="none"/>
              </w:rPr>
              <w:t>Resultados del grupo de misoprostol</w:t>
            </w:r>
          </w:p>
        </w:tc>
        <w:tc>
          <w:tcPr>
            <w:tcW w:w="0" w:type="auto"/>
            <w:shd w:val="clear" w:color="auto" w:fill="FFB3FF"/>
            <w:hideMark/>
          </w:tcPr>
          <w:p w14:paraId="3B824F40" w14:textId="77777777" w:rsidR="009B4E27" w:rsidRPr="00424406" w:rsidRDefault="009B4E27" w:rsidP="00905AD4">
            <w:pPr>
              <w:jc w:val="center"/>
              <w:rPr>
                <w:rFonts w:eastAsia="Times New Roman" w:cs="Arial"/>
                <w:b/>
                <w:bCs/>
                <w:kern w:val="0"/>
                <w:sz w:val="20"/>
                <w:szCs w:val="20"/>
                <w:lang w:val="es-ES" w:eastAsia="es-ES"/>
                <w14:ligatures w14:val="none"/>
              </w:rPr>
            </w:pPr>
            <w:r w:rsidRPr="00424406">
              <w:rPr>
                <w:rFonts w:eastAsia="Times New Roman" w:cs="Arial"/>
                <w:b/>
                <w:bCs/>
                <w:kern w:val="0"/>
                <w:sz w:val="20"/>
                <w:szCs w:val="20"/>
                <w:lang w:val="es-ES" w:eastAsia="es-ES"/>
                <w14:ligatures w14:val="none"/>
              </w:rPr>
              <w:t>Resultados del grupo comparador</w:t>
            </w:r>
          </w:p>
        </w:tc>
        <w:tc>
          <w:tcPr>
            <w:tcW w:w="0" w:type="auto"/>
            <w:shd w:val="clear" w:color="auto" w:fill="FFB3FF"/>
            <w:hideMark/>
          </w:tcPr>
          <w:p w14:paraId="1127134F" w14:textId="77777777" w:rsidR="009B4E27" w:rsidRPr="00424406" w:rsidRDefault="009B4E27" w:rsidP="00905AD4">
            <w:pPr>
              <w:jc w:val="center"/>
              <w:rPr>
                <w:rFonts w:eastAsia="Times New Roman" w:cs="Arial"/>
                <w:b/>
                <w:bCs/>
                <w:kern w:val="0"/>
                <w:sz w:val="20"/>
                <w:szCs w:val="20"/>
                <w:lang w:val="es-ES" w:eastAsia="es-ES"/>
                <w14:ligatures w14:val="none"/>
              </w:rPr>
            </w:pPr>
            <w:r w:rsidRPr="00424406">
              <w:rPr>
                <w:rFonts w:eastAsia="Times New Roman" w:cs="Arial"/>
                <w:b/>
                <w:bCs/>
                <w:kern w:val="0"/>
                <w:sz w:val="20"/>
                <w:szCs w:val="20"/>
                <w:lang w:val="es-ES" w:eastAsia="es-ES"/>
                <w14:ligatures w14:val="none"/>
              </w:rPr>
              <w:t>Conclusión de los autores y estadística reportada</w:t>
            </w:r>
          </w:p>
        </w:tc>
      </w:tr>
      <w:tr w:rsidR="009B4E27" w:rsidRPr="00424406" w14:paraId="41D1E32B" w14:textId="77777777" w:rsidTr="00905AD4">
        <w:tc>
          <w:tcPr>
            <w:tcW w:w="0" w:type="auto"/>
            <w:hideMark/>
          </w:tcPr>
          <w:p w14:paraId="15C1366D"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b/>
                <w:bCs/>
                <w:kern w:val="0"/>
                <w:sz w:val="20"/>
                <w:szCs w:val="20"/>
                <w:lang w:val="es-ES" w:eastAsia="es-ES"/>
                <w14:ligatures w14:val="none"/>
              </w:rPr>
              <w:t>Alva et al. (2000)</w:t>
            </w:r>
          </w:p>
        </w:tc>
        <w:tc>
          <w:tcPr>
            <w:tcW w:w="0" w:type="auto"/>
            <w:hideMark/>
          </w:tcPr>
          <w:p w14:paraId="3051BAA2"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sublingual 200 µg vs. misoprostol oral 200 µg</w:t>
            </w:r>
          </w:p>
        </w:tc>
        <w:tc>
          <w:tcPr>
            <w:tcW w:w="0" w:type="auto"/>
            <w:hideMark/>
          </w:tcPr>
          <w:p w14:paraId="4A7193D2"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Volumen de sangrado y duración del alumbramiento</w:t>
            </w:r>
          </w:p>
        </w:tc>
        <w:tc>
          <w:tcPr>
            <w:tcW w:w="0" w:type="auto"/>
            <w:hideMark/>
          </w:tcPr>
          <w:p w14:paraId="0240B742"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Sublingual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n=39: sangrado medio 170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4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alumbramiento 5</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1 min</w:t>
            </w:r>
          </w:p>
        </w:tc>
        <w:tc>
          <w:tcPr>
            <w:tcW w:w="0" w:type="auto"/>
            <w:hideMark/>
          </w:tcPr>
          <w:p w14:paraId="07C31BE6"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Oral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n=39: sangrado medio 266</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9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alumbramiento 10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6 min</w:t>
            </w:r>
          </w:p>
        </w:tc>
        <w:tc>
          <w:tcPr>
            <w:tcW w:w="0" w:type="auto"/>
            <w:hideMark/>
          </w:tcPr>
          <w:p w14:paraId="6311ED85"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El misoprostol sublingual fue más eficaz que el oral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al reducir el volumen de sangrado y la duración del alumbramiento; </w:t>
            </w:r>
            <w:r w:rsidRPr="00424406">
              <w:rPr>
                <w:rFonts w:eastAsia="Times New Roman" w:cs="Arial"/>
                <w:b/>
                <w:bCs/>
                <w:kern w:val="0"/>
                <w:sz w:val="20"/>
                <w:szCs w:val="20"/>
                <w:lang w:val="es-ES" w:eastAsia="es-ES"/>
                <w14:ligatures w14:val="none"/>
              </w:rPr>
              <w:t>p&lt;0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001</w:t>
            </w:r>
            <w:r w:rsidRPr="00424406">
              <w:rPr>
                <w:rFonts w:eastAsia="Times New Roman" w:cs="Arial"/>
                <w:kern w:val="0"/>
                <w:sz w:val="20"/>
                <w:szCs w:val="20"/>
                <w:lang w:val="es-ES" w:eastAsia="es-ES"/>
                <w14:ligatures w14:val="none"/>
              </w:rPr>
              <w:t xml:space="preserve"> para las diferencias entre grupos.</w:t>
            </w:r>
          </w:p>
        </w:tc>
      </w:tr>
      <w:tr w:rsidR="009B4E27" w:rsidRPr="00424406" w14:paraId="03C07CF1" w14:textId="77777777" w:rsidTr="00905AD4">
        <w:tc>
          <w:tcPr>
            <w:tcW w:w="0" w:type="auto"/>
            <w:hideMark/>
          </w:tcPr>
          <w:p w14:paraId="2C04CDB3"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b/>
                <w:bCs/>
                <w:kern w:val="0"/>
                <w:sz w:val="20"/>
                <w:szCs w:val="20"/>
                <w:lang w:val="es-ES" w:eastAsia="es-ES"/>
                <w14:ligatures w14:val="none"/>
              </w:rPr>
              <w:t>Angarita Peñaranda et al. (2003)</w:t>
            </w:r>
          </w:p>
        </w:tc>
        <w:tc>
          <w:tcPr>
            <w:tcW w:w="0" w:type="auto"/>
            <w:hideMark/>
          </w:tcPr>
          <w:p w14:paraId="4F542724"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sublingual 100 µg vs. placebo</w:t>
            </w:r>
          </w:p>
        </w:tc>
        <w:tc>
          <w:tcPr>
            <w:tcW w:w="0" w:type="auto"/>
            <w:hideMark/>
          </w:tcPr>
          <w:p w14:paraId="6A6E651F"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Sangrado ≥500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volumen de sangrado y duración del alumbramiento</w:t>
            </w:r>
          </w:p>
        </w:tc>
        <w:tc>
          <w:tcPr>
            <w:tcW w:w="0" w:type="auto"/>
            <w:hideMark/>
          </w:tcPr>
          <w:p w14:paraId="282A3652"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n=40: sangrado ≥500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xml:space="preserve"> en 17/40 (42%); sangrado medio 599</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4±426</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9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alumbramiento 431</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0±231</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8 s</w:t>
            </w:r>
          </w:p>
        </w:tc>
        <w:tc>
          <w:tcPr>
            <w:tcW w:w="0" w:type="auto"/>
            <w:hideMark/>
          </w:tcPr>
          <w:p w14:paraId="7672BC61"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Placebo</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n=40: sangrado ≥500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xml:space="preserve"> en 21/40 (52%); sangrado medio 670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3±482</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5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alumbramiento 517</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6±412</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7 s</w:t>
            </w:r>
          </w:p>
        </w:tc>
        <w:tc>
          <w:tcPr>
            <w:tcW w:w="0" w:type="auto"/>
            <w:hideMark/>
          </w:tcPr>
          <w:p w14:paraId="2AB1D837"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El misoprostol fue bien tolerado y mostró una tendencia hacia menor sangrado y menor duración del alumbramiento</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sin diferencias estadísticamente significativas. Para sangrado ≥500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xml:space="preserve">: </w:t>
            </w:r>
            <w:r w:rsidRPr="00424406">
              <w:rPr>
                <w:rFonts w:eastAsia="Times New Roman" w:cs="Arial"/>
                <w:b/>
                <w:bCs/>
                <w:kern w:val="0"/>
                <w:sz w:val="20"/>
                <w:szCs w:val="20"/>
                <w:lang w:val="es-ES" w:eastAsia="es-ES"/>
                <w14:ligatures w14:val="none"/>
              </w:rPr>
              <w:t>RR=0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80; IC95%: 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50–1</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28; p&gt;0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05</w:t>
            </w:r>
            <w:r w:rsidRPr="00424406">
              <w:rPr>
                <w:rFonts w:eastAsia="Times New Roman" w:cs="Arial"/>
                <w:kern w:val="0"/>
                <w:sz w:val="20"/>
                <w:szCs w:val="20"/>
                <w:lang w:val="es-ES" w:eastAsia="es-ES"/>
                <w14:ligatures w14:val="none"/>
              </w:rPr>
              <w:t>.</w:t>
            </w:r>
          </w:p>
        </w:tc>
      </w:tr>
      <w:tr w:rsidR="009B4E27" w:rsidRPr="00424406" w14:paraId="2AF5F8E7" w14:textId="77777777" w:rsidTr="00905AD4">
        <w:tc>
          <w:tcPr>
            <w:tcW w:w="0" w:type="auto"/>
            <w:hideMark/>
          </w:tcPr>
          <w:p w14:paraId="0A85DD8E" w14:textId="77777777" w:rsidR="009B4E27" w:rsidRPr="00424406" w:rsidRDefault="009B4E27" w:rsidP="00905AD4">
            <w:pPr>
              <w:jc w:val="left"/>
              <w:rPr>
                <w:rFonts w:eastAsia="Times New Roman" w:cs="Arial"/>
                <w:kern w:val="0"/>
                <w:sz w:val="20"/>
                <w:szCs w:val="20"/>
                <w:lang w:val="es-ES" w:eastAsia="es-ES"/>
                <w14:ligatures w14:val="none"/>
              </w:rPr>
            </w:pPr>
            <w:proofErr w:type="spellStart"/>
            <w:r w:rsidRPr="00424406">
              <w:rPr>
                <w:rFonts w:eastAsia="Times New Roman" w:cs="Arial"/>
                <w:b/>
                <w:bCs/>
                <w:kern w:val="0"/>
                <w:sz w:val="20"/>
                <w:szCs w:val="20"/>
                <w:lang w:val="es-ES" w:eastAsia="es-ES"/>
                <w14:ligatures w14:val="none"/>
              </w:rPr>
              <w:t>Gülmezoglu</w:t>
            </w:r>
            <w:proofErr w:type="spellEnd"/>
            <w:r w:rsidRPr="00424406">
              <w:rPr>
                <w:rFonts w:eastAsia="Times New Roman" w:cs="Arial"/>
                <w:b/>
                <w:bCs/>
                <w:kern w:val="0"/>
                <w:sz w:val="20"/>
                <w:szCs w:val="20"/>
                <w:lang w:val="es-ES" w:eastAsia="es-ES"/>
                <w14:ligatures w14:val="none"/>
              </w:rPr>
              <w:t xml:space="preserve"> et al. (2001), centro de Argentina</w:t>
            </w:r>
          </w:p>
        </w:tc>
        <w:tc>
          <w:tcPr>
            <w:tcW w:w="0" w:type="auto"/>
            <w:hideMark/>
          </w:tcPr>
          <w:p w14:paraId="4C91464F"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oral 600 µg vs. oxitocina 10 UI IV o IM</w:t>
            </w:r>
          </w:p>
        </w:tc>
        <w:tc>
          <w:tcPr>
            <w:tcW w:w="0" w:type="auto"/>
            <w:hideMark/>
          </w:tcPr>
          <w:p w14:paraId="7C43279A"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Pérdida sanguínea ≥1000 </w:t>
            </w:r>
            <w:proofErr w:type="spellStart"/>
            <w:r w:rsidRPr="00424406">
              <w:rPr>
                <w:rFonts w:eastAsia="Times New Roman" w:cs="Arial"/>
                <w:kern w:val="0"/>
                <w:sz w:val="20"/>
                <w:szCs w:val="20"/>
                <w:lang w:val="es-ES" w:eastAsia="es-ES"/>
                <w14:ligatures w14:val="none"/>
              </w:rPr>
              <w:t>mL</w:t>
            </w:r>
            <w:proofErr w:type="spellEnd"/>
          </w:p>
        </w:tc>
        <w:tc>
          <w:tcPr>
            <w:tcW w:w="0" w:type="auto"/>
            <w:hideMark/>
          </w:tcPr>
          <w:p w14:paraId="37533628"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96/1358 (7%)</w:t>
            </w:r>
          </w:p>
        </w:tc>
        <w:tc>
          <w:tcPr>
            <w:tcW w:w="0" w:type="auto"/>
            <w:hideMark/>
          </w:tcPr>
          <w:p w14:paraId="0E517613"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Oxitocina: 49/1361 (4%)</w:t>
            </w:r>
          </w:p>
        </w:tc>
        <w:tc>
          <w:tcPr>
            <w:tcW w:w="0" w:type="auto"/>
            <w:hideMark/>
          </w:tcPr>
          <w:p w14:paraId="662B6CB3"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Los autores concluyeron</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para el ensayo multicéntrico</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que la oxitocina era preferible al misoprostol oral. En el centro argentino</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la pérdida ≥1000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xml:space="preserve"> fue más frecuente con misoprostol: </w:t>
            </w:r>
            <w:r w:rsidRPr="00424406">
              <w:rPr>
                <w:rFonts w:eastAsia="Times New Roman" w:cs="Arial"/>
                <w:b/>
                <w:bCs/>
                <w:kern w:val="0"/>
                <w:sz w:val="20"/>
                <w:szCs w:val="20"/>
                <w:lang w:val="es-ES" w:eastAsia="es-ES"/>
                <w14:ligatures w14:val="none"/>
              </w:rPr>
              <w:t>7% vs. 4%</w:t>
            </w:r>
            <w:r w:rsidRPr="00424406">
              <w:rPr>
                <w:rFonts w:eastAsia="Times New Roman" w:cs="Arial"/>
                <w:kern w:val="0"/>
                <w:sz w:val="20"/>
                <w:szCs w:val="20"/>
                <w:lang w:val="es-ES" w:eastAsia="es-ES"/>
                <w14:ligatures w14:val="none"/>
              </w:rPr>
              <w:t xml:space="preserve">. El artículo informó para el resultado global </w:t>
            </w:r>
            <w:r w:rsidRPr="00424406">
              <w:rPr>
                <w:rFonts w:eastAsia="Times New Roman" w:cs="Arial"/>
                <w:b/>
                <w:bCs/>
                <w:kern w:val="0"/>
                <w:sz w:val="20"/>
                <w:szCs w:val="20"/>
                <w:lang w:val="es-ES" w:eastAsia="es-ES"/>
                <w14:ligatures w14:val="none"/>
              </w:rPr>
              <w:t>RR=1</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39; IC95%: 1</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19–1</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63; p&lt;0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0001</w:t>
            </w:r>
            <w:r w:rsidRPr="00424406">
              <w:rPr>
                <w:rFonts w:eastAsia="Times New Roman" w:cs="Arial"/>
                <w:kern w:val="0"/>
                <w:sz w:val="20"/>
                <w:szCs w:val="20"/>
                <w:lang w:val="es-ES" w:eastAsia="es-ES"/>
                <w14:ligatures w14:val="none"/>
              </w:rPr>
              <w:t>; el RR por centro no fue presentado en la tabla.</w:t>
            </w:r>
          </w:p>
        </w:tc>
      </w:tr>
      <w:tr w:rsidR="009B4E27" w:rsidRPr="00424406" w14:paraId="7F135728" w14:textId="77777777" w:rsidTr="00905AD4">
        <w:tc>
          <w:tcPr>
            <w:tcW w:w="0" w:type="auto"/>
            <w:hideMark/>
          </w:tcPr>
          <w:p w14:paraId="395A82A5"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b/>
                <w:bCs/>
                <w:kern w:val="0"/>
                <w:sz w:val="20"/>
                <w:szCs w:val="20"/>
                <w:lang w:val="es-ES" w:eastAsia="es-ES"/>
                <w14:ligatures w14:val="none"/>
              </w:rPr>
              <w:lastRenderedPageBreak/>
              <w:t>Morgan Ortiz et al. (2004)</w:t>
            </w:r>
          </w:p>
        </w:tc>
        <w:tc>
          <w:tcPr>
            <w:tcW w:w="0" w:type="auto"/>
            <w:hideMark/>
          </w:tcPr>
          <w:p w14:paraId="6052CDC7"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oral 400 µg vs. oxitocina 20 UI IV</w:t>
            </w:r>
          </w:p>
        </w:tc>
        <w:tc>
          <w:tcPr>
            <w:tcW w:w="0" w:type="auto"/>
            <w:hideMark/>
          </w:tcPr>
          <w:p w14:paraId="63AD4354"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HPP &gt;500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volumen de sangrado posparto</w:t>
            </w:r>
          </w:p>
        </w:tc>
        <w:tc>
          <w:tcPr>
            <w:tcW w:w="0" w:type="auto"/>
            <w:hideMark/>
          </w:tcPr>
          <w:p w14:paraId="08FCC6E9"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n=200: HPP 0/200; sangrado medio 292</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5±50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48 </w:t>
            </w:r>
            <w:proofErr w:type="spellStart"/>
            <w:r w:rsidRPr="00424406">
              <w:rPr>
                <w:rFonts w:eastAsia="Times New Roman" w:cs="Arial"/>
                <w:kern w:val="0"/>
                <w:sz w:val="20"/>
                <w:szCs w:val="20"/>
                <w:lang w:val="es-ES" w:eastAsia="es-ES"/>
                <w14:ligatures w14:val="none"/>
              </w:rPr>
              <w:t>mL</w:t>
            </w:r>
            <w:proofErr w:type="spellEnd"/>
          </w:p>
        </w:tc>
        <w:tc>
          <w:tcPr>
            <w:tcW w:w="0" w:type="auto"/>
            <w:hideMark/>
          </w:tcPr>
          <w:p w14:paraId="64678081"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Oxitocina</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n=198: HPP 1/198 (0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5%); sangrado medio 324</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5±62</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47 </w:t>
            </w:r>
            <w:proofErr w:type="spellStart"/>
            <w:r w:rsidRPr="00424406">
              <w:rPr>
                <w:rFonts w:eastAsia="Times New Roman" w:cs="Arial"/>
                <w:kern w:val="0"/>
                <w:sz w:val="20"/>
                <w:szCs w:val="20"/>
                <w:lang w:val="es-ES" w:eastAsia="es-ES"/>
                <w14:ligatures w14:val="none"/>
              </w:rPr>
              <w:t>mL</w:t>
            </w:r>
            <w:proofErr w:type="spellEnd"/>
          </w:p>
        </w:tc>
        <w:tc>
          <w:tcPr>
            <w:tcW w:w="0" w:type="auto"/>
            <w:hideMark/>
          </w:tcPr>
          <w:p w14:paraId="71B9C6FA"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El misoprostol oral fue considerado igual de eficaz que la oxitocina para prevenir la HPP</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con pocos efectos adversos. La diferencia en el sangrado medio favoreció al misoprostol: </w:t>
            </w:r>
            <w:r w:rsidRPr="00424406">
              <w:rPr>
                <w:rFonts w:eastAsia="Times New Roman" w:cs="Arial"/>
                <w:b/>
                <w:bCs/>
                <w:kern w:val="0"/>
                <w:sz w:val="20"/>
                <w:szCs w:val="20"/>
                <w:lang w:val="es-ES" w:eastAsia="es-ES"/>
                <w14:ligatures w14:val="none"/>
              </w:rPr>
              <w:t>p&lt;0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05; t=5</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6271</w:t>
            </w:r>
            <w:r w:rsidRPr="00424406">
              <w:rPr>
                <w:rFonts w:eastAsia="Times New Roman" w:cs="Arial"/>
                <w:kern w:val="0"/>
                <w:sz w:val="20"/>
                <w:szCs w:val="20"/>
                <w:lang w:val="es-ES" w:eastAsia="es-ES"/>
                <w14:ligatures w14:val="none"/>
              </w:rPr>
              <w:t xml:space="preserve">. La incidencia de HPP no mostró diferencia significativa: </w:t>
            </w:r>
            <w:r w:rsidRPr="00424406">
              <w:rPr>
                <w:rFonts w:eastAsia="Times New Roman" w:cs="Arial"/>
                <w:b/>
                <w:bCs/>
                <w:kern w:val="0"/>
                <w:sz w:val="20"/>
                <w:szCs w:val="20"/>
                <w:lang w:val="es-ES" w:eastAsia="es-ES"/>
                <w14:ligatures w14:val="none"/>
              </w:rPr>
              <w:t>p&gt;0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05</w:t>
            </w:r>
            <w:r w:rsidRPr="00424406">
              <w:rPr>
                <w:rFonts w:eastAsia="Times New Roman" w:cs="Arial"/>
                <w:kern w:val="0"/>
                <w:sz w:val="20"/>
                <w:szCs w:val="20"/>
                <w:lang w:val="es-ES" w:eastAsia="es-ES"/>
                <w14:ligatures w14:val="none"/>
              </w:rPr>
              <w:t>.</w:t>
            </w:r>
          </w:p>
        </w:tc>
      </w:tr>
      <w:tr w:rsidR="009B4E27" w:rsidRPr="00424406" w14:paraId="2A36873B" w14:textId="77777777" w:rsidTr="00905AD4">
        <w:tc>
          <w:tcPr>
            <w:tcW w:w="0" w:type="auto"/>
            <w:hideMark/>
          </w:tcPr>
          <w:p w14:paraId="2403A0EE"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b/>
                <w:bCs/>
                <w:kern w:val="0"/>
                <w:sz w:val="20"/>
                <w:szCs w:val="20"/>
                <w:lang w:val="es-ES" w:eastAsia="es-ES"/>
                <w14:ligatures w14:val="none"/>
              </w:rPr>
              <w:t>Sandoval et al. (2004)</w:t>
            </w:r>
          </w:p>
        </w:tc>
        <w:tc>
          <w:tcPr>
            <w:tcW w:w="0" w:type="auto"/>
            <w:hideMark/>
          </w:tcPr>
          <w:p w14:paraId="3A4186A1"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sublingual 200 µg vs. oxitocina 10 UI IM</w:t>
            </w:r>
          </w:p>
        </w:tc>
        <w:tc>
          <w:tcPr>
            <w:tcW w:w="0" w:type="auto"/>
            <w:hideMark/>
          </w:tcPr>
          <w:p w14:paraId="7ED6A2DB"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HPP ≥1000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volumen de sangrado y duración del alumbramiento</w:t>
            </w:r>
          </w:p>
        </w:tc>
        <w:tc>
          <w:tcPr>
            <w:tcW w:w="0" w:type="auto"/>
            <w:hideMark/>
          </w:tcPr>
          <w:p w14:paraId="0B3299A2"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n=68: HPP 7/68; sangrado medio 486</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6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alumbramiento 18 min 2 s</w:t>
            </w:r>
          </w:p>
        </w:tc>
        <w:tc>
          <w:tcPr>
            <w:tcW w:w="0" w:type="auto"/>
            <w:hideMark/>
          </w:tcPr>
          <w:p w14:paraId="2F3C88E3"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Oxitocina</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n=68: HPP 1/68; sangrado medio 317</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12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alumbramiento 10 min 53 s</w:t>
            </w:r>
          </w:p>
        </w:tc>
        <w:tc>
          <w:tcPr>
            <w:tcW w:w="0" w:type="auto"/>
            <w:hideMark/>
          </w:tcPr>
          <w:p w14:paraId="405C264F"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La oxitocina intramuscular fue más eficaz que el misoprostol sublingual y produjo menos efectos adversos. Las diferencias en sangrado y duración del alumbramiento fueron </w:t>
            </w:r>
            <w:r w:rsidRPr="00424406">
              <w:rPr>
                <w:rFonts w:eastAsia="Times New Roman" w:cs="Arial"/>
                <w:b/>
                <w:bCs/>
                <w:kern w:val="0"/>
                <w:sz w:val="20"/>
                <w:szCs w:val="20"/>
                <w:lang w:val="es-ES" w:eastAsia="es-ES"/>
                <w14:ligatures w14:val="none"/>
              </w:rPr>
              <w:t>estadísticamente significativas</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 xml:space="preserve"> p&lt;0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05</w:t>
            </w:r>
            <w:r w:rsidRPr="00424406">
              <w:rPr>
                <w:rFonts w:eastAsia="Times New Roman" w:cs="Arial"/>
                <w:kern w:val="0"/>
                <w:sz w:val="20"/>
                <w:szCs w:val="20"/>
                <w:lang w:val="es-ES" w:eastAsia="es-ES"/>
                <w14:ligatures w14:val="none"/>
              </w:rPr>
              <w:t>.</w:t>
            </w:r>
          </w:p>
        </w:tc>
      </w:tr>
      <w:tr w:rsidR="009B4E27" w:rsidRPr="00424406" w14:paraId="71D5E9B2" w14:textId="77777777" w:rsidTr="00905AD4">
        <w:tc>
          <w:tcPr>
            <w:tcW w:w="0" w:type="auto"/>
            <w:hideMark/>
          </w:tcPr>
          <w:p w14:paraId="08EEB6CE"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b/>
                <w:bCs/>
                <w:kern w:val="0"/>
                <w:sz w:val="20"/>
                <w:szCs w:val="20"/>
                <w:lang w:val="es-ES" w:eastAsia="es-ES"/>
                <w14:ligatures w14:val="none"/>
              </w:rPr>
              <w:t>Falcón Condezo (2015)</w:t>
            </w:r>
          </w:p>
        </w:tc>
        <w:tc>
          <w:tcPr>
            <w:tcW w:w="0" w:type="auto"/>
            <w:hideMark/>
          </w:tcPr>
          <w:p w14:paraId="48E7C48B"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sublingual 100 µg vs. oxitocina 10 UI IM</w:t>
            </w:r>
          </w:p>
        </w:tc>
        <w:tc>
          <w:tcPr>
            <w:tcW w:w="0" w:type="auto"/>
            <w:hideMark/>
          </w:tcPr>
          <w:p w14:paraId="7E6BDBD0"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Volumen de sangrado y duración del alumbramiento</w:t>
            </w:r>
          </w:p>
        </w:tc>
        <w:tc>
          <w:tcPr>
            <w:tcW w:w="0" w:type="auto"/>
            <w:hideMark/>
          </w:tcPr>
          <w:p w14:paraId="0ADCBA2B"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n=30: no se informaron media y DE del sangrado; alumbramiento 2</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39±0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79 min</w:t>
            </w:r>
          </w:p>
        </w:tc>
        <w:tc>
          <w:tcPr>
            <w:tcW w:w="0" w:type="auto"/>
            <w:hideMark/>
          </w:tcPr>
          <w:p w14:paraId="50DEC3FC"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Oxitocina</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n=30: no se informaron media y DE del sangrado; alumbramiento 2</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89±1</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08 min</w:t>
            </w:r>
          </w:p>
        </w:tc>
        <w:tc>
          <w:tcPr>
            <w:tcW w:w="0" w:type="auto"/>
            <w:hideMark/>
          </w:tcPr>
          <w:p w14:paraId="0D117583"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El misoprostol no fue superior a la oxitocina para disminuir el volumen de sangrado: </w:t>
            </w:r>
            <w:r w:rsidRPr="00424406">
              <w:rPr>
                <w:rFonts w:eastAsia="Times New Roman" w:cs="Arial"/>
                <w:b/>
                <w:bCs/>
                <w:kern w:val="0"/>
                <w:sz w:val="20"/>
                <w:szCs w:val="20"/>
                <w:lang w:val="es-ES" w:eastAsia="es-ES"/>
                <w14:ligatures w14:val="none"/>
              </w:rPr>
              <w:t>z=−0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180; p=0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8569</w:t>
            </w:r>
            <w:r w:rsidRPr="00424406">
              <w:rPr>
                <w:rFonts w:eastAsia="Times New Roman" w:cs="Arial"/>
                <w:kern w:val="0"/>
                <w:sz w:val="20"/>
                <w:szCs w:val="20"/>
                <w:lang w:val="es-ES" w:eastAsia="es-ES"/>
                <w14:ligatures w14:val="none"/>
              </w:rPr>
              <w:t xml:space="preserve">. Fue superior para reducir la duración del alumbramiento: </w:t>
            </w:r>
            <w:r w:rsidRPr="00424406">
              <w:rPr>
                <w:rFonts w:eastAsia="Times New Roman" w:cs="Arial"/>
                <w:b/>
                <w:bCs/>
                <w:kern w:val="0"/>
                <w:sz w:val="20"/>
                <w:szCs w:val="20"/>
                <w:lang w:val="es-ES" w:eastAsia="es-ES"/>
                <w14:ligatures w14:val="none"/>
              </w:rPr>
              <w:t>z=3</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228; p=0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0012</w:t>
            </w:r>
            <w:r w:rsidRPr="00424406">
              <w:rPr>
                <w:rFonts w:eastAsia="Times New Roman" w:cs="Arial"/>
                <w:kern w:val="0"/>
                <w:sz w:val="20"/>
                <w:szCs w:val="20"/>
                <w:lang w:val="es-ES" w:eastAsia="es-ES"/>
                <w14:ligatures w14:val="none"/>
              </w:rPr>
              <w:t>.</w:t>
            </w:r>
          </w:p>
        </w:tc>
      </w:tr>
      <w:tr w:rsidR="009B4E27" w:rsidRPr="00424406" w14:paraId="47AD960F" w14:textId="77777777" w:rsidTr="00905AD4">
        <w:tc>
          <w:tcPr>
            <w:tcW w:w="0" w:type="auto"/>
            <w:hideMark/>
          </w:tcPr>
          <w:p w14:paraId="367339F7"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b/>
                <w:bCs/>
                <w:kern w:val="0"/>
                <w:sz w:val="20"/>
                <w:szCs w:val="20"/>
                <w:lang w:val="es-ES" w:eastAsia="es-ES"/>
                <w14:ligatures w14:val="none"/>
              </w:rPr>
              <w:t>Sarabia Salazar et al. (2015)</w:t>
            </w:r>
          </w:p>
        </w:tc>
        <w:tc>
          <w:tcPr>
            <w:tcW w:w="0" w:type="auto"/>
            <w:hideMark/>
          </w:tcPr>
          <w:p w14:paraId="7D838C92"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sublingual 200 µg vs. 400 µg y 600 µg</w:t>
            </w:r>
          </w:p>
        </w:tc>
        <w:tc>
          <w:tcPr>
            <w:tcW w:w="0" w:type="auto"/>
            <w:hideMark/>
          </w:tcPr>
          <w:p w14:paraId="3AB4C70F"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HPP, hipotonía uterina y duración del alumbramiento</w:t>
            </w:r>
          </w:p>
        </w:tc>
        <w:tc>
          <w:tcPr>
            <w:tcW w:w="0" w:type="auto"/>
            <w:hideMark/>
          </w:tcPr>
          <w:p w14:paraId="44455467"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200 µg</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n=120: hipotonía 1/120; alumbramiento 3</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0±0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9 min</w:t>
            </w:r>
          </w:p>
        </w:tc>
        <w:tc>
          <w:tcPr>
            <w:tcW w:w="0" w:type="auto"/>
            <w:hideMark/>
          </w:tcPr>
          <w:p w14:paraId="32C3D7F9"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400 µg</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n=120: hipotonía 2/120; alumbramiento 2</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8±0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7 min. 600 µg</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n=110: hipotonía 1/110; alumbramiento 2</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8±0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6 min</w:t>
            </w:r>
          </w:p>
        </w:tc>
        <w:tc>
          <w:tcPr>
            <w:tcW w:w="0" w:type="auto"/>
            <w:hideMark/>
          </w:tcPr>
          <w:p w14:paraId="1E413C28"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La dosis de 200 µg fue tan eficaz como las dosis de 400 y 600 µg</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con incidencia global de HPP menor del 1%. No hubo diferencia en la duración del alumbramiento: </w:t>
            </w:r>
            <w:r w:rsidRPr="00424406">
              <w:rPr>
                <w:rFonts w:eastAsia="Times New Roman" w:cs="Arial"/>
                <w:b/>
                <w:bCs/>
                <w:kern w:val="0"/>
                <w:sz w:val="20"/>
                <w:szCs w:val="20"/>
                <w:lang w:val="es-ES" w:eastAsia="es-ES"/>
                <w14:ligatures w14:val="none"/>
              </w:rPr>
              <w:t>p=0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172</w:t>
            </w:r>
            <w:r w:rsidRPr="00424406">
              <w:rPr>
                <w:rFonts w:eastAsia="Times New Roman" w:cs="Arial"/>
                <w:kern w:val="0"/>
                <w:sz w:val="20"/>
                <w:szCs w:val="20"/>
                <w:lang w:val="es-ES" w:eastAsia="es-ES"/>
                <w14:ligatures w14:val="none"/>
              </w:rPr>
              <w:t xml:space="preserve">; los efectos adversos tampoco mostraron relación con la dosis: </w:t>
            </w:r>
            <w:r w:rsidRPr="00424406">
              <w:rPr>
                <w:rFonts w:eastAsia="Times New Roman" w:cs="Arial"/>
                <w:b/>
                <w:bCs/>
                <w:kern w:val="0"/>
                <w:sz w:val="20"/>
                <w:szCs w:val="20"/>
                <w:lang w:val="es-ES" w:eastAsia="es-ES"/>
                <w14:ligatures w14:val="none"/>
              </w:rPr>
              <w:t>p&gt;0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05</w:t>
            </w:r>
            <w:r w:rsidRPr="00424406">
              <w:rPr>
                <w:rFonts w:eastAsia="Times New Roman" w:cs="Arial"/>
                <w:kern w:val="0"/>
                <w:sz w:val="20"/>
                <w:szCs w:val="20"/>
                <w:lang w:val="es-ES" w:eastAsia="es-ES"/>
                <w14:ligatures w14:val="none"/>
              </w:rPr>
              <w:t>.</w:t>
            </w:r>
          </w:p>
        </w:tc>
      </w:tr>
      <w:tr w:rsidR="009B4E27" w:rsidRPr="00424406" w14:paraId="36B5F5E3" w14:textId="77777777" w:rsidTr="00905AD4">
        <w:tc>
          <w:tcPr>
            <w:tcW w:w="0" w:type="auto"/>
            <w:hideMark/>
          </w:tcPr>
          <w:p w14:paraId="69629AE2"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b/>
                <w:bCs/>
                <w:kern w:val="0"/>
                <w:sz w:val="20"/>
                <w:szCs w:val="20"/>
                <w:lang w:val="es-ES" w:eastAsia="es-ES"/>
                <w14:ligatures w14:val="none"/>
              </w:rPr>
              <w:lastRenderedPageBreak/>
              <w:t>Quiroga Díaz et al. (2009)</w:t>
            </w:r>
          </w:p>
        </w:tc>
        <w:tc>
          <w:tcPr>
            <w:tcW w:w="0" w:type="auto"/>
            <w:hideMark/>
          </w:tcPr>
          <w:p w14:paraId="06DCBD5A"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intrauterino 800 µg más oxitocina vs. placebo intrauterino más oxitocina</w:t>
            </w:r>
          </w:p>
        </w:tc>
        <w:tc>
          <w:tcPr>
            <w:tcW w:w="0" w:type="auto"/>
            <w:hideMark/>
          </w:tcPr>
          <w:p w14:paraId="5D58D2BA"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Descenso de Hb &gt;3 g/</w:t>
            </w:r>
            <w:proofErr w:type="spellStart"/>
            <w:r w:rsidRPr="00424406">
              <w:rPr>
                <w:rFonts w:eastAsia="Times New Roman" w:cs="Arial"/>
                <w:kern w:val="0"/>
                <w:sz w:val="20"/>
                <w:szCs w:val="20"/>
                <w:lang w:val="es-ES" w:eastAsia="es-ES"/>
                <w14:ligatures w14:val="none"/>
              </w:rPr>
              <w:t>dL</w:t>
            </w:r>
            <w:proofErr w:type="spellEnd"/>
            <w:r w:rsidRPr="00424406">
              <w:rPr>
                <w:rFonts w:eastAsia="Times New Roman" w:cs="Arial"/>
                <w:kern w:val="0"/>
                <w:sz w:val="20"/>
                <w:szCs w:val="20"/>
                <w:lang w:val="es-ES" w:eastAsia="es-ES"/>
                <w14:ligatures w14:val="none"/>
              </w:rPr>
              <w:t xml:space="preserve">; descenso de </w:t>
            </w:r>
            <w:proofErr w:type="spellStart"/>
            <w:r w:rsidRPr="00424406">
              <w:rPr>
                <w:rFonts w:eastAsia="Times New Roman" w:cs="Arial"/>
                <w:kern w:val="0"/>
                <w:sz w:val="20"/>
                <w:szCs w:val="20"/>
                <w:lang w:val="es-ES" w:eastAsia="es-ES"/>
                <w14:ligatures w14:val="none"/>
              </w:rPr>
              <w:t>Hto</w:t>
            </w:r>
            <w:proofErr w:type="spellEnd"/>
            <w:r w:rsidRPr="00424406">
              <w:rPr>
                <w:rFonts w:eastAsia="Times New Roman" w:cs="Arial"/>
                <w:kern w:val="0"/>
                <w:sz w:val="20"/>
                <w:szCs w:val="20"/>
                <w:lang w:val="es-ES" w:eastAsia="es-ES"/>
                <w14:ligatures w14:val="none"/>
              </w:rPr>
              <w:t xml:space="preserve"> &gt;10%; uterotónicos adicionales</w:t>
            </w:r>
          </w:p>
        </w:tc>
        <w:tc>
          <w:tcPr>
            <w:tcW w:w="0" w:type="auto"/>
            <w:hideMark/>
          </w:tcPr>
          <w:p w14:paraId="339909C8"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n=100: caída de Hb &gt;3 g/</w:t>
            </w:r>
            <w:proofErr w:type="spellStart"/>
            <w:r w:rsidRPr="00424406">
              <w:rPr>
                <w:rFonts w:eastAsia="Times New Roman" w:cs="Arial"/>
                <w:kern w:val="0"/>
                <w:sz w:val="20"/>
                <w:szCs w:val="20"/>
                <w:lang w:val="es-ES" w:eastAsia="es-ES"/>
                <w14:ligatures w14:val="none"/>
              </w:rPr>
              <w:t>dL</w:t>
            </w:r>
            <w:proofErr w:type="spellEnd"/>
            <w:r w:rsidRPr="00424406">
              <w:rPr>
                <w:rFonts w:eastAsia="Times New Roman" w:cs="Arial"/>
                <w:kern w:val="0"/>
                <w:sz w:val="20"/>
                <w:szCs w:val="20"/>
                <w:lang w:val="es-ES" w:eastAsia="es-ES"/>
                <w14:ligatures w14:val="none"/>
              </w:rPr>
              <w:t xml:space="preserve"> en 3/100; caída de </w:t>
            </w:r>
            <w:proofErr w:type="spellStart"/>
            <w:r w:rsidRPr="00424406">
              <w:rPr>
                <w:rFonts w:eastAsia="Times New Roman" w:cs="Arial"/>
                <w:kern w:val="0"/>
                <w:sz w:val="20"/>
                <w:szCs w:val="20"/>
                <w:lang w:val="es-ES" w:eastAsia="es-ES"/>
                <w14:ligatures w14:val="none"/>
              </w:rPr>
              <w:t>Hto</w:t>
            </w:r>
            <w:proofErr w:type="spellEnd"/>
            <w:r w:rsidRPr="00424406">
              <w:rPr>
                <w:rFonts w:eastAsia="Times New Roman" w:cs="Arial"/>
                <w:kern w:val="0"/>
                <w:sz w:val="20"/>
                <w:szCs w:val="20"/>
                <w:lang w:val="es-ES" w:eastAsia="es-ES"/>
                <w14:ligatures w14:val="none"/>
              </w:rPr>
              <w:t xml:space="preserve"> &gt;10% en 1/100; uterotónicos adicionales en 3/100; reducción media de Hb 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90±0</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94 g/</w:t>
            </w:r>
            <w:proofErr w:type="spellStart"/>
            <w:r w:rsidRPr="00424406">
              <w:rPr>
                <w:rFonts w:eastAsia="Times New Roman" w:cs="Arial"/>
                <w:kern w:val="0"/>
                <w:sz w:val="20"/>
                <w:szCs w:val="20"/>
                <w:lang w:val="es-ES" w:eastAsia="es-ES"/>
                <w14:ligatures w14:val="none"/>
              </w:rPr>
              <w:t>dL</w:t>
            </w:r>
            <w:proofErr w:type="spellEnd"/>
          </w:p>
        </w:tc>
        <w:tc>
          <w:tcPr>
            <w:tcW w:w="0" w:type="auto"/>
            <w:hideMark/>
          </w:tcPr>
          <w:p w14:paraId="1118F9D4"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Placebo</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n=100: caída de Hb &gt;3 g/</w:t>
            </w:r>
            <w:proofErr w:type="spellStart"/>
            <w:r w:rsidRPr="00424406">
              <w:rPr>
                <w:rFonts w:eastAsia="Times New Roman" w:cs="Arial"/>
                <w:kern w:val="0"/>
                <w:sz w:val="20"/>
                <w:szCs w:val="20"/>
                <w:lang w:val="es-ES" w:eastAsia="es-ES"/>
                <w14:ligatures w14:val="none"/>
              </w:rPr>
              <w:t>dL</w:t>
            </w:r>
            <w:proofErr w:type="spellEnd"/>
            <w:r w:rsidRPr="00424406">
              <w:rPr>
                <w:rFonts w:eastAsia="Times New Roman" w:cs="Arial"/>
                <w:kern w:val="0"/>
                <w:sz w:val="20"/>
                <w:szCs w:val="20"/>
                <w:lang w:val="es-ES" w:eastAsia="es-ES"/>
                <w14:ligatures w14:val="none"/>
              </w:rPr>
              <w:t xml:space="preserve"> en 13/100; caída de </w:t>
            </w:r>
            <w:proofErr w:type="spellStart"/>
            <w:r w:rsidRPr="00424406">
              <w:rPr>
                <w:rFonts w:eastAsia="Times New Roman" w:cs="Arial"/>
                <w:kern w:val="0"/>
                <w:sz w:val="20"/>
                <w:szCs w:val="20"/>
                <w:lang w:val="es-ES" w:eastAsia="es-ES"/>
                <w14:ligatures w14:val="none"/>
              </w:rPr>
              <w:t>Hto</w:t>
            </w:r>
            <w:proofErr w:type="spellEnd"/>
            <w:r w:rsidRPr="00424406">
              <w:rPr>
                <w:rFonts w:eastAsia="Times New Roman" w:cs="Arial"/>
                <w:kern w:val="0"/>
                <w:sz w:val="20"/>
                <w:szCs w:val="20"/>
                <w:lang w:val="es-ES" w:eastAsia="es-ES"/>
                <w14:ligatures w14:val="none"/>
              </w:rPr>
              <w:t xml:space="preserve"> &gt;10% en 7/100; uterotónicos adicionales en 6/100; reducción media de Hb 1</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49±1</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25 g/</w:t>
            </w:r>
            <w:proofErr w:type="spellStart"/>
            <w:r w:rsidRPr="00424406">
              <w:rPr>
                <w:rFonts w:eastAsia="Times New Roman" w:cs="Arial"/>
                <w:kern w:val="0"/>
                <w:sz w:val="20"/>
                <w:szCs w:val="20"/>
                <w:lang w:val="es-ES" w:eastAsia="es-ES"/>
                <w14:ligatures w14:val="none"/>
              </w:rPr>
              <w:t>dL</w:t>
            </w:r>
            <w:proofErr w:type="spellEnd"/>
          </w:p>
        </w:tc>
        <w:tc>
          <w:tcPr>
            <w:tcW w:w="0" w:type="auto"/>
            <w:hideMark/>
          </w:tcPr>
          <w:p w14:paraId="0634E807"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La combinación de misoprostol y oxitocina disminuyó la pérdida sanguínea </w:t>
            </w:r>
            <w:proofErr w:type="spellStart"/>
            <w:r w:rsidRPr="00424406">
              <w:rPr>
                <w:rFonts w:eastAsia="Times New Roman" w:cs="Arial"/>
                <w:kern w:val="0"/>
                <w:sz w:val="20"/>
                <w:szCs w:val="20"/>
                <w:lang w:val="es-ES" w:eastAsia="es-ES"/>
                <w14:ligatures w14:val="none"/>
              </w:rPr>
              <w:t>poscesárea</w:t>
            </w:r>
            <w:proofErr w:type="spellEnd"/>
            <w:r w:rsidRPr="00424406">
              <w:rPr>
                <w:rFonts w:eastAsia="Times New Roman" w:cs="Arial"/>
                <w:kern w:val="0"/>
                <w:sz w:val="20"/>
                <w:szCs w:val="20"/>
                <w:lang w:val="es-ES" w:eastAsia="es-ES"/>
                <w14:ligatures w14:val="none"/>
              </w:rPr>
              <w:t xml:space="preserve">. Se registró </w:t>
            </w:r>
            <w:r w:rsidRPr="00424406">
              <w:rPr>
                <w:rFonts w:eastAsia="Times New Roman" w:cs="Arial"/>
                <w:b/>
                <w:bCs/>
                <w:kern w:val="0"/>
                <w:sz w:val="20"/>
                <w:szCs w:val="20"/>
                <w:lang w:val="es-ES" w:eastAsia="es-ES"/>
                <w14:ligatures w14:val="none"/>
              </w:rPr>
              <w:t>39</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6% menos pérdida de Hb</w:t>
            </w:r>
            <w:r w:rsidRPr="00424406">
              <w:rPr>
                <w:rFonts w:eastAsia="Times New Roman" w:cs="Arial"/>
                <w:kern w:val="0"/>
                <w:sz w:val="20"/>
                <w:szCs w:val="20"/>
                <w:lang w:val="es-ES" w:eastAsia="es-ES"/>
                <w14:ligatures w14:val="none"/>
              </w:rPr>
              <w:t xml:space="preserve"> y </w:t>
            </w:r>
            <w:r w:rsidRPr="00424406">
              <w:rPr>
                <w:rFonts w:eastAsia="Times New Roman" w:cs="Arial"/>
                <w:b/>
                <w:bCs/>
                <w:kern w:val="0"/>
                <w:sz w:val="20"/>
                <w:szCs w:val="20"/>
                <w:lang w:val="es-ES" w:eastAsia="es-ES"/>
                <w14:ligatures w14:val="none"/>
              </w:rPr>
              <w:t>40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 xml:space="preserve">6% menos pérdida de </w:t>
            </w:r>
            <w:proofErr w:type="spellStart"/>
            <w:r w:rsidRPr="00424406">
              <w:rPr>
                <w:rFonts w:eastAsia="Times New Roman" w:cs="Arial"/>
                <w:b/>
                <w:bCs/>
                <w:kern w:val="0"/>
                <w:sz w:val="20"/>
                <w:szCs w:val="20"/>
                <w:lang w:val="es-ES" w:eastAsia="es-ES"/>
                <w14:ligatures w14:val="none"/>
              </w:rPr>
              <w:t>Hto</w:t>
            </w:r>
            <w:proofErr w:type="spellEnd"/>
            <w:r w:rsidRPr="00424406">
              <w:rPr>
                <w:rFonts w:eastAsia="Times New Roman" w:cs="Arial"/>
                <w:kern w:val="0"/>
                <w:sz w:val="20"/>
                <w:szCs w:val="20"/>
                <w:lang w:val="es-ES" w:eastAsia="es-ES"/>
                <w14:ligatures w14:val="none"/>
              </w:rPr>
              <w:t xml:space="preserve"> con misoprostol; la diferencia en la reducción de Hb fue significativa (</w:t>
            </w:r>
            <w:r w:rsidRPr="00424406">
              <w:rPr>
                <w:rFonts w:eastAsia="Times New Roman" w:cs="Arial"/>
                <w:b/>
                <w:bCs/>
                <w:kern w:val="0"/>
                <w:sz w:val="20"/>
                <w:szCs w:val="20"/>
                <w:lang w:val="es-ES" w:eastAsia="es-ES"/>
                <w14:ligatures w14:val="none"/>
              </w:rPr>
              <w:t>p&lt;0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001</w:t>
            </w:r>
            <w:r w:rsidRPr="00424406">
              <w:rPr>
                <w:rFonts w:eastAsia="Times New Roman" w:cs="Arial"/>
                <w:kern w:val="0"/>
                <w:sz w:val="20"/>
                <w:szCs w:val="20"/>
                <w:lang w:val="es-ES" w:eastAsia="es-ES"/>
                <w14:ligatures w14:val="none"/>
              </w:rPr>
              <w:t>)</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mientras que la diferencia media del </w:t>
            </w:r>
            <w:proofErr w:type="spellStart"/>
            <w:r w:rsidRPr="00424406">
              <w:rPr>
                <w:rFonts w:eastAsia="Times New Roman" w:cs="Arial"/>
                <w:kern w:val="0"/>
                <w:sz w:val="20"/>
                <w:szCs w:val="20"/>
                <w:lang w:val="es-ES" w:eastAsia="es-ES"/>
                <w14:ligatures w14:val="none"/>
              </w:rPr>
              <w:t>Hto</w:t>
            </w:r>
            <w:proofErr w:type="spellEnd"/>
            <w:r w:rsidRPr="00424406">
              <w:rPr>
                <w:rFonts w:eastAsia="Times New Roman" w:cs="Arial"/>
                <w:kern w:val="0"/>
                <w:sz w:val="20"/>
                <w:szCs w:val="20"/>
                <w:lang w:val="es-ES" w:eastAsia="es-ES"/>
                <w14:ligatures w14:val="none"/>
              </w:rPr>
              <w:t xml:space="preserve"> no alcanzó significación (</w:t>
            </w:r>
            <w:r w:rsidRPr="00424406">
              <w:rPr>
                <w:rFonts w:eastAsia="Times New Roman" w:cs="Arial"/>
                <w:b/>
                <w:bCs/>
                <w:kern w:val="0"/>
                <w:sz w:val="20"/>
                <w:szCs w:val="20"/>
                <w:lang w:val="es-ES" w:eastAsia="es-ES"/>
                <w14:ligatures w14:val="none"/>
              </w:rPr>
              <w:t>p=0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094</w:t>
            </w:r>
            <w:r w:rsidRPr="00424406">
              <w:rPr>
                <w:rFonts w:eastAsia="Times New Roman" w:cs="Arial"/>
                <w:kern w:val="0"/>
                <w:sz w:val="20"/>
                <w:szCs w:val="20"/>
                <w:lang w:val="es-ES" w:eastAsia="es-ES"/>
                <w14:ligatures w14:val="none"/>
              </w:rPr>
              <w:t>).</w:t>
            </w:r>
          </w:p>
        </w:tc>
      </w:tr>
      <w:tr w:rsidR="009B4E27" w:rsidRPr="00424406" w14:paraId="64A7C0CB" w14:textId="77777777" w:rsidTr="00905AD4">
        <w:tc>
          <w:tcPr>
            <w:tcW w:w="0" w:type="auto"/>
            <w:hideMark/>
          </w:tcPr>
          <w:p w14:paraId="7DA6D8C8"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b/>
                <w:bCs/>
                <w:kern w:val="0"/>
                <w:sz w:val="20"/>
                <w:szCs w:val="20"/>
                <w:lang w:val="es-ES" w:eastAsia="es-ES"/>
                <w14:ligatures w14:val="none"/>
              </w:rPr>
              <w:t>Rubio-</w:t>
            </w:r>
            <w:proofErr w:type="spellStart"/>
            <w:r w:rsidRPr="00424406">
              <w:rPr>
                <w:rFonts w:eastAsia="Times New Roman" w:cs="Arial"/>
                <w:b/>
                <w:bCs/>
                <w:kern w:val="0"/>
                <w:sz w:val="20"/>
                <w:szCs w:val="20"/>
                <w:lang w:val="es-ES" w:eastAsia="es-ES"/>
                <w14:ligatures w14:val="none"/>
              </w:rPr>
              <w:t>Esperano</w:t>
            </w:r>
            <w:proofErr w:type="spellEnd"/>
            <w:r w:rsidRPr="00424406">
              <w:rPr>
                <w:rFonts w:eastAsia="Times New Roman" w:cs="Arial"/>
                <w:b/>
                <w:bCs/>
                <w:kern w:val="0"/>
                <w:sz w:val="20"/>
                <w:szCs w:val="20"/>
                <w:lang w:val="es-ES" w:eastAsia="es-ES"/>
                <w14:ligatures w14:val="none"/>
              </w:rPr>
              <w:t xml:space="preserve"> et al. (2018)</w:t>
            </w:r>
          </w:p>
        </w:tc>
        <w:tc>
          <w:tcPr>
            <w:tcW w:w="0" w:type="auto"/>
            <w:hideMark/>
          </w:tcPr>
          <w:p w14:paraId="04D77043"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 intrauterino 400 µg más oxitocina vs. placebo intrauterino más oxitocina</w:t>
            </w:r>
          </w:p>
        </w:tc>
        <w:tc>
          <w:tcPr>
            <w:tcW w:w="0" w:type="auto"/>
            <w:hideMark/>
          </w:tcPr>
          <w:p w14:paraId="57FA7AB4"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Hemorragia obstétrica &gt;1000 </w:t>
            </w:r>
            <w:proofErr w:type="spellStart"/>
            <w:r w:rsidRPr="00424406">
              <w:rPr>
                <w:rFonts w:eastAsia="Times New Roman" w:cs="Arial"/>
                <w:kern w:val="0"/>
                <w:sz w:val="20"/>
                <w:szCs w:val="20"/>
                <w:lang w:val="es-ES" w:eastAsia="es-ES"/>
                <w14:ligatures w14:val="none"/>
              </w:rPr>
              <w:t>mL</w:t>
            </w:r>
            <w:proofErr w:type="spellEnd"/>
            <w:r w:rsidRPr="00424406">
              <w:rPr>
                <w:rFonts w:eastAsia="Times New Roman" w:cs="Arial"/>
                <w:kern w:val="0"/>
                <w:sz w:val="20"/>
                <w:szCs w:val="20"/>
                <w:lang w:val="es-ES" w:eastAsia="es-ES"/>
                <w14:ligatures w14:val="none"/>
              </w:rPr>
              <w:t>; atonía uterina; uterotónicos adicionales</w:t>
            </w:r>
          </w:p>
        </w:tc>
        <w:tc>
          <w:tcPr>
            <w:tcW w:w="0" w:type="auto"/>
            <w:hideMark/>
          </w:tcPr>
          <w:p w14:paraId="3F42265B"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Misoprostol</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n=74: HPP 4/74 (5</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4%); atonía 55</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4%; uterotónicos adicionales 24</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3%</w:t>
            </w:r>
          </w:p>
        </w:tc>
        <w:tc>
          <w:tcPr>
            <w:tcW w:w="0" w:type="auto"/>
            <w:hideMark/>
          </w:tcPr>
          <w:p w14:paraId="67C6382A"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Placebo</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 xml:space="preserve"> n=74: HPP 14/74 (18</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9%); atonía 68</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9%; uterotónicos adicionales 45</w:t>
            </w:r>
            <w:r>
              <w:rPr>
                <w:rFonts w:eastAsia="Times New Roman" w:cs="Arial"/>
                <w:kern w:val="0"/>
                <w:sz w:val="20"/>
                <w:szCs w:val="20"/>
                <w:lang w:val="es-ES" w:eastAsia="es-ES"/>
                <w14:ligatures w14:val="none"/>
              </w:rPr>
              <w:t>.</w:t>
            </w:r>
            <w:r w:rsidRPr="00424406">
              <w:rPr>
                <w:rFonts w:eastAsia="Times New Roman" w:cs="Arial"/>
                <w:kern w:val="0"/>
                <w:sz w:val="20"/>
                <w:szCs w:val="20"/>
                <w:lang w:val="es-ES" w:eastAsia="es-ES"/>
                <w14:ligatures w14:val="none"/>
              </w:rPr>
              <w:t>9%</w:t>
            </w:r>
          </w:p>
        </w:tc>
        <w:tc>
          <w:tcPr>
            <w:tcW w:w="0" w:type="auto"/>
            <w:hideMark/>
          </w:tcPr>
          <w:p w14:paraId="3A658B8F" w14:textId="77777777" w:rsidR="009B4E27" w:rsidRPr="00424406" w:rsidRDefault="009B4E27" w:rsidP="00905AD4">
            <w:pPr>
              <w:jc w:val="left"/>
              <w:rPr>
                <w:rFonts w:eastAsia="Times New Roman" w:cs="Arial"/>
                <w:kern w:val="0"/>
                <w:sz w:val="20"/>
                <w:szCs w:val="20"/>
                <w:lang w:val="es-ES" w:eastAsia="es-ES"/>
                <w14:ligatures w14:val="none"/>
              </w:rPr>
            </w:pPr>
            <w:r w:rsidRPr="00424406">
              <w:rPr>
                <w:rFonts w:eastAsia="Times New Roman" w:cs="Arial"/>
                <w:kern w:val="0"/>
                <w:sz w:val="20"/>
                <w:szCs w:val="20"/>
                <w:lang w:val="es-ES" w:eastAsia="es-ES"/>
                <w14:ligatures w14:val="none"/>
              </w:rPr>
              <w:t xml:space="preserve">El misoprostol intrauterino redujo la hemorragia obstétrica y el requerimiento de uterotónicos adicionales sin aumentar los efectos adversos. HPP: </w:t>
            </w:r>
            <w:r w:rsidRPr="00424406">
              <w:rPr>
                <w:rFonts w:eastAsia="Times New Roman" w:cs="Arial"/>
                <w:b/>
                <w:bCs/>
                <w:kern w:val="0"/>
                <w:sz w:val="20"/>
                <w:szCs w:val="20"/>
                <w:lang w:val="es-ES" w:eastAsia="es-ES"/>
                <w14:ligatures w14:val="none"/>
              </w:rPr>
              <w:t>5</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4% vs. 18</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9%; p=0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01</w:t>
            </w:r>
            <w:r w:rsidRPr="00424406">
              <w:rPr>
                <w:rFonts w:eastAsia="Times New Roman" w:cs="Arial"/>
                <w:kern w:val="0"/>
                <w:sz w:val="20"/>
                <w:szCs w:val="20"/>
                <w:lang w:val="es-ES" w:eastAsia="es-ES"/>
                <w14:ligatures w14:val="none"/>
              </w:rPr>
              <w:t xml:space="preserve">; uterotónicos adicionales: </w:t>
            </w:r>
            <w:r w:rsidRPr="00424406">
              <w:rPr>
                <w:rFonts w:eastAsia="Times New Roman" w:cs="Arial"/>
                <w:b/>
                <w:bCs/>
                <w:kern w:val="0"/>
                <w:sz w:val="20"/>
                <w:szCs w:val="20"/>
                <w:lang w:val="es-ES" w:eastAsia="es-ES"/>
                <w14:ligatures w14:val="none"/>
              </w:rPr>
              <w:t>24</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3% vs. 45</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9%; p=0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005</w:t>
            </w:r>
            <w:r w:rsidRPr="00424406">
              <w:rPr>
                <w:rFonts w:eastAsia="Times New Roman" w:cs="Arial"/>
                <w:kern w:val="0"/>
                <w:sz w:val="20"/>
                <w:szCs w:val="20"/>
                <w:lang w:val="es-ES" w:eastAsia="es-ES"/>
                <w14:ligatures w14:val="none"/>
              </w:rPr>
              <w:t xml:space="preserve">. La reducción de atonía no alcanzó significación: </w:t>
            </w:r>
            <w:r w:rsidRPr="00424406">
              <w:rPr>
                <w:rFonts w:eastAsia="Times New Roman" w:cs="Arial"/>
                <w:b/>
                <w:bCs/>
                <w:kern w:val="0"/>
                <w:sz w:val="20"/>
                <w:szCs w:val="20"/>
                <w:lang w:val="es-ES" w:eastAsia="es-ES"/>
                <w14:ligatures w14:val="none"/>
              </w:rPr>
              <w:t>p=0</w:t>
            </w:r>
            <w:r>
              <w:rPr>
                <w:rFonts w:eastAsia="Times New Roman" w:cs="Arial"/>
                <w:b/>
                <w:bCs/>
                <w:kern w:val="0"/>
                <w:sz w:val="20"/>
                <w:szCs w:val="20"/>
                <w:lang w:val="es-ES" w:eastAsia="es-ES"/>
                <w14:ligatures w14:val="none"/>
              </w:rPr>
              <w:t>.</w:t>
            </w:r>
            <w:r w:rsidRPr="00424406">
              <w:rPr>
                <w:rFonts w:eastAsia="Times New Roman" w:cs="Arial"/>
                <w:b/>
                <w:bCs/>
                <w:kern w:val="0"/>
                <w:sz w:val="20"/>
                <w:szCs w:val="20"/>
                <w:lang w:val="es-ES" w:eastAsia="es-ES"/>
                <w14:ligatures w14:val="none"/>
              </w:rPr>
              <w:t>06</w:t>
            </w:r>
            <w:r w:rsidRPr="00424406">
              <w:rPr>
                <w:rFonts w:eastAsia="Times New Roman" w:cs="Arial"/>
                <w:kern w:val="0"/>
                <w:sz w:val="20"/>
                <w:szCs w:val="20"/>
                <w:lang w:val="es-ES" w:eastAsia="es-ES"/>
                <w14:ligatures w14:val="none"/>
              </w:rPr>
              <w:t>.</w:t>
            </w:r>
          </w:p>
        </w:tc>
      </w:tr>
    </w:tbl>
    <w:p w14:paraId="129C0F67" w14:textId="77777777" w:rsidR="009B4E27" w:rsidRPr="00424406" w:rsidRDefault="009B4E27" w:rsidP="009B4E27">
      <w:pPr>
        <w:rPr>
          <w:sz w:val="20"/>
          <w:szCs w:val="20"/>
        </w:rPr>
      </w:pPr>
      <w:r w:rsidRPr="00424406">
        <w:rPr>
          <w:sz w:val="20"/>
          <w:szCs w:val="20"/>
        </w:rPr>
        <w:t xml:space="preserve">Nota. Los resultados estadísticos corresponden a los valores informados por los autores. La ausencia de significación estadística no demuestra equivalencia entre las intervenciones, salvo que el estudio haya sido diseñado y analizado específicamente como ensayo de equivalencia o no inferioridad. En </w:t>
      </w:r>
      <w:proofErr w:type="spellStart"/>
      <w:r w:rsidRPr="00424406">
        <w:rPr>
          <w:sz w:val="20"/>
          <w:szCs w:val="20"/>
        </w:rPr>
        <w:t>Gülmezoglu</w:t>
      </w:r>
      <w:proofErr w:type="spellEnd"/>
      <w:r w:rsidRPr="00424406">
        <w:rPr>
          <w:sz w:val="20"/>
          <w:szCs w:val="20"/>
        </w:rPr>
        <w:t xml:space="preserve"> et al., los resultados del centro argentino se presentan como frecuencias por grupo, mientras que el RR publicado corresponde al conjunto del ensayo multicéntrico.</w:t>
      </w:r>
    </w:p>
    <w:p w14:paraId="35AFBD26" w14:textId="41BBC270" w:rsidR="009B4E27" w:rsidRDefault="009B4E27" w:rsidP="00676C73"/>
    <w:p w14:paraId="3C160236" w14:textId="4B618F06" w:rsidR="009B4E27" w:rsidRDefault="009B4E27" w:rsidP="00676C73"/>
    <w:p w14:paraId="0474832A" w14:textId="77777777" w:rsidR="009B4E27" w:rsidRDefault="009B4E27" w:rsidP="00676C73">
      <w:pPr>
        <w:sectPr w:rsidR="009B4E27" w:rsidSect="009B4E27">
          <w:pgSz w:w="15840" w:h="12240" w:orient="landscape"/>
          <w:pgMar w:top="1701" w:right="1418" w:bottom="1701" w:left="1418" w:header="709" w:footer="709" w:gutter="0"/>
          <w:cols w:space="708"/>
          <w:docGrid w:linePitch="360"/>
        </w:sectPr>
      </w:pPr>
    </w:p>
    <w:p w14:paraId="7F766AB0" w14:textId="35CBCDC2" w:rsidR="00676C73" w:rsidRDefault="00676C73" w:rsidP="007F0150">
      <w:pPr>
        <w:pStyle w:val="Ttulo3"/>
      </w:pPr>
      <w:bookmarkStart w:id="48" w:name="_Toc235815378"/>
      <w:r>
        <w:lastRenderedPageBreak/>
        <w:t xml:space="preserve">Evaluación de la viabilidad para realizar </w:t>
      </w:r>
      <w:proofErr w:type="spellStart"/>
      <w:r>
        <w:t>metanálisis</w:t>
      </w:r>
      <w:proofErr w:type="spellEnd"/>
      <w:r>
        <w:t xml:space="preserve"> comparativo</w:t>
      </w:r>
      <w:bookmarkEnd w:id="48"/>
    </w:p>
    <w:p w14:paraId="0E1F36AA" w14:textId="77777777" w:rsidR="009B4E27" w:rsidRDefault="009B4E27" w:rsidP="009B4E27">
      <w:r>
        <w:t xml:space="preserve">El análisis de viabilidad (tabla 4) mostró que no fue posible realizar un </w:t>
      </w:r>
      <w:proofErr w:type="spellStart"/>
      <w:r>
        <w:t>metanálisis</w:t>
      </w:r>
      <w:proofErr w:type="spellEnd"/>
      <w:r>
        <w:t xml:space="preserve"> comparativo de la eficacia del misoprostol según la vía de administración. La comparación directa entre misoprostol sublingual y oral estuvo representada únicamente por Alva et al., por lo que no existió un segundo estudio con el cual combinar sus resultados. Además, aunque este estudio informó el volumen medio de pérdida sanguínea en ambos grupos, no presentó las desviaciones estándar necesarias para calcular una diferencia de medias con su intervalo de confianza del 95 %.</w:t>
      </w:r>
    </w:p>
    <w:p w14:paraId="10771226" w14:textId="77777777" w:rsidR="009B4E27" w:rsidRDefault="009B4E27" w:rsidP="009B4E27">
      <w:r>
        <w:t xml:space="preserve">En la comparación entre misoprostol sublingual y oxitocina, Sandoval et al. y Falcón Condezo evaluaron el volumen de sangrado, pero Falcón Condezo no presentó la media y desviación estándar por grupo. Además, solo Sandoval informó el número de casos de HPP. En la comparación entre misoprostol oral y oxitocina, </w:t>
      </w:r>
      <w:proofErr w:type="spellStart"/>
      <w:r>
        <w:t>Gülmezoglu</w:t>
      </w:r>
      <w:proofErr w:type="spellEnd"/>
      <w:r>
        <w:t xml:space="preserve"> et al. utilizaron un umbral de pérdida sanguínea de 1000 </w:t>
      </w:r>
      <w:proofErr w:type="spellStart"/>
      <w:r>
        <w:t>mL</w:t>
      </w:r>
      <w:proofErr w:type="spellEnd"/>
      <w:r>
        <w:t xml:space="preserve">, mientras que Morgan Ortiz et al. definieron la HPP mediante un umbral superior a 500 </w:t>
      </w:r>
      <w:proofErr w:type="spellStart"/>
      <w:r>
        <w:t>mL</w:t>
      </w:r>
      <w:proofErr w:type="spellEnd"/>
      <w:r>
        <w:t xml:space="preserve">. Esta diferencia impidió considerar ambos desenlaces como equivalentes. Asimismo, el estudio de </w:t>
      </w:r>
      <w:proofErr w:type="spellStart"/>
      <w:r>
        <w:t>Gülmezoglu</w:t>
      </w:r>
      <w:proofErr w:type="spellEnd"/>
      <w:r>
        <w:t xml:space="preserve"> et al. no presentó datos continuos de pérdida sanguínea desagregados para el centro de Argentina, por lo que tampoco fue posible combinarlo con Morgan Ortiz et al. mediante diferencias de medias (tabla 4).</w:t>
      </w:r>
    </w:p>
    <w:p w14:paraId="233E4CCA" w14:textId="3E1B6836" w:rsidR="00676C73" w:rsidRDefault="009B4E27" w:rsidP="009B4E27">
      <w:r>
        <w:t>Las comparaciones con placebo y entre diferentes dosis de misoprostol estuvieron representadas por un solo estudio en cada caso. En los estudios sobre misoprostol intrauterino, los desenlaces tampoco fueron homogéneos, ya que uno informó casos de HPP y el otro presentó principalmente cambios en hemoglobina y hematocrito. En consecuencia, ninguna comparación contó con al menos dos investigaciones que presentaran simultáneamente intervenciones equivalentes, el mismo comparador, una definición compatible de HPP y los datos estadísticos requeridos para calcular una medida combinada de efecto. Por esta razón, los resultados comparativos fueron presentados mediante una síntesis narrativa estructurada (tabla 4).</w:t>
      </w:r>
    </w:p>
    <w:p w14:paraId="000181F5" w14:textId="5C9194F6" w:rsidR="009B4E27" w:rsidRDefault="009B4E27" w:rsidP="00676C73"/>
    <w:p w14:paraId="39F7DBF5" w14:textId="77777777" w:rsidR="009B4E27" w:rsidRDefault="009B4E27" w:rsidP="00676C73">
      <w:pPr>
        <w:sectPr w:rsidR="009B4E27" w:rsidSect="006F5322">
          <w:pgSz w:w="12240" w:h="15840"/>
          <w:pgMar w:top="1418" w:right="1701" w:bottom="1418" w:left="1701" w:header="709" w:footer="709" w:gutter="0"/>
          <w:cols w:space="708"/>
          <w:docGrid w:linePitch="360"/>
        </w:sectPr>
      </w:pPr>
    </w:p>
    <w:p w14:paraId="23610A40" w14:textId="77777777" w:rsidR="009B4E27" w:rsidRDefault="009B4E27" w:rsidP="009B4E27">
      <w:pPr>
        <w:pStyle w:val="Descripcin"/>
        <w:rPr>
          <w:sz w:val="20"/>
          <w:szCs w:val="20"/>
        </w:rPr>
      </w:pPr>
      <w:bookmarkStart w:id="49" w:name="_Toc235815412"/>
      <w:r>
        <w:lastRenderedPageBreak/>
        <w:t xml:space="preserve">Tabla </w:t>
      </w:r>
      <w:r>
        <w:fldChar w:fldCharType="begin"/>
      </w:r>
      <w:r>
        <w:instrText xml:space="preserve"> SEQ Tabla \* ARABIC </w:instrText>
      </w:r>
      <w:r>
        <w:fldChar w:fldCharType="separate"/>
      </w:r>
      <w:r>
        <w:rPr>
          <w:noProof/>
        </w:rPr>
        <w:t>4</w:t>
      </w:r>
      <w:r>
        <w:fldChar w:fldCharType="end"/>
      </w:r>
      <w:r>
        <w:t xml:space="preserve">. </w:t>
      </w:r>
      <w:r>
        <w:rPr>
          <w:sz w:val="20"/>
          <w:szCs w:val="20"/>
        </w:rPr>
        <w:t>Análisis de la v</w:t>
      </w:r>
      <w:r w:rsidRPr="00E7605D">
        <w:rPr>
          <w:sz w:val="20"/>
          <w:szCs w:val="20"/>
        </w:rPr>
        <w:t xml:space="preserve">iabilidad del </w:t>
      </w:r>
      <w:proofErr w:type="spellStart"/>
      <w:r w:rsidRPr="00E7605D">
        <w:rPr>
          <w:sz w:val="20"/>
          <w:szCs w:val="20"/>
        </w:rPr>
        <w:t>metanálisis</w:t>
      </w:r>
      <w:proofErr w:type="spellEnd"/>
      <w:r w:rsidRPr="00E7605D">
        <w:rPr>
          <w:sz w:val="20"/>
          <w:szCs w:val="20"/>
        </w:rPr>
        <w:t xml:space="preserve"> según la vía de administración y el comparador</w:t>
      </w:r>
      <w:bookmarkEnd w:id="49"/>
    </w:p>
    <w:tbl>
      <w:tblPr>
        <w:tblStyle w:val="Tablaconcuadrcula"/>
        <w:tblW w:w="0" w:type="auto"/>
        <w:tblLook w:val="04A0" w:firstRow="1" w:lastRow="0" w:firstColumn="1" w:lastColumn="0" w:noHBand="0" w:noVBand="1"/>
      </w:tblPr>
      <w:tblGrid>
        <w:gridCol w:w="2301"/>
        <w:gridCol w:w="2261"/>
        <w:gridCol w:w="3102"/>
        <w:gridCol w:w="5330"/>
      </w:tblGrid>
      <w:tr w:rsidR="009B4E27" w:rsidRPr="00E7605D" w14:paraId="2C873804" w14:textId="77777777" w:rsidTr="00905AD4">
        <w:tc>
          <w:tcPr>
            <w:tcW w:w="0" w:type="auto"/>
            <w:shd w:val="clear" w:color="auto" w:fill="FFF2CC" w:themeFill="accent4" w:themeFillTint="33"/>
            <w:hideMark/>
          </w:tcPr>
          <w:p w14:paraId="5CD2EFA6" w14:textId="77777777" w:rsidR="009B4E27" w:rsidRPr="00E7605D" w:rsidRDefault="009B4E27" w:rsidP="00905AD4">
            <w:pPr>
              <w:jc w:val="center"/>
              <w:rPr>
                <w:rFonts w:eastAsia="Times New Roman" w:cs="Times New Roman"/>
                <w:b/>
                <w:bCs/>
                <w:kern w:val="0"/>
                <w:lang w:val="es-ES" w:eastAsia="es-ES"/>
                <w14:ligatures w14:val="none"/>
              </w:rPr>
            </w:pPr>
            <w:r w:rsidRPr="00E7605D">
              <w:rPr>
                <w:rFonts w:eastAsia="Times New Roman" w:cs="Times New Roman"/>
                <w:b/>
                <w:bCs/>
                <w:kern w:val="0"/>
                <w:lang w:val="es-ES" w:eastAsia="es-ES"/>
                <w14:ligatures w14:val="none"/>
              </w:rPr>
              <w:t>Comparación</w:t>
            </w:r>
          </w:p>
        </w:tc>
        <w:tc>
          <w:tcPr>
            <w:tcW w:w="0" w:type="auto"/>
            <w:shd w:val="clear" w:color="auto" w:fill="FFF2CC" w:themeFill="accent4" w:themeFillTint="33"/>
            <w:hideMark/>
          </w:tcPr>
          <w:p w14:paraId="23408833" w14:textId="77777777" w:rsidR="009B4E27" w:rsidRPr="00E7605D" w:rsidRDefault="009B4E27" w:rsidP="00905AD4">
            <w:pPr>
              <w:jc w:val="center"/>
              <w:rPr>
                <w:rFonts w:eastAsia="Times New Roman" w:cs="Times New Roman"/>
                <w:b/>
                <w:bCs/>
                <w:kern w:val="0"/>
                <w:lang w:val="es-ES" w:eastAsia="es-ES"/>
                <w14:ligatures w14:val="none"/>
              </w:rPr>
            </w:pPr>
            <w:r w:rsidRPr="00E7605D">
              <w:rPr>
                <w:rFonts w:eastAsia="Times New Roman" w:cs="Times New Roman"/>
                <w:b/>
                <w:bCs/>
                <w:kern w:val="0"/>
                <w:lang w:val="es-ES" w:eastAsia="es-ES"/>
                <w14:ligatures w14:val="none"/>
              </w:rPr>
              <w:t>Estudios que aportan información</w:t>
            </w:r>
          </w:p>
        </w:tc>
        <w:tc>
          <w:tcPr>
            <w:tcW w:w="0" w:type="auto"/>
            <w:shd w:val="clear" w:color="auto" w:fill="FFF2CC" w:themeFill="accent4" w:themeFillTint="33"/>
            <w:hideMark/>
          </w:tcPr>
          <w:p w14:paraId="7DB5DEA5" w14:textId="77777777" w:rsidR="009B4E27" w:rsidRPr="00E7605D" w:rsidRDefault="009B4E27" w:rsidP="00905AD4">
            <w:pPr>
              <w:jc w:val="center"/>
              <w:rPr>
                <w:rFonts w:eastAsia="Times New Roman" w:cs="Times New Roman"/>
                <w:b/>
                <w:bCs/>
                <w:kern w:val="0"/>
                <w:lang w:val="es-ES" w:eastAsia="es-ES"/>
                <w14:ligatures w14:val="none"/>
              </w:rPr>
            </w:pPr>
            <w:r w:rsidRPr="00E7605D">
              <w:rPr>
                <w:rFonts w:eastAsia="Times New Roman" w:cs="Times New Roman"/>
                <w:b/>
                <w:bCs/>
                <w:kern w:val="0"/>
                <w:lang w:val="es-ES" w:eastAsia="es-ES"/>
                <w14:ligatures w14:val="none"/>
              </w:rPr>
              <w:t>Desenlace de prevención de HPP disponible</w:t>
            </w:r>
          </w:p>
        </w:tc>
        <w:tc>
          <w:tcPr>
            <w:tcW w:w="0" w:type="auto"/>
            <w:shd w:val="clear" w:color="auto" w:fill="FFF2CC" w:themeFill="accent4" w:themeFillTint="33"/>
            <w:hideMark/>
          </w:tcPr>
          <w:p w14:paraId="452B6324" w14:textId="77777777" w:rsidR="009B4E27" w:rsidRPr="00E7605D" w:rsidRDefault="009B4E27" w:rsidP="00905AD4">
            <w:pPr>
              <w:jc w:val="center"/>
              <w:rPr>
                <w:rFonts w:eastAsia="Times New Roman" w:cs="Times New Roman"/>
                <w:b/>
                <w:bCs/>
                <w:kern w:val="0"/>
                <w:lang w:val="es-ES" w:eastAsia="es-ES"/>
                <w14:ligatures w14:val="none"/>
              </w:rPr>
            </w:pPr>
            <w:r w:rsidRPr="00E7605D">
              <w:rPr>
                <w:rFonts w:eastAsia="Times New Roman" w:cs="Times New Roman"/>
                <w:b/>
                <w:bCs/>
                <w:kern w:val="0"/>
                <w:lang w:val="es-ES" w:eastAsia="es-ES"/>
                <w14:ligatures w14:val="none"/>
              </w:rPr>
              <w:t xml:space="preserve">Razón de viabilidad o no viabilidad para </w:t>
            </w:r>
            <w:proofErr w:type="spellStart"/>
            <w:r w:rsidRPr="00E7605D">
              <w:rPr>
                <w:rFonts w:eastAsia="Times New Roman" w:cs="Times New Roman"/>
                <w:b/>
                <w:bCs/>
                <w:kern w:val="0"/>
                <w:lang w:val="es-ES" w:eastAsia="es-ES"/>
                <w14:ligatures w14:val="none"/>
              </w:rPr>
              <w:t>metanálisis</w:t>
            </w:r>
            <w:proofErr w:type="spellEnd"/>
          </w:p>
        </w:tc>
      </w:tr>
      <w:tr w:rsidR="009B4E27" w:rsidRPr="00E7605D" w14:paraId="1E0AC4F2" w14:textId="77777777" w:rsidTr="00905AD4">
        <w:tc>
          <w:tcPr>
            <w:tcW w:w="0" w:type="auto"/>
            <w:hideMark/>
          </w:tcPr>
          <w:p w14:paraId="5A7CC66C"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Misoprostol sublingual versus misoprostol oral</w:t>
            </w:r>
          </w:p>
        </w:tc>
        <w:tc>
          <w:tcPr>
            <w:tcW w:w="0" w:type="auto"/>
            <w:hideMark/>
          </w:tcPr>
          <w:p w14:paraId="7FD4F652"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Alva et al. (2000)</w:t>
            </w:r>
          </w:p>
        </w:tc>
        <w:tc>
          <w:tcPr>
            <w:tcW w:w="0" w:type="auto"/>
            <w:hideMark/>
          </w:tcPr>
          <w:p w14:paraId="27FAA6DF"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 xml:space="preserve">Volumen de pérdida sanguínea: sublingual 170,4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frente a oral 266,9 </w:t>
            </w:r>
            <w:proofErr w:type="spellStart"/>
            <w:r w:rsidRPr="00E7605D">
              <w:rPr>
                <w:rFonts w:eastAsia="Times New Roman" w:cs="Times New Roman"/>
                <w:kern w:val="0"/>
                <w:lang w:val="es-ES" w:eastAsia="es-ES"/>
                <w14:ligatures w14:val="none"/>
              </w:rPr>
              <w:t>mL</w:t>
            </w:r>
            <w:proofErr w:type="spellEnd"/>
          </w:p>
        </w:tc>
        <w:tc>
          <w:tcPr>
            <w:tcW w:w="0" w:type="auto"/>
            <w:hideMark/>
          </w:tcPr>
          <w:p w14:paraId="55E06EE2"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No es viable. Solo se identificó un estudio con comparación directa entre ambas vías. Además, el artículo no presenta desviación estándar del volumen de sangrado por grupo, por lo que tampoco permite estimar una diferencia de medias con IC 95 %.</w:t>
            </w:r>
          </w:p>
        </w:tc>
      </w:tr>
      <w:tr w:rsidR="009B4E27" w:rsidRPr="00E7605D" w14:paraId="426C3565" w14:textId="77777777" w:rsidTr="00905AD4">
        <w:tc>
          <w:tcPr>
            <w:tcW w:w="0" w:type="auto"/>
            <w:hideMark/>
          </w:tcPr>
          <w:p w14:paraId="1E324086"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Comparación entre diferentes dosis de misoprostol sublingual</w:t>
            </w:r>
          </w:p>
        </w:tc>
        <w:tc>
          <w:tcPr>
            <w:tcW w:w="0" w:type="auto"/>
            <w:hideMark/>
          </w:tcPr>
          <w:p w14:paraId="08E20889"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Sarabia Salazar et al. (2015): 200, 400 y 600 µg</w:t>
            </w:r>
          </w:p>
        </w:tc>
        <w:tc>
          <w:tcPr>
            <w:tcW w:w="0" w:type="auto"/>
            <w:hideMark/>
          </w:tcPr>
          <w:p w14:paraId="626E178E"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Incidencia global de HPP menor del 1 % y pérdida hemática durante el alumbramiento</w:t>
            </w:r>
          </w:p>
        </w:tc>
        <w:tc>
          <w:tcPr>
            <w:tcW w:w="0" w:type="auto"/>
            <w:hideMark/>
          </w:tcPr>
          <w:p w14:paraId="348A8DBC"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No es viable. Las tres dosis proceden de un único estudio. Además, la incidencia de HPP no se presenta desagregada claramente para cada grupo de dosis.</w:t>
            </w:r>
          </w:p>
        </w:tc>
      </w:tr>
      <w:tr w:rsidR="009B4E27" w:rsidRPr="00E7605D" w14:paraId="62CC2291" w14:textId="77777777" w:rsidTr="00905AD4">
        <w:tc>
          <w:tcPr>
            <w:tcW w:w="0" w:type="auto"/>
            <w:hideMark/>
          </w:tcPr>
          <w:p w14:paraId="4C494433"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Misoprostol sublingual versus oxitocina</w:t>
            </w:r>
          </w:p>
        </w:tc>
        <w:tc>
          <w:tcPr>
            <w:tcW w:w="0" w:type="auto"/>
            <w:hideMark/>
          </w:tcPr>
          <w:p w14:paraId="31CA3092"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Sandoval et al. (2004) y Falcón Condezo (2015)</w:t>
            </w:r>
          </w:p>
        </w:tc>
        <w:tc>
          <w:tcPr>
            <w:tcW w:w="0" w:type="auto"/>
            <w:hideMark/>
          </w:tcPr>
          <w:p w14:paraId="34B614ED"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 xml:space="preserve">Sandoval: HPP ≥1000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y volumen de sangrado. Falcón: volumen de sangrado</w:t>
            </w:r>
          </w:p>
        </w:tc>
        <w:tc>
          <w:tcPr>
            <w:tcW w:w="0" w:type="auto"/>
            <w:hideMark/>
          </w:tcPr>
          <w:p w14:paraId="484D914D"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No es viable para HPP dicotómica, porque solo Sandoval informa el número de casos de HPP por grupo. No es viable para volumen de sangrado, aunque ambos lo evaluaron, porque Falcón no informa media y desviación estándar del volumen por grupo; solo presenta una prueba de rangos con z y p.</w:t>
            </w:r>
          </w:p>
        </w:tc>
      </w:tr>
      <w:tr w:rsidR="009B4E27" w:rsidRPr="00E7605D" w14:paraId="74AC3664" w14:textId="77777777" w:rsidTr="00905AD4">
        <w:tc>
          <w:tcPr>
            <w:tcW w:w="0" w:type="auto"/>
            <w:hideMark/>
          </w:tcPr>
          <w:p w14:paraId="4C570E95"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lastRenderedPageBreak/>
              <w:t>Misoprostol sublingual versus placebo</w:t>
            </w:r>
          </w:p>
        </w:tc>
        <w:tc>
          <w:tcPr>
            <w:tcW w:w="0" w:type="auto"/>
            <w:hideMark/>
          </w:tcPr>
          <w:p w14:paraId="42D75846"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Angarita Peñaranda et al. (2003)</w:t>
            </w:r>
          </w:p>
        </w:tc>
        <w:tc>
          <w:tcPr>
            <w:tcW w:w="0" w:type="auto"/>
            <w:hideMark/>
          </w:tcPr>
          <w:p w14:paraId="5A624FB8"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 xml:space="preserve">HPP definida como sangrado ≥500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y volumen medio de sangrado</w:t>
            </w:r>
          </w:p>
        </w:tc>
        <w:tc>
          <w:tcPr>
            <w:tcW w:w="0" w:type="auto"/>
            <w:hideMark/>
          </w:tcPr>
          <w:p w14:paraId="08991AF7"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No es viable. El estudio aporta datos completos para ambos desenlaces, pero es el único que compara misoprostol sublingual con placebo.</w:t>
            </w:r>
          </w:p>
        </w:tc>
      </w:tr>
      <w:tr w:rsidR="009B4E27" w:rsidRPr="00E7605D" w14:paraId="12EDA703" w14:textId="77777777" w:rsidTr="00905AD4">
        <w:tc>
          <w:tcPr>
            <w:tcW w:w="0" w:type="auto"/>
            <w:hideMark/>
          </w:tcPr>
          <w:p w14:paraId="0DAF912B"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Misoprostol oral versus oxitocina</w:t>
            </w:r>
          </w:p>
        </w:tc>
        <w:tc>
          <w:tcPr>
            <w:tcW w:w="0" w:type="auto"/>
            <w:hideMark/>
          </w:tcPr>
          <w:p w14:paraId="2360D565" w14:textId="77777777" w:rsidR="009B4E27" w:rsidRPr="00E7605D" w:rsidRDefault="009B4E27" w:rsidP="00905AD4">
            <w:pPr>
              <w:jc w:val="left"/>
              <w:rPr>
                <w:rFonts w:eastAsia="Times New Roman" w:cs="Times New Roman"/>
                <w:kern w:val="0"/>
                <w:lang w:val="es-ES" w:eastAsia="es-ES"/>
                <w14:ligatures w14:val="none"/>
              </w:rPr>
            </w:pPr>
            <w:proofErr w:type="spellStart"/>
            <w:r w:rsidRPr="00E7605D">
              <w:rPr>
                <w:rFonts w:eastAsia="Times New Roman" w:cs="Times New Roman"/>
                <w:kern w:val="0"/>
                <w:lang w:val="es-ES" w:eastAsia="es-ES"/>
                <w14:ligatures w14:val="none"/>
              </w:rPr>
              <w:t>Gülmezoglu</w:t>
            </w:r>
            <w:proofErr w:type="spellEnd"/>
            <w:r w:rsidRPr="00E7605D">
              <w:rPr>
                <w:rFonts w:eastAsia="Times New Roman" w:cs="Times New Roman"/>
                <w:kern w:val="0"/>
                <w:lang w:val="es-ES" w:eastAsia="es-ES"/>
                <w14:ligatures w14:val="none"/>
              </w:rPr>
              <w:t xml:space="preserve"> et al. (2001), centro de Argentina, y Morgan Ortiz et al. (2004)</w:t>
            </w:r>
          </w:p>
        </w:tc>
        <w:tc>
          <w:tcPr>
            <w:tcW w:w="0" w:type="auto"/>
            <w:hideMark/>
          </w:tcPr>
          <w:p w14:paraId="54E75510" w14:textId="77777777" w:rsidR="009B4E27" w:rsidRPr="00E7605D" w:rsidRDefault="009B4E27" w:rsidP="00905AD4">
            <w:pPr>
              <w:jc w:val="left"/>
              <w:rPr>
                <w:rFonts w:eastAsia="Times New Roman" w:cs="Times New Roman"/>
                <w:kern w:val="0"/>
                <w:lang w:val="es-ES" w:eastAsia="es-ES"/>
                <w14:ligatures w14:val="none"/>
              </w:rPr>
            </w:pPr>
            <w:proofErr w:type="spellStart"/>
            <w:r w:rsidRPr="00E7605D">
              <w:rPr>
                <w:rFonts w:eastAsia="Times New Roman" w:cs="Times New Roman"/>
                <w:kern w:val="0"/>
                <w:lang w:val="es-ES" w:eastAsia="es-ES"/>
                <w14:ligatures w14:val="none"/>
              </w:rPr>
              <w:t>Gülmezoglu</w:t>
            </w:r>
            <w:proofErr w:type="spellEnd"/>
            <w:r w:rsidRPr="00E7605D">
              <w:rPr>
                <w:rFonts w:eastAsia="Times New Roman" w:cs="Times New Roman"/>
                <w:kern w:val="0"/>
                <w:lang w:val="es-ES" w:eastAsia="es-ES"/>
                <w14:ligatures w14:val="none"/>
              </w:rPr>
              <w:t xml:space="preserve">: HPP ≥1000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Morgan Ortiz: HPP &gt;500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y volumen medio de sangrado</w:t>
            </w:r>
          </w:p>
        </w:tc>
        <w:tc>
          <w:tcPr>
            <w:tcW w:w="0" w:type="auto"/>
            <w:hideMark/>
          </w:tcPr>
          <w:p w14:paraId="49B72AB1"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 xml:space="preserve">No es viable para HPP dicotómica, porque los estudios utilizaron umbrales diferentes: ≥1000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y &gt;500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No es viable para volumen de sangrado, porque Morgan Ortiz informa media y desviación estándar, pero el estudio de </w:t>
            </w:r>
            <w:proofErr w:type="spellStart"/>
            <w:r w:rsidRPr="00E7605D">
              <w:rPr>
                <w:rFonts w:eastAsia="Times New Roman" w:cs="Times New Roman"/>
                <w:kern w:val="0"/>
                <w:lang w:val="es-ES" w:eastAsia="es-ES"/>
                <w14:ligatures w14:val="none"/>
              </w:rPr>
              <w:t>Gülmezoglu</w:t>
            </w:r>
            <w:proofErr w:type="spellEnd"/>
            <w:r w:rsidRPr="00E7605D">
              <w:rPr>
                <w:rFonts w:eastAsia="Times New Roman" w:cs="Times New Roman"/>
                <w:kern w:val="0"/>
                <w:lang w:val="es-ES" w:eastAsia="es-ES"/>
                <w14:ligatures w14:val="none"/>
              </w:rPr>
              <w:t xml:space="preserve"> no presenta esos datos continuos desagregados para Argentina.</w:t>
            </w:r>
          </w:p>
        </w:tc>
      </w:tr>
      <w:tr w:rsidR="009B4E27" w:rsidRPr="00E7605D" w14:paraId="20DC7D41" w14:textId="77777777" w:rsidTr="00905AD4">
        <w:tc>
          <w:tcPr>
            <w:tcW w:w="0" w:type="auto"/>
            <w:hideMark/>
          </w:tcPr>
          <w:p w14:paraId="422CE858"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Misoprostol oral versus otra vía de misoprostol</w:t>
            </w:r>
          </w:p>
        </w:tc>
        <w:tc>
          <w:tcPr>
            <w:tcW w:w="0" w:type="auto"/>
            <w:hideMark/>
          </w:tcPr>
          <w:p w14:paraId="4FDA5208"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Alva et al. (2000): oral versus sublingual</w:t>
            </w:r>
          </w:p>
        </w:tc>
        <w:tc>
          <w:tcPr>
            <w:tcW w:w="0" w:type="auto"/>
            <w:hideMark/>
          </w:tcPr>
          <w:p w14:paraId="0589E37D"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Volumen de pérdida sanguínea</w:t>
            </w:r>
          </w:p>
        </w:tc>
        <w:tc>
          <w:tcPr>
            <w:tcW w:w="0" w:type="auto"/>
            <w:hideMark/>
          </w:tcPr>
          <w:p w14:paraId="15E8D913"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No es viable. Corresponde al único estudio de comparación directa entre misoprostol oral y sublingual.</w:t>
            </w:r>
          </w:p>
        </w:tc>
      </w:tr>
      <w:tr w:rsidR="009B4E27" w:rsidRPr="00E7605D" w14:paraId="266C9101" w14:textId="77777777" w:rsidTr="00905AD4">
        <w:tc>
          <w:tcPr>
            <w:tcW w:w="0" w:type="auto"/>
            <w:hideMark/>
          </w:tcPr>
          <w:p w14:paraId="45BDE7CD"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Misoprostol intrauterino más oxitocina versus placebo más oxitocina</w:t>
            </w:r>
          </w:p>
        </w:tc>
        <w:tc>
          <w:tcPr>
            <w:tcW w:w="0" w:type="auto"/>
            <w:hideMark/>
          </w:tcPr>
          <w:p w14:paraId="21727E5D"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Quiroga Díaz et al. (2009) y Rubio-</w:t>
            </w:r>
            <w:proofErr w:type="spellStart"/>
            <w:r w:rsidRPr="00E7605D">
              <w:rPr>
                <w:rFonts w:eastAsia="Times New Roman" w:cs="Times New Roman"/>
                <w:kern w:val="0"/>
                <w:lang w:val="es-ES" w:eastAsia="es-ES"/>
                <w14:ligatures w14:val="none"/>
              </w:rPr>
              <w:t>Esperano</w:t>
            </w:r>
            <w:proofErr w:type="spellEnd"/>
            <w:r w:rsidRPr="00E7605D">
              <w:rPr>
                <w:rFonts w:eastAsia="Times New Roman" w:cs="Times New Roman"/>
                <w:kern w:val="0"/>
                <w:lang w:val="es-ES" w:eastAsia="es-ES"/>
                <w14:ligatures w14:val="none"/>
              </w:rPr>
              <w:t xml:space="preserve"> et al. (2018)</w:t>
            </w:r>
          </w:p>
        </w:tc>
        <w:tc>
          <w:tcPr>
            <w:tcW w:w="0" w:type="auto"/>
            <w:hideMark/>
          </w:tcPr>
          <w:p w14:paraId="406675ED"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Rubio-</w:t>
            </w:r>
            <w:proofErr w:type="spellStart"/>
            <w:r w:rsidRPr="00E7605D">
              <w:rPr>
                <w:rFonts w:eastAsia="Times New Roman" w:cs="Times New Roman"/>
                <w:kern w:val="0"/>
                <w:lang w:val="es-ES" w:eastAsia="es-ES"/>
                <w14:ligatures w14:val="none"/>
              </w:rPr>
              <w:t>Esperano</w:t>
            </w:r>
            <w:proofErr w:type="spellEnd"/>
            <w:r w:rsidRPr="00E7605D">
              <w:rPr>
                <w:rFonts w:eastAsia="Times New Roman" w:cs="Times New Roman"/>
                <w:kern w:val="0"/>
                <w:lang w:val="es-ES" w:eastAsia="es-ES"/>
                <w14:ligatures w14:val="none"/>
              </w:rPr>
              <w:t xml:space="preserve">: HPP &gt;1000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Quiroga Díaz: cambios de hemoglobina y hematocrito, sin casos de HPP &gt;1000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xml:space="preserve"> por grupo</w:t>
            </w:r>
          </w:p>
        </w:tc>
        <w:tc>
          <w:tcPr>
            <w:tcW w:w="0" w:type="auto"/>
            <w:hideMark/>
          </w:tcPr>
          <w:p w14:paraId="35C6CB28" w14:textId="77777777" w:rsidR="009B4E27" w:rsidRPr="00E7605D" w:rsidRDefault="009B4E27" w:rsidP="00905AD4">
            <w:pPr>
              <w:jc w:val="left"/>
              <w:rPr>
                <w:rFonts w:eastAsia="Times New Roman" w:cs="Times New Roman"/>
                <w:kern w:val="0"/>
                <w:lang w:val="es-ES" w:eastAsia="es-ES"/>
                <w14:ligatures w14:val="none"/>
              </w:rPr>
            </w:pPr>
            <w:r w:rsidRPr="00E7605D">
              <w:rPr>
                <w:rFonts w:eastAsia="Times New Roman" w:cs="Times New Roman"/>
                <w:kern w:val="0"/>
                <w:lang w:val="es-ES" w:eastAsia="es-ES"/>
                <w14:ligatures w14:val="none"/>
              </w:rPr>
              <w:t>No es viable para el desenlace directo de HPP. Solo Rubio-</w:t>
            </w:r>
            <w:proofErr w:type="spellStart"/>
            <w:r w:rsidRPr="00E7605D">
              <w:rPr>
                <w:rFonts w:eastAsia="Times New Roman" w:cs="Times New Roman"/>
                <w:kern w:val="0"/>
                <w:lang w:val="es-ES" w:eastAsia="es-ES"/>
                <w14:ligatures w14:val="none"/>
              </w:rPr>
              <w:t>Esperano</w:t>
            </w:r>
            <w:proofErr w:type="spellEnd"/>
            <w:r w:rsidRPr="00E7605D">
              <w:rPr>
                <w:rFonts w:eastAsia="Times New Roman" w:cs="Times New Roman"/>
                <w:kern w:val="0"/>
                <w:lang w:val="es-ES" w:eastAsia="es-ES"/>
                <w14:ligatures w14:val="none"/>
              </w:rPr>
              <w:t xml:space="preserve"> informa la incidencia de hemorragia &gt;1000 </w:t>
            </w:r>
            <w:proofErr w:type="spellStart"/>
            <w:r w:rsidRPr="00E7605D">
              <w:rPr>
                <w:rFonts w:eastAsia="Times New Roman" w:cs="Times New Roman"/>
                <w:kern w:val="0"/>
                <w:lang w:val="es-ES" w:eastAsia="es-ES"/>
                <w14:ligatures w14:val="none"/>
              </w:rPr>
              <w:t>mL</w:t>
            </w:r>
            <w:proofErr w:type="spellEnd"/>
            <w:r w:rsidRPr="00E7605D">
              <w:rPr>
                <w:rFonts w:eastAsia="Times New Roman" w:cs="Times New Roman"/>
                <w:kern w:val="0"/>
                <w:lang w:val="es-ES" w:eastAsia="es-ES"/>
                <w14:ligatures w14:val="none"/>
              </w:rPr>
              <w:t>. Quiroga Díaz evalúa indicadores hematológicos, pero no presenta el mismo desenlace dicotómico ni volumen sanguíneo medio cuantificado.</w:t>
            </w:r>
          </w:p>
        </w:tc>
      </w:tr>
    </w:tbl>
    <w:p w14:paraId="33B90609" w14:textId="332687AC" w:rsidR="009B4E27" w:rsidRDefault="009B4E27" w:rsidP="009B4E27">
      <w:pPr>
        <w:tabs>
          <w:tab w:val="left" w:pos="2895"/>
        </w:tabs>
        <w:spacing w:line="276" w:lineRule="auto"/>
      </w:pPr>
      <w:r w:rsidRPr="00BC669C">
        <w:rPr>
          <w:sz w:val="18"/>
          <w:szCs w:val="18"/>
        </w:rPr>
        <w:t xml:space="preserve">Nota. La prevención de la hemorragia posparto se consideró mediante dos formas de medición: incidencia de HPP como desenlace dicotómico y volumen de pérdida sanguínea como desenlace continuo. Para realizar un </w:t>
      </w:r>
      <w:proofErr w:type="spellStart"/>
      <w:r w:rsidRPr="00BC669C">
        <w:rPr>
          <w:sz w:val="18"/>
          <w:szCs w:val="18"/>
        </w:rPr>
        <w:t>metanálisis</w:t>
      </w:r>
      <w:proofErr w:type="spellEnd"/>
      <w:r w:rsidRPr="00BC669C">
        <w:rPr>
          <w:sz w:val="18"/>
          <w:szCs w:val="18"/>
        </w:rPr>
        <w:t xml:space="preserve"> se requieren al menos dos estudios con comparación equivalente, definición compatible del desenlace y datos suficientes para calcular la medida de efecto. Conclusión: No es posible realizar un </w:t>
      </w:r>
      <w:proofErr w:type="spellStart"/>
      <w:r w:rsidRPr="00BC669C">
        <w:rPr>
          <w:sz w:val="18"/>
          <w:szCs w:val="18"/>
        </w:rPr>
        <w:t>metanálisis</w:t>
      </w:r>
      <w:proofErr w:type="spellEnd"/>
      <w:r w:rsidRPr="00BC669C">
        <w:rPr>
          <w:sz w:val="18"/>
          <w:szCs w:val="18"/>
        </w:rPr>
        <w:t xml:space="preserve"> válido con los estudios incluidos. En ninguna de las comparaciones se dispone de al menos dos investigaciones que presenten simultáneamente una intervención y un comparador equivalentes, el mismo desenlace de prevención de HPP y los datos estadísticos necesarios. Por tanto, los resultados deben sintetizarse de forma narrativa, organizados según la vía de administración y el comparador.</w:t>
      </w:r>
    </w:p>
    <w:p w14:paraId="3E0365B1" w14:textId="77777777" w:rsidR="009B4E27" w:rsidRDefault="009B4E27" w:rsidP="00676C73">
      <w:pPr>
        <w:sectPr w:rsidR="009B4E27" w:rsidSect="009B4E27">
          <w:pgSz w:w="15840" w:h="12240" w:orient="landscape"/>
          <w:pgMar w:top="1701" w:right="1418" w:bottom="1701" w:left="1418" w:header="709" w:footer="709" w:gutter="0"/>
          <w:cols w:space="708"/>
          <w:docGrid w:linePitch="360"/>
        </w:sectPr>
      </w:pPr>
    </w:p>
    <w:p w14:paraId="2814B707" w14:textId="08711713" w:rsidR="00676C73" w:rsidRDefault="00676C73" w:rsidP="007F0150">
      <w:pPr>
        <w:pStyle w:val="Ttulo3"/>
      </w:pPr>
      <w:bookmarkStart w:id="50" w:name="_Toc235815379"/>
      <w:r>
        <w:lastRenderedPageBreak/>
        <w:t>Frecuencia de HPP según vía de administración</w:t>
      </w:r>
      <w:bookmarkEnd w:id="50"/>
    </w:p>
    <w:p w14:paraId="03BFE367" w14:textId="3866B99F" w:rsidR="007F0150" w:rsidRDefault="007F0150" w:rsidP="00676C73">
      <w:r>
        <w:t>En las tablas 5 se detallan los resultados individuales reportados en los estudios sobre la frecuencia de hemorragia postparto asociados a uso profiláctico de misoprostol sublingual y oral.</w:t>
      </w:r>
    </w:p>
    <w:p w14:paraId="497477C0" w14:textId="5C6D7241" w:rsidR="00676C73" w:rsidRDefault="00676C73" w:rsidP="00676C73">
      <w:r>
        <w:t xml:space="preserve">Los estudios que evaluaron misoprostol sublingual informaron frecuencias diferentes de HPP o de eventos relacionados. Angarita Peñaranda et al. registraron sangrado igual o superior a 500 </w:t>
      </w:r>
      <w:proofErr w:type="spellStart"/>
      <w:r>
        <w:t>mL</w:t>
      </w:r>
      <w:proofErr w:type="spellEnd"/>
      <w:r>
        <w:t xml:space="preserve"> en 17 de 40 mujeres, equivalente a 42,5%. Sandoval et al. informaron pérdida sanguínea igual o superior a 1000 </w:t>
      </w:r>
      <w:proofErr w:type="spellStart"/>
      <w:r>
        <w:t>mL</w:t>
      </w:r>
      <w:proofErr w:type="spellEnd"/>
      <w:r>
        <w:t xml:space="preserve"> en 7 de 68 participantes, correspondiente a 10,3%</w:t>
      </w:r>
      <w:r w:rsidR="007F0150">
        <w:t xml:space="preserve"> (tabla 5)</w:t>
      </w:r>
      <w:r>
        <w:t>.</w:t>
      </w:r>
    </w:p>
    <w:p w14:paraId="156A8204" w14:textId="66716AE8" w:rsidR="00676C73" w:rsidRDefault="00676C73" w:rsidP="00676C73">
      <w:r>
        <w:t>Sarabia Salazar et al. no presentaron los casos de HPP según un umbral cuantificado de pérdida sanguínea. No obstante, informaron cuatro casos de hipotonía uterina: uno entre 120 mujeres que recibieron 200 microgramos, dos entre 120 tratadas con 400 microgramos y uno entre 110 que recibieron 600 microgramos. Estos eventos fueron incorporados como acontecimientos relacionados con la HPP, aunque no equivalen a casos confirmados mediante medición de la pérdida sanguínea</w:t>
      </w:r>
      <w:r w:rsidR="007F0150">
        <w:t xml:space="preserve"> (tabla 5).</w:t>
      </w:r>
    </w:p>
    <w:p w14:paraId="320A982A" w14:textId="5B04A387" w:rsidR="00676C73" w:rsidRDefault="00676C73" w:rsidP="00676C73">
      <w:r>
        <w:t xml:space="preserve">Entre los estudios de misoprostol oral, el centro argentino de </w:t>
      </w:r>
      <w:proofErr w:type="spellStart"/>
      <w:r>
        <w:t>Gülmezoglu</w:t>
      </w:r>
      <w:proofErr w:type="spellEnd"/>
      <w:r>
        <w:t xml:space="preserve"> et al. informó HPP igual o superior a 1000 </w:t>
      </w:r>
      <w:proofErr w:type="spellStart"/>
      <w:r>
        <w:t>mL</w:t>
      </w:r>
      <w:proofErr w:type="spellEnd"/>
      <w:r>
        <w:t xml:space="preserve"> en 96 de 1358 mujeres, equivalente a 7,1%. Morgan Ortiz et al. no registraron casos de pérdida sanguínea mayor de 500 </w:t>
      </w:r>
      <w:proofErr w:type="spellStart"/>
      <w:r>
        <w:t>mL</w:t>
      </w:r>
      <w:proofErr w:type="spellEnd"/>
      <w:r>
        <w:t xml:space="preserve"> entre las 200 mujeres tratadas con misoprostol oral</w:t>
      </w:r>
      <w:r w:rsidR="007F0150">
        <w:t xml:space="preserve"> (tabla 5).</w:t>
      </w:r>
    </w:p>
    <w:p w14:paraId="4A8B5698" w14:textId="682F948B" w:rsidR="00676C73" w:rsidRDefault="00676C73" w:rsidP="00676C73">
      <w:r>
        <w:t>Las frecuencias observadas no son directamente comparables debido a las diferencias en la definición del desenlace, la dosis administrada, las características de las participantes y el comparador utilizado.</w:t>
      </w:r>
    </w:p>
    <w:p w14:paraId="04628825" w14:textId="5A0DD249" w:rsidR="009B4E27" w:rsidRDefault="009B4E27" w:rsidP="00676C73"/>
    <w:p w14:paraId="5F491149" w14:textId="5B1DA915" w:rsidR="009B4E27" w:rsidRDefault="009B4E27" w:rsidP="00676C73"/>
    <w:p w14:paraId="1BEC73C1" w14:textId="2000DB4F" w:rsidR="009B4E27" w:rsidRDefault="009B4E27" w:rsidP="00676C73"/>
    <w:p w14:paraId="5BEA3BF1" w14:textId="5BD33F90" w:rsidR="009B4E27" w:rsidRDefault="009B4E27" w:rsidP="00676C73"/>
    <w:p w14:paraId="523A52A6" w14:textId="79D28D6A" w:rsidR="009B4E27" w:rsidRDefault="009B4E27" w:rsidP="00676C73"/>
    <w:p w14:paraId="4C2BFC72" w14:textId="77777777" w:rsidR="009B4E27" w:rsidRDefault="009B4E27" w:rsidP="00676C73">
      <w:pPr>
        <w:sectPr w:rsidR="009B4E27" w:rsidSect="006F5322">
          <w:pgSz w:w="12240" w:h="15840"/>
          <w:pgMar w:top="1418" w:right="1701" w:bottom="1418" w:left="1701" w:header="709" w:footer="709" w:gutter="0"/>
          <w:cols w:space="708"/>
          <w:docGrid w:linePitch="360"/>
        </w:sectPr>
      </w:pPr>
    </w:p>
    <w:p w14:paraId="5904EDA7" w14:textId="77777777" w:rsidR="009B4E27" w:rsidRDefault="009B4E27" w:rsidP="009B4E27">
      <w:pPr>
        <w:pStyle w:val="Descripcin"/>
        <w:rPr>
          <w:sz w:val="20"/>
          <w:szCs w:val="20"/>
        </w:rPr>
      </w:pPr>
      <w:bookmarkStart w:id="51" w:name="_Toc235815413"/>
      <w:r>
        <w:lastRenderedPageBreak/>
        <w:t xml:space="preserve">Tabla </w:t>
      </w:r>
      <w:r>
        <w:fldChar w:fldCharType="begin"/>
      </w:r>
      <w:r>
        <w:instrText xml:space="preserve"> SEQ Tabla \* ARABIC </w:instrText>
      </w:r>
      <w:r>
        <w:fldChar w:fldCharType="separate"/>
      </w:r>
      <w:r>
        <w:rPr>
          <w:noProof/>
        </w:rPr>
        <w:t>5</w:t>
      </w:r>
      <w:r>
        <w:fldChar w:fldCharType="end"/>
      </w:r>
      <w:r>
        <w:t xml:space="preserve">. </w:t>
      </w:r>
      <w:r w:rsidRPr="00BC7DD0">
        <w:rPr>
          <w:sz w:val="20"/>
          <w:szCs w:val="20"/>
        </w:rPr>
        <w:t>Frecuencia de hemorragia posparto reportada con misoprostol sublingual y oral</w:t>
      </w:r>
      <w:bookmarkEnd w:id="51"/>
    </w:p>
    <w:tbl>
      <w:tblPr>
        <w:tblStyle w:val="Tablaconcuadrcula"/>
        <w:tblW w:w="0" w:type="auto"/>
        <w:tblLook w:val="04A0" w:firstRow="1" w:lastRow="0" w:firstColumn="1" w:lastColumn="0" w:noHBand="0" w:noVBand="1"/>
      </w:tblPr>
      <w:tblGrid>
        <w:gridCol w:w="1904"/>
        <w:gridCol w:w="2529"/>
        <w:gridCol w:w="1145"/>
        <w:gridCol w:w="1658"/>
        <w:gridCol w:w="3248"/>
        <w:gridCol w:w="1255"/>
        <w:gridCol w:w="1255"/>
      </w:tblGrid>
      <w:tr w:rsidR="009B4E27" w:rsidRPr="00BC7DD0" w14:paraId="15E3CB72" w14:textId="77777777" w:rsidTr="00905AD4">
        <w:tc>
          <w:tcPr>
            <w:tcW w:w="0" w:type="auto"/>
            <w:shd w:val="clear" w:color="auto" w:fill="E2EFD9" w:themeFill="accent6" w:themeFillTint="33"/>
            <w:hideMark/>
          </w:tcPr>
          <w:p w14:paraId="2D1E01DD" w14:textId="77777777" w:rsidR="009B4E27" w:rsidRPr="00BC7DD0" w:rsidRDefault="009B4E27" w:rsidP="00905AD4">
            <w:pPr>
              <w:jc w:val="center"/>
              <w:rPr>
                <w:rFonts w:eastAsia="Times New Roman" w:cs="Arial"/>
                <w:b/>
                <w:bCs/>
                <w:kern w:val="0"/>
                <w:sz w:val="22"/>
                <w:szCs w:val="22"/>
                <w:lang w:val="es-ES" w:eastAsia="es-ES"/>
                <w14:ligatures w14:val="none"/>
              </w:rPr>
            </w:pPr>
            <w:r w:rsidRPr="00BC7DD0">
              <w:rPr>
                <w:rFonts w:eastAsia="Times New Roman" w:cs="Arial"/>
                <w:b/>
                <w:bCs/>
                <w:kern w:val="0"/>
                <w:sz w:val="22"/>
                <w:szCs w:val="22"/>
                <w:lang w:val="es-ES" w:eastAsia="es-ES"/>
                <w14:ligatures w14:val="none"/>
              </w:rPr>
              <w:t>Vía de administración</w:t>
            </w:r>
          </w:p>
        </w:tc>
        <w:tc>
          <w:tcPr>
            <w:tcW w:w="0" w:type="auto"/>
            <w:shd w:val="clear" w:color="auto" w:fill="E2EFD9" w:themeFill="accent6" w:themeFillTint="33"/>
            <w:hideMark/>
          </w:tcPr>
          <w:p w14:paraId="733A4383" w14:textId="77777777" w:rsidR="009B4E27" w:rsidRPr="00BC7DD0" w:rsidRDefault="009B4E27" w:rsidP="00905AD4">
            <w:pPr>
              <w:jc w:val="center"/>
              <w:rPr>
                <w:rFonts w:eastAsia="Times New Roman" w:cs="Arial"/>
                <w:b/>
                <w:bCs/>
                <w:kern w:val="0"/>
                <w:sz w:val="22"/>
                <w:szCs w:val="22"/>
                <w:lang w:val="es-ES" w:eastAsia="es-ES"/>
                <w14:ligatures w14:val="none"/>
              </w:rPr>
            </w:pPr>
            <w:r w:rsidRPr="00BC7DD0">
              <w:rPr>
                <w:rFonts w:eastAsia="Times New Roman" w:cs="Arial"/>
                <w:b/>
                <w:bCs/>
                <w:kern w:val="0"/>
                <w:sz w:val="22"/>
                <w:szCs w:val="22"/>
                <w:lang w:val="es-ES" w:eastAsia="es-ES"/>
                <w14:ligatures w14:val="none"/>
              </w:rPr>
              <w:t>Estudio</w:t>
            </w:r>
          </w:p>
        </w:tc>
        <w:tc>
          <w:tcPr>
            <w:tcW w:w="0" w:type="auto"/>
            <w:shd w:val="clear" w:color="auto" w:fill="E2EFD9" w:themeFill="accent6" w:themeFillTint="33"/>
            <w:hideMark/>
          </w:tcPr>
          <w:p w14:paraId="1D3CFCB1" w14:textId="77777777" w:rsidR="009B4E27" w:rsidRPr="00BC7DD0" w:rsidRDefault="009B4E27" w:rsidP="00905AD4">
            <w:pPr>
              <w:jc w:val="center"/>
              <w:rPr>
                <w:rFonts w:eastAsia="Times New Roman" w:cs="Arial"/>
                <w:b/>
                <w:bCs/>
                <w:kern w:val="0"/>
                <w:sz w:val="22"/>
                <w:szCs w:val="22"/>
                <w:lang w:val="es-ES" w:eastAsia="es-ES"/>
                <w14:ligatures w14:val="none"/>
              </w:rPr>
            </w:pPr>
            <w:r w:rsidRPr="00BC7DD0">
              <w:rPr>
                <w:rFonts w:eastAsia="Times New Roman" w:cs="Arial"/>
                <w:b/>
                <w:bCs/>
                <w:kern w:val="0"/>
                <w:sz w:val="22"/>
                <w:szCs w:val="22"/>
                <w:lang w:val="es-ES" w:eastAsia="es-ES"/>
                <w14:ligatures w14:val="none"/>
              </w:rPr>
              <w:t>País</w:t>
            </w:r>
          </w:p>
        </w:tc>
        <w:tc>
          <w:tcPr>
            <w:tcW w:w="0" w:type="auto"/>
            <w:shd w:val="clear" w:color="auto" w:fill="E2EFD9" w:themeFill="accent6" w:themeFillTint="33"/>
            <w:hideMark/>
          </w:tcPr>
          <w:p w14:paraId="47B6CEC5" w14:textId="77777777" w:rsidR="009B4E27" w:rsidRPr="00BC7DD0" w:rsidRDefault="009B4E27" w:rsidP="00905AD4">
            <w:pPr>
              <w:jc w:val="right"/>
              <w:rPr>
                <w:rFonts w:eastAsia="Times New Roman" w:cs="Arial"/>
                <w:b/>
                <w:bCs/>
                <w:kern w:val="0"/>
                <w:sz w:val="22"/>
                <w:szCs w:val="22"/>
                <w:lang w:val="es-ES" w:eastAsia="es-ES"/>
                <w14:ligatures w14:val="none"/>
              </w:rPr>
            </w:pPr>
            <w:r w:rsidRPr="00BC7DD0">
              <w:rPr>
                <w:rFonts w:eastAsia="Times New Roman" w:cs="Arial"/>
                <w:b/>
                <w:bCs/>
                <w:kern w:val="0"/>
                <w:sz w:val="22"/>
                <w:szCs w:val="22"/>
                <w:lang w:val="es-ES" w:eastAsia="es-ES"/>
                <w14:ligatures w14:val="none"/>
              </w:rPr>
              <w:t>Dosis de misoprostol</w:t>
            </w:r>
          </w:p>
        </w:tc>
        <w:tc>
          <w:tcPr>
            <w:tcW w:w="0" w:type="auto"/>
            <w:shd w:val="clear" w:color="auto" w:fill="E2EFD9" w:themeFill="accent6" w:themeFillTint="33"/>
            <w:hideMark/>
          </w:tcPr>
          <w:p w14:paraId="4B272572" w14:textId="77777777" w:rsidR="009B4E27" w:rsidRPr="00BC7DD0" w:rsidRDefault="009B4E27" w:rsidP="00905AD4">
            <w:pPr>
              <w:jc w:val="center"/>
              <w:rPr>
                <w:rFonts w:eastAsia="Times New Roman" w:cs="Arial"/>
                <w:b/>
                <w:bCs/>
                <w:kern w:val="0"/>
                <w:sz w:val="22"/>
                <w:szCs w:val="22"/>
                <w:lang w:val="es-ES" w:eastAsia="es-ES"/>
                <w14:ligatures w14:val="none"/>
              </w:rPr>
            </w:pPr>
            <w:r w:rsidRPr="00BC7DD0">
              <w:rPr>
                <w:rFonts w:eastAsia="Times New Roman" w:cs="Arial"/>
                <w:b/>
                <w:bCs/>
                <w:kern w:val="0"/>
                <w:sz w:val="22"/>
                <w:szCs w:val="22"/>
                <w:lang w:val="es-ES" w:eastAsia="es-ES"/>
                <w14:ligatures w14:val="none"/>
              </w:rPr>
              <w:t>Desenlace considerado</w:t>
            </w:r>
          </w:p>
        </w:tc>
        <w:tc>
          <w:tcPr>
            <w:tcW w:w="0" w:type="auto"/>
            <w:shd w:val="clear" w:color="auto" w:fill="E2EFD9" w:themeFill="accent6" w:themeFillTint="33"/>
            <w:hideMark/>
          </w:tcPr>
          <w:p w14:paraId="37D46400" w14:textId="77777777" w:rsidR="009B4E27" w:rsidRPr="00BC7DD0" w:rsidRDefault="009B4E27" w:rsidP="00905AD4">
            <w:pPr>
              <w:jc w:val="right"/>
              <w:rPr>
                <w:rFonts w:eastAsia="Times New Roman" w:cs="Arial"/>
                <w:b/>
                <w:bCs/>
                <w:kern w:val="0"/>
                <w:sz w:val="22"/>
                <w:szCs w:val="22"/>
                <w:lang w:val="es-ES" w:eastAsia="es-ES"/>
                <w14:ligatures w14:val="none"/>
              </w:rPr>
            </w:pPr>
            <w:r w:rsidRPr="00BC7DD0">
              <w:rPr>
                <w:rFonts w:eastAsia="Times New Roman" w:cs="Arial"/>
                <w:b/>
                <w:bCs/>
                <w:kern w:val="0"/>
                <w:sz w:val="22"/>
                <w:szCs w:val="22"/>
                <w:lang w:val="es-ES" w:eastAsia="es-ES"/>
                <w14:ligatures w14:val="none"/>
              </w:rPr>
              <w:t>Casos/total</w:t>
            </w:r>
          </w:p>
        </w:tc>
        <w:tc>
          <w:tcPr>
            <w:tcW w:w="0" w:type="auto"/>
            <w:shd w:val="clear" w:color="auto" w:fill="E2EFD9" w:themeFill="accent6" w:themeFillTint="33"/>
            <w:hideMark/>
          </w:tcPr>
          <w:p w14:paraId="6A0D28D1" w14:textId="77777777" w:rsidR="009B4E27" w:rsidRPr="00BC7DD0" w:rsidRDefault="009B4E27" w:rsidP="00905AD4">
            <w:pPr>
              <w:jc w:val="right"/>
              <w:rPr>
                <w:rFonts w:eastAsia="Times New Roman" w:cs="Arial"/>
                <w:b/>
                <w:bCs/>
                <w:kern w:val="0"/>
                <w:sz w:val="22"/>
                <w:szCs w:val="22"/>
                <w:lang w:val="es-ES" w:eastAsia="es-ES"/>
                <w14:ligatures w14:val="none"/>
              </w:rPr>
            </w:pPr>
            <w:r w:rsidRPr="00BC7DD0">
              <w:rPr>
                <w:rFonts w:eastAsia="Times New Roman" w:cs="Arial"/>
                <w:b/>
                <w:bCs/>
                <w:kern w:val="0"/>
                <w:sz w:val="22"/>
                <w:szCs w:val="22"/>
                <w:lang w:val="es-ES" w:eastAsia="es-ES"/>
                <w14:ligatures w14:val="none"/>
              </w:rPr>
              <w:t>Frecuencia</w:t>
            </w:r>
          </w:p>
        </w:tc>
      </w:tr>
      <w:tr w:rsidR="009B4E27" w:rsidRPr="00BC7DD0" w14:paraId="1FBBDACE" w14:textId="77777777" w:rsidTr="00905AD4">
        <w:tc>
          <w:tcPr>
            <w:tcW w:w="0" w:type="auto"/>
            <w:hideMark/>
          </w:tcPr>
          <w:p w14:paraId="5F008F02"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Sublingual</w:t>
            </w:r>
          </w:p>
        </w:tc>
        <w:tc>
          <w:tcPr>
            <w:tcW w:w="0" w:type="auto"/>
            <w:hideMark/>
          </w:tcPr>
          <w:p w14:paraId="337B1B37"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Angarita Peñaranda et al. (2003)</w:t>
            </w:r>
          </w:p>
        </w:tc>
        <w:tc>
          <w:tcPr>
            <w:tcW w:w="0" w:type="auto"/>
            <w:hideMark/>
          </w:tcPr>
          <w:p w14:paraId="14CFDE81"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Colombia</w:t>
            </w:r>
          </w:p>
        </w:tc>
        <w:tc>
          <w:tcPr>
            <w:tcW w:w="0" w:type="auto"/>
            <w:hideMark/>
          </w:tcPr>
          <w:p w14:paraId="0597C652"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100 µg</w:t>
            </w:r>
          </w:p>
        </w:tc>
        <w:tc>
          <w:tcPr>
            <w:tcW w:w="0" w:type="auto"/>
            <w:hideMark/>
          </w:tcPr>
          <w:p w14:paraId="2A9FE7E5"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 xml:space="preserve">Pérdida sanguínea ≥500 </w:t>
            </w:r>
            <w:proofErr w:type="spellStart"/>
            <w:r w:rsidRPr="00BC7DD0">
              <w:rPr>
                <w:rFonts w:eastAsia="Times New Roman" w:cs="Arial"/>
                <w:kern w:val="0"/>
                <w:sz w:val="22"/>
                <w:szCs w:val="22"/>
                <w:lang w:val="es-ES" w:eastAsia="es-ES"/>
                <w14:ligatures w14:val="none"/>
              </w:rPr>
              <w:t>mL</w:t>
            </w:r>
            <w:proofErr w:type="spellEnd"/>
          </w:p>
        </w:tc>
        <w:tc>
          <w:tcPr>
            <w:tcW w:w="0" w:type="auto"/>
            <w:hideMark/>
          </w:tcPr>
          <w:p w14:paraId="53900732"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17/40</w:t>
            </w:r>
          </w:p>
        </w:tc>
        <w:tc>
          <w:tcPr>
            <w:tcW w:w="0" w:type="auto"/>
            <w:hideMark/>
          </w:tcPr>
          <w:p w14:paraId="5770DC2F"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42</w:t>
            </w:r>
            <w:r>
              <w:rPr>
                <w:rFonts w:eastAsia="Times New Roman" w:cs="Arial"/>
                <w:b/>
                <w:bCs/>
                <w:kern w:val="0"/>
                <w:sz w:val="22"/>
                <w:szCs w:val="22"/>
                <w:lang w:val="es-ES" w:eastAsia="es-ES"/>
                <w14:ligatures w14:val="none"/>
              </w:rPr>
              <w:t>.</w:t>
            </w:r>
            <w:r w:rsidRPr="00BC7DD0">
              <w:rPr>
                <w:rFonts w:eastAsia="Times New Roman" w:cs="Arial"/>
                <w:b/>
                <w:bCs/>
                <w:kern w:val="0"/>
                <w:sz w:val="22"/>
                <w:szCs w:val="22"/>
                <w:lang w:val="es-ES" w:eastAsia="es-ES"/>
                <w14:ligatures w14:val="none"/>
              </w:rPr>
              <w:t>5%</w:t>
            </w:r>
          </w:p>
        </w:tc>
      </w:tr>
      <w:tr w:rsidR="009B4E27" w:rsidRPr="00BC7DD0" w14:paraId="62AF14E6" w14:textId="77777777" w:rsidTr="00905AD4">
        <w:tc>
          <w:tcPr>
            <w:tcW w:w="0" w:type="auto"/>
            <w:hideMark/>
          </w:tcPr>
          <w:p w14:paraId="04C5E19D"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Sublingual</w:t>
            </w:r>
          </w:p>
        </w:tc>
        <w:tc>
          <w:tcPr>
            <w:tcW w:w="0" w:type="auto"/>
            <w:hideMark/>
          </w:tcPr>
          <w:p w14:paraId="366CF02B"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Sandoval et al. (2004)</w:t>
            </w:r>
          </w:p>
        </w:tc>
        <w:tc>
          <w:tcPr>
            <w:tcW w:w="0" w:type="auto"/>
            <w:hideMark/>
          </w:tcPr>
          <w:p w14:paraId="0C467AF0"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Perú</w:t>
            </w:r>
          </w:p>
        </w:tc>
        <w:tc>
          <w:tcPr>
            <w:tcW w:w="0" w:type="auto"/>
            <w:hideMark/>
          </w:tcPr>
          <w:p w14:paraId="06E71073"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200 µg</w:t>
            </w:r>
          </w:p>
        </w:tc>
        <w:tc>
          <w:tcPr>
            <w:tcW w:w="0" w:type="auto"/>
            <w:hideMark/>
          </w:tcPr>
          <w:p w14:paraId="696EB549"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 xml:space="preserve">Pérdida sanguínea ≥1000 </w:t>
            </w:r>
            <w:proofErr w:type="spellStart"/>
            <w:r w:rsidRPr="00BC7DD0">
              <w:rPr>
                <w:rFonts w:eastAsia="Times New Roman" w:cs="Arial"/>
                <w:kern w:val="0"/>
                <w:sz w:val="22"/>
                <w:szCs w:val="22"/>
                <w:lang w:val="es-ES" w:eastAsia="es-ES"/>
                <w14:ligatures w14:val="none"/>
              </w:rPr>
              <w:t>mL</w:t>
            </w:r>
            <w:proofErr w:type="spellEnd"/>
          </w:p>
        </w:tc>
        <w:tc>
          <w:tcPr>
            <w:tcW w:w="0" w:type="auto"/>
            <w:hideMark/>
          </w:tcPr>
          <w:p w14:paraId="572DA37C"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7/68</w:t>
            </w:r>
          </w:p>
        </w:tc>
        <w:tc>
          <w:tcPr>
            <w:tcW w:w="0" w:type="auto"/>
            <w:hideMark/>
          </w:tcPr>
          <w:p w14:paraId="0CE5B074"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10</w:t>
            </w:r>
            <w:r>
              <w:rPr>
                <w:rFonts w:eastAsia="Times New Roman" w:cs="Arial"/>
                <w:b/>
                <w:bCs/>
                <w:kern w:val="0"/>
                <w:sz w:val="22"/>
                <w:szCs w:val="22"/>
                <w:lang w:val="es-ES" w:eastAsia="es-ES"/>
                <w14:ligatures w14:val="none"/>
              </w:rPr>
              <w:t>.</w:t>
            </w:r>
            <w:r w:rsidRPr="00BC7DD0">
              <w:rPr>
                <w:rFonts w:eastAsia="Times New Roman" w:cs="Arial"/>
                <w:b/>
                <w:bCs/>
                <w:kern w:val="0"/>
                <w:sz w:val="22"/>
                <w:szCs w:val="22"/>
                <w:lang w:val="es-ES" w:eastAsia="es-ES"/>
                <w14:ligatures w14:val="none"/>
              </w:rPr>
              <w:t>3%</w:t>
            </w:r>
          </w:p>
        </w:tc>
      </w:tr>
      <w:tr w:rsidR="009B4E27" w:rsidRPr="00BC7DD0" w14:paraId="7335FE87" w14:textId="77777777" w:rsidTr="00905AD4">
        <w:tc>
          <w:tcPr>
            <w:tcW w:w="0" w:type="auto"/>
            <w:hideMark/>
          </w:tcPr>
          <w:p w14:paraId="71C1B5AF"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Sublingual</w:t>
            </w:r>
          </w:p>
        </w:tc>
        <w:tc>
          <w:tcPr>
            <w:tcW w:w="0" w:type="auto"/>
            <w:hideMark/>
          </w:tcPr>
          <w:p w14:paraId="2F63FDA0"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Sarabia Salazar et al. (2015)</w:t>
            </w:r>
            <w:r>
              <w:rPr>
                <w:rFonts w:eastAsia="Times New Roman" w:cs="Arial"/>
                <w:kern w:val="0"/>
                <w:sz w:val="22"/>
                <w:szCs w:val="22"/>
                <w:lang w:val="es-ES" w:eastAsia="es-ES"/>
                <w14:ligatures w14:val="none"/>
              </w:rPr>
              <w:t>.</w:t>
            </w:r>
            <w:r w:rsidRPr="00BC7DD0">
              <w:rPr>
                <w:rFonts w:eastAsia="Times New Roman" w:cs="Arial"/>
                <w:kern w:val="0"/>
                <w:sz w:val="22"/>
                <w:szCs w:val="22"/>
                <w:lang w:val="es-ES" w:eastAsia="es-ES"/>
                <w14:ligatures w14:val="none"/>
              </w:rPr>
              <w:t xml:space="preserve"> grupo A</w:t>
            </w:r>
          </w:p>
        </w:tc>
        <w:tc>
          <w:tcPr>
            <w:tcW w:w="0" w:type="auto"/>
            <w:hideMark/>
          </w:tcPr>
          <w:p w14:paraId="2A05B121"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Venezuela</w:t>
            </w:r>
          </w:p>
        </w:tc>
        <w:tc>
          <w:tcPr>
            <w:tcW w:w="0" w:type="auto"/>
            <w:hideMark/>
          </w:tcPr>
          <w:p w14:paraId="3768F5D6"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200 µg</w:t>
            </w:r>
          </w:p>
        </w:tc>
        <w:tc>
          <w:tcPr>
            <w:tcW w:w="0" w:type="auto"/>
            <w:hideMark/>
          </w:tcPr>
          <w:p w14:paraId="50ABEB15"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Hipotonía uterina considerada como evento relacionado con HPP</w:t>
            </w:r>
          </w:p>
        </w:tc>
        <w:tc>
          <w:tcPr>
            <w:tcW w:w="0" w:type="auto"/>
            <w:hideMark/>
          </w:tcPr>
          <w:p w14:paraId="6E666462"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1/120</w:t>
            </w:r>
          </w:p>
        </w:tc>
        <w:tc>
          <w:tcPr>
            <w:tcW w:w="0" w:type="auto"/>
            <w:hideMark/>
          </w:tcPr>
          <w:p w14:paraId="6926090C"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0</w:t>
            </w:r>
            <w:r>
              <w:rPr>
                <w:rFonts w:eastAsia="Times New Roman" w:cs="Arial"/>
                <w:b/>
                <w:bCs/>
                <w:kern w:val="0"/>
                <w:sz w:val="22"/>
                <w:szCs w:val="22"/>
                <w:lang w:val="es-ES" w:eastAsia="es-ES"/>
                <w14:ligatures w14:val="none"/>
              </w:rPr>
              <w:t>.</w:t>
            </w:r>
            <w:r w:rsidRPr="00BC7DD0">
              <w:rPr>
                <w:rFonts w:eastAsia="Times New Roman" w:cs="Arial"/>
                <w:b/>
                <w:bCs/>
                <w:kern w:val="0"/>
                <w:sz w:val="22"/>
                <w:szCs w:val="22"/>
                <w:lang w:val="es-ES" w:eastAsia="es-ES"/>
                <w14:ligatures w14:val="none"/>
              </w:rPr>
              <w:t>8%</w:t>
            </w:r>
          </w:p>
        </w:tc>
      </w:tr>
      <w:tr w:rsidR="009B4E27" w:rsidRPr="00BC7DD0" w14:paraId="2927923F" w14:textId="77777777" w:rsidTr="00905AD4">
        <w:tc>
          <w:tcPr>
            <w:tcW w:w="0" w:type="auto"/>
            <w:hideMark/>
          </w:tcPr>
          <w:p w14:paraId="797273D4"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Sublingual</w:t>
            </w:r>
          </w:p>
        </w:tc>
        <w:tc>
          <w:tcPr>
            <w:tcW w:w="0" w:type="auto"/>
            <w:hideMark/>
          </w:tcPr>
          <w:p w14:paraId="36D296B5"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Sarabia Salazar et al. (2015)</w:t>
            </w:r>
            <w:r>
              <w:rPr>
                <w:rFonts w:eastAsia="Times New Roman" w:cs="Arial"/>
                <w:kern w:val="0"/>
                <w:sz w:val="22"/>
                <w:szCs w:val="22"/>
                <w:lang w:val="es-ES" w:eastAsia="es-ES"/>
                <w14:ligatures w14:val="none"/>
              </w:rPr>
              <w:t>.</w:t>
            </w:r>
            <w:r w:rsidRPr="00BC7DD0">
              <w:rPr>
                <w:rFonts w:eastAsia="Times New Roman" w:cs="Arial"/>
                <w:kern w:val="0"/>
                <w:sz w:val="22"/>
                <w:szCs w:val="22"/>
                <w:lang w:val="es-ES" w:eastAsia="es-ES"/>
                <w14:ligatures w14:val="none"/>
              </w:rPr>
              <w:t xml:space="preserve"> grupo B</w:t>
            </w:r>
          </w:p>
        </w:tc>
        <w:tc>
          <w:tcPr>
            <w:tcW w:w="0" w:type="auto"/>
            <w:hideMark/>
          </w:tcPr>
          <w:p w14:paraId="47EC7FFC"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Venezuela</w:t>
            </w:r>
          </w:p>
        </w:tc>
        <w:tc>
          <w:tcPr>
            <w:tcW w:w="0" w:type="auto"/>
            <w:hideMark/>
          </w:tcPr>
          <w:p w14:paraId="56F6C568"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400 µg</w:t>
            </w:r>
          </w:p>
        </w:tc>
        <w:tc>
          <w:tcPr>
            <w:tcW w:w="0" w:type="auto"/>
            <w:hideMark/>
          </w:tcPr>
          <w:p w14:paraId="53FFFEF9"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Hipotonía uterina considerada como evento relacionado con HPP</w:t>
            </w:r>
          </w:p>
        </w:tc>
        <w:tc>
          <w:tcPr>
            <w:tcW w:w="0" w:type="auto"/>
            <w:hideMark/>
          </w:tcPr>
          <w:p w14:paraId="1EE56848"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2/120</w:t>
            </w:r>
          </w:p>
        </w:tc>
        <w:tc>
          <w:tcPr>
            <w:tcW w:w="0" w:type="auto"/>
            <w:hideMark/>
          </w:tcPr>
          <w:p w14:paraId="61DE531E"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1</w:t>
            </w:r>
            <w:r>
              <w:rPr>
                <w:rFonts w:eastAsia="Times New Roman" w:cs="Arial"/>
                <w:b/>
                <w:bCs/>
                <w:kern w:val="0"/>
                <w:sz w:val="22"/>
                <w:szCs w:val="22"/>
                <w:lang w:val="es-ES" w:eastAsia="es-ES"/>
                <w14:ligatures w14:val="none"/>
              </w:rPr>
              <w:t>.</w:t>
            </w:r>
            <w:r w:rsidRPr="00BC7DD0">
              <w:rPr>
                <w:rFonts w:eastAsia="Times New Roman" w:cs="Arial"/>
                <w:b/>
                <w:bCs/>
                <w:kern w:val="0"/>
                <w:sz w:val="22"/>
                <w:szCs w:val="22"/>
                <w:lang w:val="es-ES" w:eastAsia="es-ES"/>
                <w14:ligatures w14:val="none"/>
              </w:rPr>
              <w:t>7%</w:t>
            </w:r>
          </w:p>
        </w:tc>
      </w:tr>
      <w:tr w:rsidR="009B4E27" w:rsidRPr="00BC7DD0" w14:paraId="71004A5A" w14:textId="77777777" w:rsidTr="00905AD4">
        <w:tc>
          <w:tcPr>
            <w:tcW w:w="0" w:type="auto"/>
            <w:hideMark/>
          </w:tcPr>
          <w:p w14:paraId="6E224763"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Sublingual</w:t>
            </w:r>
          </w:p>
        </w:tc>
        <w:tc>
          <w:tcPr>
            <w:tcW w:w="0" w:type="auto"/>
            <w:hideMark/>
          </w:tcPr>
          <w:p w14:paraId="34198C43"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Sarabia Salazar et al. (2015)</w:t>
            </w:r>
            <w:r>
              <w:rPr>
                <w:rFonts w:eastAsia="Times New Roman" w:cs="Arial"/>
                <w:kern w:val="0"/>
                <w:sz w:val="22"/>
                <w:szCs w:val="22"/>
                <w:lang w:val="es-ES" w:eastAsia="es-ES"/>
                <w14:ligatures w14:val="none"/>
              </w:rPr>
              <w:t>.</w:t>
            </w:r>
            <w:r w:rsidRPr="00BC7DD0">
              <w:rPr>
                <w:rFonts w:eastAsia="Times New Roman" w:cs="Arial"/>
                <w:kern w:val="0"/>
                <w:sz w:val="22"/>
                <w:szCs w:val="22"/>
                <w:lang w:val="es-ES" w:eastAsia="es-ES"/>
                <w14:ligatures w14:val="none"/>
              </w:rPr>
              <w:t xml:space="preserve"> grupo C</w:t>
            </w:r>
          </w:p>
        </w:tc>
        <w:tc>
          <w:tcPr>
            <w:tcW w:w="0" w:type="auto"/>
            <w:hideMark/>
          </w:tcPr>
          <w:p w14:paraId="5326C460"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Venezuela</w:t>
            </w:r>
          </w:p>
        </w:tc>
        <w:tc>
          <w:tcPr>
            <w:tcW w:w="0" w:type="auto"/>
            <w:hideMark/>
          </w:tcPr>
          <w:p w14:paraId="11486F25"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600 µg</w:t>
            </w:r>
          </w:p>
        </w:tc>
        <w:tc>
          <w:tcPr>
            <w:tcW w:w="0" w:type="auto"/>
            <w:hideMark/>
          </w:tcPr>
          <w:p w14:paraId="22DC90DF"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Hipotonía uterina considerada como evento relacionado con HPP</w:t>
            </w:r>
          </w:p>
        </w:tc>
        <w:tc>
          <w:tcPr>
            <w:tcW w:w="0" w:type="auto"/>
            <w:hideMark/>
          </w:tcPr>
          <w:p w14:paraId="02AE77DC"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1/110</w:t>
            </w:r>
          </w:p>
        </w:tc>
        <w:tc>
          <w:tcPr>
            <w:tcW w:w="0" w:type="auto"/>
            <w:hideMark/>
          </w:tcPr>
          <w:p w14:paraId="7A38D2EA"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0</w:t>
            </w:r>
            <w:r>
              <w:rPr>
                <w:rFonts w:eastAsia="Times New Roman" w:cs="Arial"/>
                <w:b/>
                <w:bCs/>
                <w:kern w:val="0"/>
                <w:sz w:val="22"/>
                <w:szCs w:val="22"/>
                <w:lang w:val="es-ES" w:eastAsia="es-ES"/>
                <w14:ligatures w14:val="none"/>
              </w:rPr>
              <w:t>.</w:t>
            </w:r>
            <w:r w:rsidRPr="00BC7DD0">
              <w:rPr>
                <w:rFonts w:eastAsia="Times New Roman" w:cs="Arial"/>
                <w:b/>
                <w:bCs/>
                <w:kern w:val="0"/>
                <w:sz w:val="22"/>
                <w:szCs w:val="22"/>
                <w:lang w:val="es-ES" w:eastAsia="es-ES"/>
                <w14:ligatures w14:val="none"/>
              </w:rPr>
              <w:t>9%</w:t>
            </w:r>
          </w:p>
        </w:tc>
      </w:tr>
      <w:tr w:rsidR="009B4E27" w:rsidRPr="00BC7DD0" w14:paraId="6C4A8557" w14:textId="77777777" w:rsidTr="00905AD4">
        <w:tc>
          <w:tcPr>
            <w:tcW w:w="0" w:type="auto"/>
            <w:hideMark/>
          </w:tcPr>
          <w:p w14:paraId="33314C77"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Oral</w:t>
            </w:r>
          </w:p>
        </w:tc>
        <w:tc>
          <w:tcPr>
            <w:tcW w:w="0" w:type="auto"/>
            <w:hideMark/>
          </w:tcPr>
          <w:p w14:paraId="054F4F1F" w14:textId="77777777" w:rsidR="009B4E27" w:rsidRPr="00BC7DD0" w:rsidRDefault="009B4E27" w:rsidP="00905AD4">
            <w:pPr>
              <w:jc w:val="left"/>
              <w:rPr>
                <w:rFonts w:eastAsia="Times New Roman" w:cs="Arial"/>
                <w:kern w:val="0"/>
                <w:sz w:val="22"/>
                <w:szCs w:val="22"/>
                <w:lang w:val="es-ES" w:eastAsia="es-ES"/>
                <w14:ligatures w14:val="none"/>
              </w:rPr>
            </w:pPr>
            <w:proofErr w:type="spellStart"/>
            <w:r w:rsidRPr="00BC7DD0">
              <w:rPr>
                <w:rFonts w:eastAsia="Times New Roman" w:cs="Arial"/>
                <w:kern w:val="0"/>
                <w:sz w:val="22"/>
                <w:szCs w:val="22"/>
                <w:lang w:val="es-ES" w:eastAsia="es-ES"/>
                <w14:ligatures w14:val="none"/>
              </w:rPr>
              <w:t>Gülmezoglu</w:t>
            </w:r>
            <w:proofErr w:type="spellEnd"/>
            <w:r w:rsidRPr="00BC7DD0">
              <w:rPr>
                <w:rFonts w:eastAsia="Times New Roman" w:cs="Arial"/>
                <w:kern w:val="0"/>
                <w:sz w:val="22"/>
                <w:szCs w:val="22"/>
                <w:lang w:val="es-ES" w:eastAsia="es-ES"/>
                <w14:ligatures w14:val="none"/>
              </w:rPr>
              <w:t xml:space="preserve"> et al. (2001)</w:t>
            </w:r>
            <w:r>
              <w:rPr>
                <w:rFonts w:eastAsia="Times New Roman" w:cs="Arial"/>
                <w:kern w:val="0"/>
                <w:sz w:val="22"/>
                <w:szCs w:val="22"/>
                <w:lang w:val="es-ES" w:eastAsia="es-ES"/>
                <w14:ligatures w14:val="none"/>
              </w:rPr>
              <w:t>.</w:t>
            </w:r>
            <w:r w:rsidRPr="00BC7DD0">
              <w:rPr>
                <w:rFonts w:eastAsia="Times New Roman" w:cs="Arial"/>
                <w:kern w:val="0"/>
                <w:sz w:val="22"/>
                <w:szCs w:val="22"/>
                <w:lang w:val="es-ES" w:eastAsia="es-ES"/>
                <w14:ligatures w14:val="none"/>
              </w:rPr>
              <w:t xml:space="preserve"> centro de Argentina</w:t>
            </w:r>
          </w:p>
        </w:tc>
        <w:tc>
          <w:tcPr>
            <w:tcW w:w="0" w:type="auto"/>
            <w:hideMark/>
          </w:tcPr>
          <w:p w14:paraId="4E9AFC3A"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Argentina</w:t>
            </w:r>
          </w:p>
        </w:tc>
        <w:tc>
          <w:tcPr>
            <w:tcW w:w="0" w:type="auto"/>
            <w:hideMark/>
          </w:tcPr>
          <w:p w14:paraId="2ACB1E1B"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600 µg</w:t>
            </w:r>
          </w:p>
        </w:tc>
        <w:tc>
          <w:tcPr>
            <w:tcW w:w="0" w:type="auto"/>
            <w:hideMark/>
          </w:tcPr>
          <w:p w14:paraId="4D4EADE7"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 xml:space="preserve">Pérdida sanguínea ≥1000 </w:t>
            </w:r>
            <w:proofErr w:type="spellStart"/>
            <w:r w:rsidRPr="00BC7DD0">
              <w:rPr>
                <w:rFonts w:eastAsia="Times New Roman" w:cs="Arial"/>
                <w:kern w:val="0"/>
                <w:sz w:val="22"/>
                <w:szCs w:val="22"/>
                <w:lang w:val="es-ES" w:eastAsia="es-ES"/>
                <w14:ligatures w14:val="none"/>
              </w:rPr>
              <w:t>mL</w:t>
            </w:r>
            <w:proofErr w:type="spellEnd"/>
          </w:p>
        </w:tc>
        <w:tc>
          <w:tcPr>
            <w:tcW w:w="0" w:type="auto"/>
            <w:hideMark/>
          </w:tcPr>
          <w:p w14:paraId="5E724451"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96/1358</w:t>
            </w:r>
          </w:p>
        </w:tc>
        <w:tc>
          <w:tcPr>
            <w:tcW w:w="0" w:type="auto"/>
            <w:hideMark/>
          </w:tcPr>
          <w:p w14:paraId="60B3C99D"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7</w:t>
            </w:r>
            <w:r>
              <w:rPr>
                <w:rFonts w:eastAsia="Times New Roman" w:cs="Arial"/>
                <w:b/>
                <w:bCs/>
                <w:kern w:val="0"/>
                <w:sz w:val="22"/>
                <w:szCs w:val="22"/>
                <w:lang w:val="es-ES" w:eastAsia="es-ES"/>
                <w14:ligatures w14:val="none"/>
              </w:rPr>
              <w:t>.</w:t>
            </w:r>
            <w:r w:rsidRPr="00BC7DD0">
              <w:rPr>
                <w:rFonts w:eastAsia="Times New Roman" w:cs="Arial"/>
                <w:b/>
                <w:bCs/>
                <w:kern w:val="0"/>
                <w:sz w:val="22"/>
                <w:szCs w:val="22"/>
                <w:lang w:val="es-ES" w:eastAsia="es-ES"/>
                <w14:ligatures w14:val="none"/>
              </w:rPr>
              <w:t>1%</w:t>
            </w:r>
          </w:p>
        </w:tc>
      </w:tr>
      <w:tr w:rsidR="009B4E27" w:rsidRPr="00BC7DD0" w14:paraId="3B1E9FFB" w14:textId="77777777" w:rsidTr="00905AD4">
        <w:tc>
          <w:tcPr>
            <w:tcW w:w="0" w:type="auto"/>
            <w:hideMark/>
          </w:tcPr>
          <w:p w14:paraId="01EA5DBC"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Oral</w:t>
            </w:r>
          </w:p>
        </w:tc>
        <w:tc>
          <w:tcPr>
            <w:tcW w:w="0" w:type="auto"/>
            <w:hideMark/>
          </w:tcPr>
          <w:p w14:paraId="171AA3FB"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Morgan Ortiz et al. (2004)</w:t>
            </w:r>
          </w:p>
        </w:tc>
        <w:tc>
          <w:tcPr>
            <w:tcW w:w="0" w:type="auto"/>
            <w:hideMark/>
          </w:tcPr>
          <w:p w14:paraId="74118DE1"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México</w:t>
            </w:r>
          </w:p>
        </w:tc>
        <w:tc>
          <w:tcPr>
            <w:tcW w:w="0" w:type="auto"/>
            <w:hideMark/>
          </w:tcPr>
          <w:p w14:paraId="607CDC55"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400 µg</w:t>
            </w:r>
          </w:p>
        </w:tc>
        <w:tc>
          <w:tcPr>
            <w:tcW w:w="0" w:type="auto"/>
            <w:hideMark/>
          </w:tcPr>
          <w:p w14:paraId="311DA2CA" w14:textId="77777777" w:rsidR="009B4E27" w:rsidRPr="00BC7DD0" w:rsidRDefault="009B4E27" w:rsidP="00905AD4">
            <w:pPr>
              <w:jc w:val="lef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 xml:space="preserve">Pérdida sanguínea &gt;500 </w:t>
            </w:r>
            <w:proofErr w:type="spellStart"/>
            <w:r w:rsidRPr="00BC7DD0">
              <w:rPr>
                <w:rFonts w:eastAsia="Times New Roman" w:cs="Arial"/>
                <w:kern w:val="0"/>
                <w:sz w:val="22"/>
                <w:szCs w:val="22"/>
                <w:lang w:val="es-ES" w:eastAsia="es-ES"/>
                <w14:ligatures w14:val="none"/>
              </w:rPr>
              <w:t>mL</w:t>
            </w:r>
            <w:proofErr w:type="spellEnd"/>
          </w:p>
        </w:tc>
        <w:tc>
          <w:tcPr>
            <w:tcW w:w="0" w:type="auto"/>
            <w:hideMark/>
          </w:tcPr>
          <w:p w14:paraId="58FAE72A"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kern w:val="0"/>
                <w:sz w:val="22"/>
                <w:szCs w:val="22"/>
                <w:lang w:val="es-ES" w:eastAsia="es-ES"/>
                <w14:ligatures w14:val="none"/>
              </w:rPr>
              <w:t>0/200</w:t>
            </w:r>
          </w:p>
        </w:tc>
        <w:tc>
          <w:tcPr>
            <w:tcW w:w="0" w:type="auto"/>
            <w:hideMark/>
          </w:tcPr>
          <w:p w14:paraId="2C83108C" w14:textId="77777777" w:rsidR="009B4E27" w:rsidRPr="00BC7DD0" w:rsidRDefault="009B4E27" w:rsidP="00905AD4">
            <w:pPr>
              <w:jc w:val="right"/>
              <w:rPr>
                <w:rFonts w:eastAsia="Times New Roman" w:cs="Arial"/>
                <w:kern w:val="0"/>
                <w:sz w:val="22"/>
                <w:szCs w:val="22"/>
                <w:lang w:val="es-ES" w:eastAsia="es-ES"/>
                <w14:ligatures w14:val="none"/>
              </w:rPr>
            </w:pPr>
            <w:r w:rsidRPr="00BC7DD0">
              <w:rPr>
                <w:rFonts w:eastAsia="Times New Roman" w:cs="Arial"/>
                <w:b/>
                <w:bCs/>
                <w:kern w:val="0"/>
                <w:sz w:val="22"/>
                <w:szCs w:val="22"/>
                <w:lang w:val="es-ES" w:eastAsia="es-ES"/>
                <w14:ligatures w14:val="none"/>
              </w:rPr>
              <w:t>0</w:t>
            </w:r>
            <w:r>
              <w:rPr>
                <w:rFonts w:eastAsia="Times New Roman" w:cs="Arial"/>
                <w:b/>
                <w:bCs/>
                <w:kern w:val="0"/>
                <w:sz w:val="22"/>
                <w:szCs w:val="22"/>
                <w:lang w:val="es-ES" w:eastAsia="es-ES"/>
                <w14:ligatures w14:val="none"/>
              </w:rPr>
              <w:t>.</w:t>
            </w:r>
            <w:r w:rsidRPr="00BC7DD0">
              <w:rPr>
                <w:rFonts w:eastAsia="Times New Roman" w:cs="Arial"/>
                <w:b/>
                <w:bCs/>
                <w:kern w:val="0"/>
                <w:sz w:val="22"/>
                <w:szCs w:val="22"/>
                <w:lang w:val="es-ES" w:eastAsia="es-ES"/>
                <w14:ligatures w14:val="none"/>
              </w:rPr>
              <w:t>0%</w:t>
            </w:r>
          </w:p>
        </w:tc>
      </w:tr>
    </w:tbl>
    <w:p w14:paraId="5F9EB69A" w14:textId="5FB8B620" w:rsidR="009B4E27" w:rsidRDefault="009B4E27" w:rsidP="009B4E27">
      <w:pPr>
        <w:spacing w:line="276" w:lineRule="auto"/>
      </w:pPr>
      <w:r w:rsidRPr="00BC669C">
        <w:rPr>
          <w:sz w:val="18"/>
          <w:szCs w:val="18"/>
        </w:rPr>
        <w:t xml:space="preserve">Nota. En Angarita Peñaranda, Sandoval, </w:t>
      </w:r>
      <w:proofErr w:type="spellStart"/>
      <w:r w:rsidRPr="00BC669C">
        <w:rPr>
          <w:sz w:val="18"/>
          <w:szCs w:val="18"/>
        </w:rPr>
        <w:t>Gülmezoglu</w:t>
      </w:r>
      <w:proofErr w:type="spellEnd"/>
      <w:r w:rsidRPr="00BC669C">
        <w:rPr>
          <w:sz w:val="18"/>
          <w:szCs w:val="18"/>
        </w:rPr>
        <w:t xml:space="preserve"> y Morgan Ortiz, la frecuencia corresponde a casos de hemorragia posparto definidos mediante un umbral de pérdida sanguínea. En Sarabia Salazar et al., los autores no presentaron el número de casos de HPP según pérdida sanguínea superior a 500 </w:t>
      </w:r>
      <w:proofErr w:type="spellStart"/>
      <w:r w:rsidRPr="00BC669C">
        <w:rPr>
          <w:sz w:val="18"/>
          <w:szCs w:val="18"/>
        </w:rPr>
        <w:t>mL</w:t>
      </w:r>
      <w:proofErr w:type="spellEnd"/>
      <w:r w:rsidRPr="00BC669C">
        <w:rPr>
          <w:sz w:val="18"/>
          <w:szCs w:val="18"/>
        </w:rPr>
        <w:t xml:space="preserve">, pero informaron cuatro casos de hipotonía uterina distribuidos entre los grupos: uno con 200 µg, dos con 400 µg y uno con 600 µg. Debido a que la hipotonía uterina constituye una alteración del tono uterino relacionada directamente con la aparición de HPP, estos casos se incluyeron en la tabla como eventos relacionados con HPP, sin considerarlos equivalentes a casos confirmados mediante cuantificación de pérdida sanguínea. El estudio no registró casos de atonía uterina. Las frecuencias deben interpretarse según la definición utilizada en cada estudio, ya que los umbrales de ≥500 </w:t>
      </w:r>
      <w:proofErr w:type="spellStart"/>
      <w:r w:rsidRPr="00BC669C">
        <w:rPr>
          <w:sz w:val="18"/>
          <w:szCs w:val="18"/>
        </w:rPr>
        <w:t>mL</w:t>
      </w:r>
      <w:proofErr w:type="spellEnd"/>
      <w:r w:rsidRPr="00BC669C">
        <w:rPr>
          <w:sz w:val="18"/>
          <w:szCs w:val="18"/>
        </w:rPr>
        <w:t xml:space="preserve"> y ≥1000 </w:t>
      </w:r>
      <w:proofErr w:type="spellStart"/>
      <w:r w:rsidRPr="00BC669C">
        <w:rPr>
          <w:sz w:val="18"/>
          <w:szCs w:val="18"/>
        </w:rPr>
        <w:t>mL</w:t>
      </w:r>
      <w:proofErr w:type="spellEnd"/>
      <w:r w:rsidRPr="00BC669C">
        <w:rPr>
          <w:sz w:val="18"/>
          <w:szCs w:val="18"/>
        </w:rPr>
        <w:t xml:space="preserve"> representan desenlaces clínicamente diferentes</w:t>
      </w:r>
      <w:r>
        <w:rPr>
          <w:sz w:val="18"/>
          <w:szCs w:val="18"/>
        </w:rPr>
        <w:t>.</w:t>
      </w:r>
    </w:p>
    <w:p w14:paraId="314A66B1" w14:textId="77777777" w:rsidR="009B4E27" w:rsidRDefault="009B4E27" w:rsidP="00676C73">
      <w:pPr>
        <w:sectPr w:rsidR="009B4E27" w:rsidSect="009B4E27">
          <w:pgSz w:w="15840" w:h="12240" w:orient="landscape"/>
          <w:pgMar w:top="1701" w:right="1418" w:bottom="1701" w:left="1418" w:header="709" w:footer="709" w:gutter="0"/>
          <w:cols w:space="708"/>
          <w:docGrid w:linePitch="360"/>
        </w:sectPr>
      </w:pPr>
    </w:p>
    <w:p w14:paraId="72C63903" w14:textId="57EBE825" w:rsidR="00676C73" w:rsidRDefault="00676C73" w:rsidP="007F0150">
      <w:pPr>
        <w:pStyle w:val="Ttulo3"/>
      </w:pPr>
      <w:bookmarkStart w:id="52" w:name="_Toc235815380"/>
      <w:proofErr w:type="spellStart"/>
      <w:r>
        <w:lastRenderedPageBreak/>
        <w:t>Metanálisis</w:t>
      </w:r>
      <w:proofErr w:type="spellEnd"/>
      <w:r>
        <w:t xml:space="preserve"> de proporciones con misoprostol sublingual</w:t>
      </w:r>
      <w:bookmarkEnd w:id="52"/>
    </w:p>
    <w:p w14:paraId="66B6E5C1" w14:textId="039A9D1E" w:rsidR="00676C73" w:rsidRDefault="00676C73" w:rsidP="00676C73">
      <w:r>
        <w:t xml:space="preserve">El </w:t>
      </w:r>
      <w:proofErr w:type="spellStart"/>
      <w:r>
        <w:t>metanálisis</w:t>
      </w:r>
      <w:proofErr w:type="spellEnd"/>
      <w:r>
        <w:t xml:space="preserve"> de misoprostol sublingual incluyó cinco estimaciones correspondientes a 458 mujeres y 28 eventos. Las proporciones individuales variaron ampliamente, desde 0,8% en el grupo de 200 microgramos de Sarabia Salazar et al. hasta 42,5% en Angarita Peñaranda et al.</w:t>
      </w:r>
      <w:r w:rsidR="007F0150">
        <w:t xml:space="preserve"> (tabla 6).</w:t>
      </w:r>
    </w:p>
    <w:p w14:paraId="75BA4D20" w14:textId="07B644C7" w:rsidR="00676C73" w:rsidRDefault="00676C73" w:rsidP="00676C73">
      <w:r>
        <w:t>El modelo de efectos fijos estimó una proporción combinada de 15,5%, con un intervalo de confianza de 95% entre 10,6% y 22,1%. Sin embargo, se observó heterogeneidad estadísticamente significativa, con Q = 49,84, p menor de 0,001 e I2 = 92,0%. Debido a esta elevada variabilidad, se consideró principal el modelo de efectos aleatorios, que estimó una proporción combinada de 4,5%, con IC95% entre 0,8% y 21,7%</w:t>
      </w:r>
      <w:r w:rsidR="007F0150">
        <w:t xml:space="preserve"> (tabla 6).</w:t>
      </w:r>
    </w:p>
    <w:p w14:paraId="7E2A75B2" w14:textId="4458DAB8" w:rsidR="00676C73" w:rsidRDefault="00676C73" w:rsidP="00676C73">
      <w:r>
        <w:t>La amplitud del intervalo de confianza refleja la incertidumbre de la estimación. Esta heterogeneidad se relaciona con el uso de diferentes dosis, comparadores y definiciones del desenlace, así como con la inclusión de los casos de hipotonía uterina de Sarabia Salazar et al. como acontecimientos relacionados con la HPP</w:t>
      </w:r>
      <w:r w:rsidR="007F0150">
        <w:t xml:space="preserve"> (tabla 6).</w:t>
      </w:r>
    </w:p>
    <w:p w14:paraId="642E533E" w14:textId="1CFDB970" w:rsidR="007F0150" w:rsidRDefault="007F0150" w:rsidP="007F0150">
      <w:r>
        <w:t>El diagrama de bosque muestra una variabilidad considerable entre las proporciones de eventos informadas por los estudios de misoprostol sublingual. Angarita Peñaranda et al. presentaron la mayor proporción, mientras que los tres grupos de Sarabia Salazar et al. se concentraron cerca de cero. Sandoval et al. ocupó una posición intermedia (figura 3).</w:t>
      </w:r>
    </w:p>
    <w:p w14:paraId="0485BC10" w14:textId="0F5F226C" w:rsidR="007F0150" w:rsidRDefault="007F0150" w:rsidP="007F0150">
      <w:r>
        <w:t>El diamante correspondiente al modelo de efectos aleatorios se situó en 4,5%, con IC95% entre 0,8% y 21,7%. La amplitud del diamante confirma la imprecisión de la estimación combinada y la influencia de la heterogeneidad clínica y metodológica entre las investigaciones(figura 3).</w:t>
      </w:r>
    </w:p>
    <w:p w14:paraId="4FB8524A" w14:textId="6D39BE8A" w:rsidR="00BF2985" w:rsidRDefault="00BF2985" w:rsidP="007F0150"/>
    <w:p w14:paraId="5B4FB648" w14:textId="52878071" w:rsidR="00BF2985" w:rsidRDefault="00BF2985" w:rsidP="007F0150"/>
    <w:p w14:paraId="335752B5" w14:textId="7BCCD29D" w:rsidR="00BF2985" w:rsidRDefault="00BF2985" w:rsidP="007F0150"/>
    <w:p w14:paraId="7BB8C22C" w14:textId="3B2CB4C3" w:rsidR="00BF2985" w:rsidRDefault="00BF2985" w:rsidP="007F0150"/>
    <w:p w14:paraId="3D1F7D7F" w14:textId="420CFF73" w:rsidR="00BF2985" w:rsidRDefault="00BF2985" w:rsidP="007F0150"/>
    <w:p w14:paraId="250409BF" w14:textId="77777777" w:rsidR="00BF2985" w:rsidRDefault="00BF2985" w:rsidP="007F0150">
      <w:pPr>
        <w:sectPr w:rsidR="00BF2985" w:rsidSect="006F5322">
          <w:pgSz w:w="12240" w:h="15840"/>
          <w:pgMar w:top="1418" w:right="1701" w:bottom="1418" w:left="1701" w:header="709" w:footer="709" w:gutter="0"/>
          <w:cols w:space="708"/>
          <w:docGrid w:linePitch="360"/>
        </w:sectPr>
      </w:pPr>
    </w:p>
    <w:p w14:paraId="4B365B0F" w14:textId="77777777" w:rsidR="00BF2985" w:rsidRDefault="00BF2985" w:rsidP="00BF2985">
      <w:pPr>
        <w:pStyle w:val="Descripcin"/>
      </w:pPr>
      <w:bookmarkStart w:id="53" w:name="_Toc235815414"/>
      <w:r>
        <w:lastRenderedPageBreak/>
        <w:t xml:space="preserve">Tabla </w:t>
      </w:r>
      <w:r>
        <w:fldChar w:fldCharType="begin"/>
      </w:r>
      <w:r>
        <w:instrText xml:space="preserve"> SEQ Tabla \* ARABIC </w:instrText>
      </w:r>
      <w:r>
        <w:fldChar w:fldCharType="separate"/>
      </w:r>
      <w:r>
        <w:rPr>
          <w:noProof/>
        </w:rPr>
        <w:t>6</w:t>
      </w:r>
      <w:r>
        <w:fldChar w:fldCharType="end"/>
      </w:r>
      <w:r>
        <w:t xml:space="preserve">. </w:t>
      </w:r>
      <w:proofErr w:type="spellStart"/>
      <w:r>
        <w:t>Metanálisis</w:t>
      </w:r>
      <w:proofErr w:type="spellEnd"/>
      <w:r>
        <w:t xml:space="preserve"> de la proporción de hemorragia posparto con misoprostol sublingual</w:t>
      </w:r>
      <w:bookmarkEnd w:id="53"/>
    </w:p>
    <w:tbl>
      <w:tblPr>
        <w:tblStyle w:val="Tablaconcuadrcula"/>
        <w:tblW w:w="5000" w:type="pct"/>
        <w:tblLook w:val="04A0" w:firstRow="1" w:lastRow="0" w:firstColumn="1" w:lastColumn="0" w:noHBand="0" w:noVBand="1"/>
      </w:tblPr>
      <w:tblGrid>
        <w:gridCol w:w="4225"/>
        <w:gridCol w:w="1350"/>
        <w:gridCol w:w="1376"/>
        <w:gridCol w:w="1185"/>
        <w:gridCol w:w="832"/>
        <w:gridCol w:w="892"/>
        <w:gridCol w:w="1510"/>
        <w:gridCol w:w="1624"/>
      </w:tblGrid>
      <w:tr w:rsidR="00BF2985" w:rsidRPr="0074282B" w14:paraId="560506C3" w14:textId="77777777" w:rsidTr="00905AD4">
        <w:tc>
          <w:tcPr>
            <w:tcW w:w="1626" w:type="pct"/>
            <w:shd w:val="clear" w:color="auto" w:fill="E7E6E6" w:themeFill="background2"/>
            <w:hideMark/>
          </w:tcPr>
          <w:p w14:paraId="7F502D9B" w14:textId="77777777" w:rsidR="00BF2985" w:rsidRPr="00801DAF" w:rsidRDefault="00BF2985" w:rsidP="00905AD4">
            <w:pPr>
              <w:jc w:val="center"/>
              <w:rPr>
                <w:rFonts w:eastAsia="Times New Roman" w:cs="Times New Roman"/>
                <w:b/>
                <w:bCs/>
                <w:kern w:val="0"/>
                <w:lang w:val="es-ES" w:eastAsia="es-ES"/>
                <w14:ligatures w14:val="none"/>
              </w:rPr>
            </w:pPr>
            <w:r w:rsidRPr="00801DAF">
              <w:rPr>
                <w:rFonts w:eastAsia="Times New Roman" w:cs="Times New Roman"/>
                <w:b/>
                <w:bCs/>
                <w:kern w:val="0"/>
                <w:lang w:val="es-ES" w:eastAsia="es-ES"/>
                <w14:ligatures w14:val="none"/>
              </w:rPr>
              <w:t>Estudio</w:t>
            </w:r>
          </w:p>
        </w:tc>
        <w:tc>
          <w:tcPr>
            <w:tcW w:w="519" w:type="pct"/>
            <w:shd w:val="clear" w:color="auto" w:fill="E7E6E6" w:themeFill="background2"/>
            <w:hideMark/>
          </w:tcPr>
          <w:p w14:paraId="41F2875F" w14:textId="77777777" w:rsidR="00BF2985" w:rsidRPr="00801DAF" w:rsidRDefault="00BF2985" w:rsidP="00905AD4">
            <w:pPr>
              <w:jc w:val="center"/>
              <w:rPr>
                <w:rFonts w:eastAsia="Times New Roman" w:cs="Times New Roman"/>
                <w:b/>
                <w:bCs/>
                <w:kern w:val="0"/>
                <w:lang w:val="es-ES" w:eastAsia="es-ES"/>
                <w14:ligatures w14:val="none"/>
              </w:rPr>
            </w:pPr>
            <w:r w:rsidRPr="00801DAF">
              <w:rPr>
                <w:rFonts w:eastAsia="Times New Roman" w:cs="Times New Roman"/>
                <w:b/>
                <w:bCs/>
                <w:kern w:val="0"/>
                <w:lang w:val="es-ES" w:eastAsia="es-ES"/>
                <w14:ligatures w14:val="none"/>
              </w:rPr>
              <w:t>Casos/total</w:t>
            </w:r>
          </w:p>
        </w:tc>
        <w:tc>
          <w:tcPr>
            <w:tcW w:w="529" w:type="pct"/>
            <w:shd w:val="clear" w:color="auto" w:fill="E7E6E6" w:themeFill="background2"/>
            <w:hideMark/>
          </w:tcPr>
          <w:p w14:paraId="10402F4A" w14:textId="77777777" w:rsidR="00BF2985" w:rsidRPr="00801DAF" w:rsidRDefault="00BF2985" w:rsidP="00905AD4">
            <w:pPr>
              <w:jc w:val="center"/>
              <w:rPr>
                <w:rFonts w:eastAsia="Times New Roman" w:cs="Times New Roman"/>
                <w:b/>
                <w:bCs/>
                <w:kern w:val="0"/>
                <w:lang w:val="es-ES" w:eastAsia="es-ES"/>
                <w14:ligatures w14:val="none"/>
              </w:rPr>
            </w:pPr>
            <w:r w:rsidRPr="00801DAF">
              <w:rPr>
                <w:rFonts w:eastAsia="Times New Roman" w:cs="Times New Roman"/>
                <w:b/>
                <w:bCs/>
                <w:kern w:val="0"/>
                <w:lang w:val="es-ES" w:eastAsia="es-ES"/>
                <w14:ligatures w14:val="none"/>
              </w:rPr>
              <w:t>Proporción de HPP</w:t>
            </w:r>
          </w:p>
        </w:tc>
        <w:tc>
          <w:tcPr>
            <w:tcW w:w="456" w:type="pct"/>
            <w:shd w:val="clear" w:color="auto" w:fill="E7E6E6" w:themeFill="background2"/>
            <w:hideMark/>
          </w:tcPr>
          <w:p w14:paraId="0962F351" w14:textId="77777777" w:rsidR="00BF2985" w:rsidRPr="00801DAF" w:rsidRDefault="00BF2985" w:rsidP="00905AD4">
            <w:pPr>
              <w:jc w:val="center"/>
              <w:rPr>
                <w:rFonts w:eastAsia="Times New Roman" w:cs="Times New Roman"/>
                <w:b/>
                <w:bCs/>
                <w:kern w:val="0"/>
                <w:lang w:val="es-ES" w:eastAsia="es-ES"/>
                <w14:ligatures w14:val="none"/>
              </w:rPr>
            </w:pPr>
            <w:r w:rsidRPr="00801DAF">
              <w:rPr>
                <w:rFonts w:eastAsia="Times New Roman" w:cs="Times New Roman"/>
                <w:b/>
                <w:bCs/>
                <w:kern w:val="0"/>
                <w:lang w:val="es-ES" w:eastAsia="es-ES"/>
                <w14:ligatures w14:val="none"/>
              </w:rPr>
              <w:t>IC 95 %</w:t>
            </w:r>
          </w:p>
        </w:tc>
        <w:tc>
          <w:tcPr>
            <w:tcW w:w="320" w:type="pct"/>
            <w:shd w:val="clear" w:color="auto" w:fill="E7E6E6" w:themeFill="background2"/>
            <w:hideMark/>
          </w:tcPr>
          <w:p w14:paraId="341D1E34" w14:textId="77777777" w:rsidR="00BF2985" w:rsidRPr="00801DAF" w:rsidRDefault="00BF2985" w:rsidP="00905AD4">
            <w:pPr>
              <w:jc w:val="center"/>
              <w:rPr>
                <w:rFonts w:eastAsia="Times New Roman" w:cs="Times New Roman"/>
                <w:b/>
                <w:bCs/>
                <w:kern w:val="0"/>
                <w:lang w:val="es-ES" w:eastAsia="es-ES"/>
                <w14:ligatures w14:val="none"/>
              </w:rPr>
            </w:pPr>
            <w:r w:rsidRPr="00801DAF">
              <w:rPr>
                <w:rFonts w:eastAsia="Times New Roman" w:cs="Times New Roman"/>
                <w:b/>
                <w:bCs/>
                <w:kern w:val="0"/>
                <w:lang w:val="es-ES" w:eastAsia="es-ES"/>
                <w14:ligatures w14:val="none"/>
              </w:rPr>
              <w:t>z</w:t>
            </w:r>
          </w:p>
        </w:tc>
        <w:tc>
          <w:tcPr>
            <w:tcW w:w="343" w:type="pct"/>
            <w:shd w:val="clear" w:color="auto" w:fill="E7E6E6" w:themeFill="background2"/>
            <w:hideMark/>
          </w:tcPr>
          <w:p w14:paraId="5C1C7812" w14:textId="77777777" w:rsidR="00BF2985" w:rsidRPr="00801DAF" w:rsidRDefault="00BF2985" w:rsidP="00905AD4">
            <w:pPr>
              <w:jc w:val="center"/>
              <w:rPr>
                <w:rFonts w:eastAsia="Times New Roman" w:cs="Times New Roman"/>
                <w:b/>
                <w:bCs/>
                <w:kern w:val="0"/>
                <w:lang w:val="es-ES" w:eastAsia="es-ES"/>
                <w14:ligatures w14:val="none"/>
              </w:rPr>
            </w:pPr>
            <w:r w:rsidRPr="00801DAF">
              <w:rPr>
                <w:rFonts w:eastAsia="Times New Roman" w:cs="Times New Roman"/>
                <w:b/>
                <w:bCs/>
                <w:kern w:val="0"/>
                <w:lang w:val="es-ES" w:eastAsia="es-ES"/>
                <w14:ligatures w14:val="none"/>
              </w:rPr>
              <w:t>p</w:t>
            </w:r>
          </w:p>
        </w:tc>
        <w:tc>
          <w:tcPr>
            <w:tcW w:w="581" w:type="pct"/>
            <w:shd w:val="clear" w:color="auto" w:fill="E7E6E6" w:themeFill="background2"/>
            <w:hideMark/>
          </w:tcPr>
          <w:p w14:paraId="4B3739CF" w14:textId="77777777" w:rsidR="00BF2985" w:rsidRPr="00801DAF" w:rsidRDefault="00BF2985" w:rsidP="00905AD4">
            <w:pPr>
              <w:jc w:val="center"/>
              <w:rPr>
                <w:rFonts w:eastAsia="Times New Roman" w:cs="Times New Roman"/>
                <w:b/>
                <w:bCs/>
                <w:kern w:val="0"/>
                <w:lang w:val="es-ES" w:eastAsia="es-ES"/>
                <w14:ligatures w14:val="none"/>
              </w:rPr>
            </w:pPr>
            <w:r w:rsidRPr="00801DAF">
              <w:rPr>
                <w:rFonts w:eastAsia="Times New Roman" w:cs="Times New Roman"/>
                <w:b/>
                <w:bCs/>
                <w:kern w:val="0"/>
                <w:lang w:val="es-ES" w:eastAsia="es-ES"/>
                <w14:ligatures w14:val="none"/>
              </w:rPr>
              <w:t>Ponderación fija (%)</w:t>
            </w:r>
          </w:p>
        </w:tc>
        <w:tc>
          <w:tcPr>
            <w:tcW w:w="625" w:type="pct"/>
            <w:shd w:val="clear" w:color="auto" w:fill="E7E6E6" w:themeFill="background2"/>
            <w:hideMark/>
          </w:tcPr>
          <w:p w14:paraId="20B189ED" w14:textId="77777777" w:rsidR="00BF2985" w:rsidRPr="00801DAF" w:rsidRDefault="00BF2985" w:rsidP="00905AD4">
            <w:pPr>
              <w:jc w:val="center"/>
              <w:rPr>
                <w:rFonts w:eastAsia="Times New Roman" w:cs="Times New Roman"/>
                <w:b/>
                <w:bCs/>
                <w:kern w:val="0"/>
                <w:lang w:val="es-ES" w:eastAsia="es-ES"/>
                <w14:ligatures w14:val="none"/>
              </w:rPr>
            </w:pPr>
            <w:r w:rsidRPr="00801DAF">
              <w:rPr>
                <w:rFonts w:eastAsia="Times New Roman" w:cs="Times New Roman"/>
                <w:b/>
                <w:bCs/>
                <w:kern w:val="0"/>
                <w:lang w:val="es-ES" w:eastAsia="es-ES"/>
                <w14:ligatures w14:val="none"/>
              </w:rPr>
              <w:t>Ponderación aleatoria (%)</w:t>
            </w:r>
          </w:p>
        </w:tc>
      </w:tr>
      <w:tr w:rsidR="00BF2985" w:rsidRPr="0074282B" w14:paraId="34DA911C" w14:textId="77777777" w:rsidTr="00905AD4">
        <w:tc>
          <w:tcPr>
            <w:tcW w:w="1626" w:type="pct"/>
            <w:hideMark/>
          </w:tcPr>
          <w:p w14:paraId="19E1537D" w14:textId="77777777" w:rsidR="00BF2985" w:rsidRPr="00801DAF" w:rsidRDefault="00BF2985" w:rsidP="00905AD4">
            <w:pPr>
              <w:jc w:val="left"/>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Angarita Peñaranda et al. (2003), 100 µg</w:t>
            </w:r>
          </w:p>
        </w:tc>
        <w:tc>
          <w:tcPr>
            <w:tcW w:w="519" w:type="pct"/>
            <w:hideMark/>
          </w:tcPr>
          <w:p w14:paraId="744CA46B"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17/40</w:t>
            </w:r>
          </w:p>
        </w:tc>
        <w:tc>
          <w:tcPr>
            <w:tcW w:w="529" w:type="pct"/>
            <w:hideMark/>
          </w:tcPr>
          <w:p w14:paraId="3B4C9E0C"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42</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5 %</w:t>
            </w:r>
          </w:p>
        </w:tc>
        <w:tc>
          <w:tcPr>
            <w:tcW w:w="456" w:type="pct"/>
            <w:hideMark/>
          </w:tcPr>
          <w:p w14:paraId="055811E6"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27</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0–59</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1</w:t>
            </w:r>
          </w:p>
        </w:tc>
        <w:tc>
          <w:tcPr>
            <w:tcW w:w="320" w:type="pct"/>
            <w:hideMark/>
          </w:tcPr>
          <w:p w14:paraId="1EB3485F" w14:textId="77777777" w:rsidR="00BF2985" w:rsidRPr="00801DAF" w:rsidRDefault="00BF2985" w:rsidP="00905AD4">
            <w:pPr>
              <w:jc w:val="center"/>
              <w:rPr>
                <w:rFonts w:eastAsia="Times New Roman" w:cs="Times New Roman"/>
                <w:kern w:val="0"/>
                <w:lang w:val="es-ES" w:eastAsia="es-ES"/>
                <w14:ligatures w14:val="none"/>
              </w:rPr>
            </w:pPr>
          </w:p>
        </w:tc>
        <w:tc>
          <w:tcPr>
            <w:tcW w:w="343" w:type="pct"/>
            <w:hideMark/>
          </w:tcPr>
          <w:p w14:paraId="5EEC379B" w14:textId="77777777" w:rsidR="00BF2985" w:rsidRPr="00801DAF" w:rsidRDefault="00BF2985" w:rsidP="00905AD4">
            <w:pPr>
              <w:jc w:val="center"/>
              <w:rPr>
                <w:rFonts w:eastAsia="Times New Roman" w:cs="Times New Roman"/>
                <w:kern w:val="0"/>
                <w:sz w:val="20"/>
                <w:szCs w:val="20"/>
                <w:lang w:val="es-ES" w:eastAsia="es-ES"/>
                <w14:ligatures w14:val="none"/>
              </w:rPr>
            </w:pPr>
          </w:p>
        </w:tc>
        <w:tc>
          <w:tcPr>
            <w:tcW w:w="581" w:type="pct"/>
            <w:hideMark/>
          </w:tcPr>
          <w:p w14:paraId="271E2002"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48</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87</w:t>
            </w:r>
          </w:p>
        </w:tc>
        <w:tc>
          <w:tcPr>
            <w:tcW w:w="625" w:type="pct"/>
            <w:hideMark/>
          </w:tcPr>
          <w:p w14:paraId="49BEB961"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22</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30</w:t>
            </w:r>
          </w:p>
        </w:tc>
      </w:tr>
      <w:tr w:rsidR="00BF2985" w:rsidRPr="0074282B" w14:paraId="2D51DE67" w14:textId="77777777" w:rsidTr="00905AD4">
        <w:tc>
          <w:tcPr>
            <w:tcW w:w="1626" w:type="pct"/>
            <w:hideMark/>
          </w:tcPr>
          <w:p w14:paraId="3FFDB4F7" w14:textId="77777777" w:rsidR="00BF2985" w:rsidRPr="00801DAF" w:rsidRDefault="00BF2985" w:rsidP="00905AD4">
            <w:pPr>
              <w:jc w:val="left"/>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Sandoval et al. (2004), 200 µg</w:t>
            </w:r>
          </w:p>
        </w:tc>
        <w:tc>
          <w:tcPr>
            <w:tcW w:w="519" w:type="pct"/>
            <w:hideMark/>
          </w:tcPr>
          <w:p w14:paraId="031440C0"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7/68</w:t>
            </w:r>
          </w:p>
        </w:tc>
        <w:tc>
          <w:tcPr>
            <w:tcW w:w="529" w:type="pct"/>
            <w:hideMark/>
          </w:tcPr>
          <w:p w14:paraId="3B04B122"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3 %</w:t>
            </w:r>
          </w:p>
        </w:tc>
        <w:tc>
          <w:tcPr>
            <w:tcW w:w="456" w:type="pct"/>
            <w:hideMark/>
          </w:tcPr>
          <w:p w14:paraId="3E0C45B6"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4</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2–20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1</w:t>
            </w:r>
          </w:p>
        </w:tc>
        <w:tc>
          <w:tcPr>
            <w:tcW w:w="320" w:type="pct"/>
            <w:hideMark/>
          </w:tcPr>
          <w:p w14:paraId="77DB3839" w14:textId="77777777" w:rsidR="00BF2985" w:rsidRPr="00801DAF" w:rsidRDefault="00BF2985" w:rsidP="00905AD4">
            <w:pPr>
              <w:jc w:val="center"/>
              <w:rPr>
                <w:rFonts w:eastAsia="Times New Roman" w:cs="Times New Roman"/>
                <w:kern w:val="0"/>
                <w:lang w:val="es-ES" w:eastAsia="es-ES"/>
                <w14:ligatures w14:val="none"/>
              </w:rPr>
            </w:pPr>
          </w:p>
        </w:tc>
        <w:tc>
          <w:tcPr>
            <w:tcW w:w="343" w:type="pct"/>
            <w:hideMark/>
          </w:tcPr>
          <w:p w14:paraId="3008CC22" w14:textId="77777777" w:rsidR="00BF2985" w:rsidRPr="00801DAF" w:rsidRDefault="00BF2985" w:rsidP="00905AD4">
            <w:pPr>
              <w:jc w:val="center"/>
              <w:rPr>
                <w:rFonts w:eastAsia="Times New Roman" w:cs="Times New Roman"/>
                <w:kern w:val="0"/>
                <w:sz w:val="20"/>
                <w:szCs w:val="20"/>
                <w:lang w:val="es-ES" w:eastAsia="es-ES"/>
                <w14:ligatures w14:val="none"/>
              </w:rPr>
            </w:pPr>
          </w:p>
        </w:tc>
        <w:tc>
          <w:tcPr>
            <w:tcW w:w="581" w:type="pct"/>
            <w:hideMark/>
          </w:tcPr>
          <w:p w14:paraId="5C8BFDB4"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31</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39</w:t>
            </w:r>
          </w:p>
        </w:tc>
        <w:tc>
          <w:tcPr>
            <w:tcW w:w="625" w:type="pct"/>
            <w:hideMark/>
          </w:tcPr>
          <w:p w14:paraId="0190DBEE"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21</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95</w:t>
            </w:r>
          </w:p>
        </w:tc>
      </w:tr>
      <w:tr w:rsidR="00BF2985" w:rsidRPr="0074282B" w14:paraId="1902E127" w14:textId="77777777" w:rsidTr="00905AD4">
        <w:tc>
          <w:tcPr>
            <w:tcW w:w="1626" w:type="pct"/>
            <w:hideMark/>
          </w:tcPr>
          <w:p w14:paraId="38CDDDF3" w14:textId="77777777" w:rsidR="00BF2985" w:rsidRPr="00801DAF" w:rsidRDefault="00BF2985" w:rsidP="00905AD4">
            <w:pPr>
              <w:jc w:val="left"/>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Sarabia Salazar et al. (2015), 200 µg</w:t>
            </w:r>
          </w:p>
        </w:tc>
        <w:tc>
          <w:tcPr>
            <w:tcW w:w="519" w:type="pct"/>
            <w:hideMark/>
          </w:tcPr>
          <w:p w14:paraId="4CC89206"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1/120</w:t>
            </w:r>
          </w:p>
        </w:tc>
        <w:tc>
          <w:tcPr>
            <w:tcW w:w="529" w:type="pct"/>
            <w:hideMark/>
          </w:tcPr>
          <w:p w14:paraId="4596D123"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8 %</w:t>
            </w:r>
          </w:p>
        </w:tc>
        <w:tc>
          <w:tcPr>
            <w:tcW w:w="456" w:type="pct"/>
            <w:hideMark/>
          </w:tcPr>
          <w:p w14:paraId="45E20734"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02–4</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6</w:t>
            </w:r>
          </w:p>
        </w:tc>
        <w:tc>
          <w:tcPr>
            <w:tcW w:w="320" w:type="pct"/>
            <w:hideMark/>
          </w:tcPr>
          <w:p w14:paraId="0B3B276B" w14:textId="77777777" w:rsidR="00BF2985" w:rsidRPr="00801DAF" w:rsidRDefault="00BF2985" w:rsidP="00905AD4">
            <w:pPr>
              <w:jc w:val="center"/>
              <w:rPr>
                <w:rFonts w:eastAsia="Times New Roman" w:cs="Times New Roman"/>
                <w:kern w:val="0"/>
                <w:lang w:val="es-ES" w:eastAsia="es-ES"/>
                <w14:ligatures w14:val="none"/>
              </w:rPr>
            </w:pPr>
          </w:p>
        </w:tc>
        <w:tc>
          <w:tcPr>
            <w:tcW w:w="343" w:type="pct"/>
            <w:hideMark/>
          </w:tcPr>
          <w:p w14:paraId="7763D8F5" w14:textId="77777777" w:rsidR="00BF2985" w:rsidRPr="00801DAF" w:rsidRDefault="00BF2985" w:rsidP="00905AD4">
            <w:pPr>
              <w:jc w:val="center"/>
              <w:rPr>
                <w:rFonts w:eastAsia="Times New Roman" w:cs="Times New Roman"/>
                <w:kern w:val="0"/>
                <w:sz w:val="20"/>
                <w:szCs w:val="20"/>
                <w:lang w:val="es-ES" w:eastAsia="es-ES"/>
                <w14:ligatures w14:val="none"/>
              </w:rPr>
            </w:pPr>
          </w:p>
        </w:tc>
        <w:tc>
          <w:tcPr>
            <w:tcW w:w="581" w:type="pct"/>
            <w:hideMark/>
          </w:tcPr>
          <w:p w14:paraId="4C872BD6"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4</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96</w:t>
            </w:r>
          </w:p>
        </w:tc>
        <w:tc>
          <w:tcPr>
            <w:tcW w:w="625" w:type="pct"/>
            <w:hideMark/>
          </w:tcPr>
          <w:p w14:paraId="78A97BE4"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17</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85</w:t>
            </w:r>
          </w:p>
        </w:tc>
      </w:tr>
      <w:tr w:rsidR="00BF2985" w:rsidRPr="0074282B" w14:paraId="419A3758" w14:textId="77777777" w:rsidTr="00905AD4">
        <w:tc>
          <w:tcPr>
            <w:tcW w:w="1626" w:type="pct"/>
            <w:hideMark/>
          </w:tcPr>
          <w:p w14:paraId="1E844A72" w14:textId="77777777" w:rsidR="00BF2985" w:rsidRPr="00801DAF" w:rsidRDefault="00BF2985" w:rsidP="00905AD4">
            <w:pPr>
              <w:jc w:val="left"/>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Sarabia Salazar et al. (2015), 400 µg</w:t>
            </w:r>
          </w:p>
        </w:tc>
        <w:tc>
          <w:tcPr>
            <w:tcW w:w="519" w:type="pct"/>
            <w:hideMark/>
          </w:tcPr>
          <w:p w14:paraId="5428B082"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2/120</w:t>
            </w:r>
          </w:p>
        </w:tc>
        <w:tc>
          <w:tcPr>
            <w:tcW w:w="529" w:type="pct"/>
            <w:hideMark/>
          </w:tcPr>
          <w:p w14:paraId="380854CD"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7 %</w:t>
            </w:r>
          </w:p>
        </w:tc>
        <w:tc>
          <w:tcPr>
            <w:tcW w:w="456" w:type="pct"/>
            <w:hideMark/>
          </w:tcPr>
          <w:p w14:paraId="32AA13B1"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2–5</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9</w:t>
            </w:r>
          </w:p>
        </w:tc>
        <w:tc>
          <w:tcPr>
            <w:tcW w:w="320" w:type="pct"/>
            <w:hideMark/>
          </w:tcPr>
          <w:p w14:paraId="41C23143" w14:textId="77777777" w:rsidR="00BF2985" w:rsidRPr="00801DAF" w:rsidRDefault="00BF2985" w:rsidP="00905AD4">
            <w:pPr>
              <w:jc w:val="center"/>
              <w:rPr>
                <w:rFonts w:eastAsia="Times New Roman" w:cs="Times New Roman"/>
                <w:kern w:val="0"/>
                <w:lang w:val="es-ES" w:eastAsia="es-ES"/>
                <w14:ligatures w14:val="none"/>
              </w:rPr>
            </w:pPr>
          </w:p>
        </w:tc>
        <w:tc>
          <w:tcPr>
            <w:tcW w:w="343" w:type="pct"/>
            <w:hideMark/>
          </w:tcPr>
          <w:p w14:paraId="51E8A783" w14:textId="77777777" w:rsidR="00BF2985" w:rsidRPr="00801DAF" w:rsidRDefault="00BF2985" w:rsidP="00905AD4">
            <w:pPr>
              <w:jc w:val="center"/>
              <w:rPr>
                <w:rFonts w:eastAsia="Times New Roman" w:cs="Times New Roman"/>
                <w:kern w:val="0"/>
                <w:sz w:val="20"/>
                <w:szCs w:val="20"/>
                <w:lang w:val="es-ES" w:eastAsia="es-ES"/>
                <w14:ligatures w14:val="none"/>
              </w:rPr>
            </w:pPr>
          </w:p>
        </w:tc>
        <w:tc>
          <w:tcPr>
            <w:tcW w:w="581" w:type="pct"/>
            <w:hideMark/>
          </w:tcPr>
          <w:p w14:paraId="656F3410"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9</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83</w:t>
            </w:r>
          </w:p>
        </w:tc>
        <w:tc>
          <w:tcPr>
            <w:tcW w:w="625" w:type="pct"/>
            <w:hideMark/>
          </w:tcPr>
          <w:p w14:paraId="762D4418"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20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06</w:t>
            </w:r>
          </w:p>
        </w:tc>
      </w:tr>
      <w:tr w:rsidR="00BF2985" w:rsidRPr="0074282B" w14:paraId="205CE0CB" w14:textId="77777777" w:rsidTr="00905AD4">
        <w:tc>
          <w:tcPr>
            <w:tcW w:w="1626" w:type="pct"/>
            <w:hideMark/>
          </w:tcPr>
          <w:p w14:paraId="5449F0BA" w14:textId="77777777" w:rsidR="00BF2985" w:rsidRPr="00801DAF" w:rsidRDefault="00BF2985" w:rsidP="00905AD4">
            <w:pPr>
              <w:jc w:val="left"/>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Sarabia Salazar et al. (2015), 600 µg</w:t>
            </w:r>
          </w:p>
        </w:tc>
        <w:tc>
          <w:tcPr>
            <w:tcW w:w="519" w:type="pct"/>
            <w:hideMark/>
          </w:tcPr>
          <w:p w14:paraId="33A4ED88"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1/110</w:t>
            </w:r>
          </w:p>
        </w:tc>
        <w:tc>
          <w:tcPr>
            <w:tcW w:w="529" w:type="pct"/>
            <w:hideMark/>
          </w:tcPr>
          <w:p w14:paraId="59394BB4"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9 %</w:t>
            </w:r>
          </w:p>
        </w:tc>
        <w:tc>
          <w:tcPr>
            <w:tcW w:w="456" w:type="pct"/>
            <w:hideMark/>
          </w:tcPr>
          <w:p w14:paraId="061A154E"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02–5</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w:t>
            </w:r>
          </w:p>
        </w:tc>
        <w:tc>
          <w:tcPr>
            <w:tcW w:w="320" w:type="pct"/>
            <w:hideMark/>
          </w:tcPr>
          <w:p w14:paraId="31B00DCE" w14:textId="77777777" w:rsidR="00BF2985" w:rsidRPr="00801DAF" w:rsidRDefault="00BF2985" w:rsidP="00905AD4">
            <w:pPr>
              <w:jc w:val="center"/>
              <w:rPr>
                <w:rFonts w:eastAsia="Times New Roman" w:cs="Times New Roman"/>
                <w:kern w:val="0"/>
                <w:lang w:val="es-ES" w:eastAsia="es-ES"/>
                <w14:ligatures w14:val="none"/>
              </w:rPr>
            </w:pPr>
          </w:p>
        </w:tc>
        <w:tc>
          <w:tcPr>
            <w:tcW w:w="343" w:type="pct"/>
            <w:hideMark/>
          </w:tcPr>
          <w:p w14:paraId="4A0E61B7" w14:textId="77777777" w:rsidR="00BF2985" w:rsidRPr="00801DAF" w:rsidRDefault="00BF2985" w:rsidP="00905AD4">
            <w:pPr>
              <w:jc w:val="center"/>
              <w:rPr>
                <w:rFonts w:eastAsia="Times New Roman" w:cs="Times New Roman"/>
                <w:kern w:val="0"/>
                <w:sz w:val="20"/>
                <w:szCs w:val="20"/>
                <w:lang w:val="es-ES" w:eastAsia="es-ES"/>
                <w14:ligatures w14:val="none"/>
              </w:rPr>
            </w:pPr>
          </w:p>
        </w:tc>
        <w:tc>
          <w:tcPr>
            <w:tcW w:w="581" w:type="pct"/>
            <w:hideMark/>
          </w:tcPr>
          <w:p w14:paraId="24C78711"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4</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95</w:t>
            </w:r>
          </w:p>
        </w:tc>
        <w:tc>
          <w:tcPr>
            <w:tcW w:w="625" w:type="pct"/>
            <w:hideMark/>
          </w:tcPr>
          <w:p w14:paraId="15956BFF"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17</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85</w:t>
            </w:r>
          </w:p>
        </w:tc>
      </w:tr>
      <w:tr w:rsidR="00BF2985" w:rsidRPr="0074282B" w14:paraId="4BBDC68C" w14:textId="77777777" w:rsidTr="00905AD4">
        <w:tc>
          <w:tcPr>
            <w:tcW w:w="1626" w:type="pct"/>
            <w:hideMark/>
          </w:tcPr>
          <w:p w14:paraId="26288658" w14:textId="77777777" w:rsidR="00BF2985" w:rsidRPr="00801DAF" w:rsidRDefault="00BF2985" w:rsidP="00905AD4">
            <w:pPr>
              <w:jc w:val="left"/>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Total, efecto fijo</w:t>
            </w:r>
          </w:p>
        </w:tc>
        <w:tc>
          <w:tcPr>
            <w:tcW w:w="519" w:type="pct"/>
            <w:hideMark/>
          </w:tcPr>
          <w:p w14:paraId="7BB69317"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28/458</w:t>
            </w:r>
          </w:p>
        </w:tc>
        <w:tc>
          <w:tcPr>
            <w:tcW w:w="529" w:type="pct"/>
            <w:hideMark/>
          </w:tcPr>
          <w:p w14:paraId="2635D13E"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15</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5 %</w:t>
            </w:r>
          </w:p>
        </w:tc>
        <w:tc>
          <w:tcPr>
            <w:tcW w:w="456" w:type="pct"/>
            <w:hideMark/>
          </w:tcPr>
          <w:p w14:paraId="79A902F9"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6–22</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1</w:t>
            </w:r>
          </w:p>
        </w:tc>
        <w:tc>
          <w:tcPr>
            <w:tcW w:w="320" w:type="pct"/>
            <w:hideMark/>
          </w:tcPr>
          <w:p w14:paraId="63E40749"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−7</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59</w:t>
            </w:r>
          </w:p>
        </w:tc>
        <w:tc>
          <w:tcPr>
            <w:tcW w:w="343" w:type="pct"/>
            <w:hideMark/>
          </w:tcPr>
          <w:p w14:paraId="3DF86D09"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&lt;0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001</w:t>
            </w:r>
          </w:p>
        </w:tc>
        <w:tc>
          <w:tcPr>
            <w:tcW w:w="581" w:type="pct"/>
            <w:hideMark/>
          </w:tcPr>
          <w:p w14:paraId="7E7BD339"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100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w:t>
            </w:r>
          </w:p>
        </w:tc>
        <w:tc>
          <w:tcPr>
            <w:tcW w:w="625" w:type="pct"/>
            <w:hideMark/>
          </w:tcPr>
          <w:p w14:paraId="6F63338E"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100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w:t>
            </w:r>
          </w:p>
        </w:tc>
      </w:tr>
      <w:tr w:rsidR="00BF2985" w:rsidRPr="0074282B" w14:paraId="00AD46D1" w14:textId="77777777" w:rsidTr="00905AD4">
        <w:tc>
          <w:tcPr>
            <w:tcW w:w="1626" w:type="pct"/>
            <w:hideMark/>
          </w:tcPr>
          <w:p w14:paraId="4A76BB5B" w14:textId="77777777" w:rsidR="00BF2985" w:rsidRPr="00801DAF" w:rsidRDefault="00BF2985" w:rsidP="00905AD4">
            <w:pPr>
              <w:jc w:val="left"/>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Total, efecto aleatorio</w:t>
            </w:r>
          </w:p>
        </w:tc>
        <w:tc>
          <w:tcPr>
            <w:tcW w:w="519" w:type="pct"/>
            <w:hideMark/>
          </w:tcPr>
          <w:p w14:paraId="47FE6B5F"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28/458</w:t>
            </w:r>
          </w:p>
        </w:tc>
        <w:tc>
          <w:tcPr>
            <w:tcW w:w="529" w:type="pct"/>
            <w:hideMark/>
          </w:tcPr>
          <w:p w14:paraId="066A0923"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4</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5 %</w:t>
            </w:r>
          </w:p>
        </w:tc>
        <w:tc>
          <w:tcPr>
            <w:tcW w:w="456" w:type="pct"/>
            <w:hideMark/>
          </w:tcPr>
          <w:p w14:paraId="2CED2D3A"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8–21</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7</w:t>
            </w:r>
          </w:p>
        </w:tc>
        <w:tc>
          <w:tcPr>
            <w:tcW w:w="320" w:type="pct"/>
            <w:hideMark/>
          </w:tcPr>
          <w:p w14:paraId="21ECD5AD"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−3</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39</w:t>
            </w:r>
          </w:p>
        </w:tc>
        <w:tc>
          <w:tcPr>
            <w:tcW w:w="343" w:type="pct"/>
            <w:hideMark/>
          </w:tcPr>
          <w:p w14:paraId="15CE0BE4"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001</w:t>
            </w:r>
          </w:p>
        </w:tc>
        <w:tc>
          <w:tcPr>
            <w:tcW w:w="581" w:type="pct"/>
            <w:hideMark/>
          </w:tcPr>
          <w:p w14:paraId="1CAAEC97"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100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w:t>
            </w:r>
          </w:p>
        </w:tc>
        <w:tc>
          <w:tcPr>
            <w:tcW w:w="625" w:type="pct"/>
            <w:hideMark/>
          </w:tcPr>
          <w:p w14:paraId="644330A0" w14:textId="77777777" w:rsidR="00BF2985" w:rsidRPr="00801DAF" w:rsidRDefault="00BF2985" w:rsidP="00905AD4">
            <w:pPr>
              <w:jc w:val="center"/>
              <w:rPr>
                <w:rFonts w:eastAsia="Times New Roman" w:cs="Times New Roman"/>
                <w:kern w:val="0"/>
                <w:lang w:val="es-ES" w:eastAsia="es-ES"/>
                <w14:ligatures w14:val="none"/>
              </w:rPr>
            </w:pPr>
            <w:r w:rsidRPr="00801DAF">
              <w:rPr>
                <w:rFonts w:eastAsia="Times New Roman" w:cs="Times New Roman"/>
                <w:kern w:val="0"/>
                <w:lang w:val="es-ES" w:eastAsia="es-ES"/>
                <w14:ligatures w14:val="none"/>
              </w:rPr>
              <w:t>100</w:t>
            </w:r>
            <w:r>
              <w:rPr>
                <w:rFonts w:eastAsia="Times New Roman" w:cs="Times New Roman"/>
                <w:kern w:val="0"/>
                <w:lang w:val="es-ES" w:eastAsia="es-ES"/>
                <w14:ligatures w14:val="none"/>
              </w:rPr>
              <w:t>.</w:t>
            </w:r>
            <w:r w:rsidRPr="00801DAF">
              <w:rPr>
                <w:rFonts w:eastAsia="Times New Roman" w:cs="Times New Roman"/>
                <w:kern w:val="0"/>
                <w:lang w:val="es-ES" w:eastAsia="es-ES"/>
                <w14:ligatures w14:val="none"/>
              </w:rPr>
              <w:t>0</w:t>
            </w:r>
          </w:p>
        </w:tc>
      </w:tr>
    </w:tbl>
    <w:p w14:paraId="1282677E" w14:textId="77777777" w:rsidR="00BF2985" w:rsidRPr="0074282B" w:rsidRDefault="00BF2985" w:rsidP="00BF2985">
      <w:pPr>
        <w:rPr>
          <w:sz w:val="20"/>
          <w:szCs w:val="20"/>
        </w:rPr>
      </w:pPr>
      <w:r w:rsidRPr="0074282B">
        <w:rPr>
          <w:sz w:val="20"/>
          <w:szCs w:val="20"/>
        </w:rPr>
        <w:t xml:space="preserve">Nota: Se observo heterogeneidad estadísticamente significativa entre los estudios: Q = 49,84; </w:t>
      </w:r>
      <w:proofErr w:type="spellStart"/>
      <w:r w:rsidRPr="0074282B">
        <w:rPr>
          <w:sz w:val="20"/>
          <w:szCs w:val="20"/>
        </w:rPr>
        <w:t>gl</w:t>
      </w:r>
      <w:proofErr w:type="spellEnd"/>
      <w:r w:rsidRPr="0074282B">
        <w:rPr>
          <w:sz w:val="20"/>
          <w:szCs w:val="20"/>
        </w:rPr>
        <w:t xml:space="preserve"> = 4; p &lt; 0,001; I2 = 92,0%; tau2 = 3,536. Debido a la heterogeneidad elevada, la estimación de efectos aleatorios se considera la principal para la interpretación. Angarita </w:t>
      </w:r>
      <w:proofErr w:type="spellStart"/>
      <w:r w:rsidRPr="0074282B">
        <w:rPr>
          <w:sz w:val="20"/>
          <w:szCs w:val="20"/>
        </w:rPr>
        <w:t>Penaranda</w:t>
      </w:r>
      <w:proofErr w:type="spellEnd"/>
      <w:r w:rsidRPr="0074282B">
        <w:rPr>
          <w:sz w:val="20"/>
          <w:szCs w:val="20"/>
        </w:rPr>
        <w:t xml:space="preserve"> definió el evento como perdida sanguínea mayor o igual a 500 </w:t>
      </w:r>
      <w:proofErr w:type="spellStart"/>
      <w:r w:rsidRPr="0074282B">
        <w:rPr>
          <w:sz w:val="20"/>
          <w:szCs w:val="20"/>
        </w:rPr>
        <w:t>mL</w:t>
      </w:r>
      <w:proofErr w:type="spellEnd"/>
      <w:r w:rsidRPr="0074282B">
        <w:rPr>
          <w:sz w:val="20"/>
          <w:szCs w:val="20"/>
        </w:rPr>
        <w:t xml:space="preserve">, mientras que Sandoval utilizo perdida sanguínea mayor o igual a 1000 </w:t>
      </w:r>
      <w:proofErr w:type="spellStart"/>
      <w:r w:rsidRPr="0074282B">
        <w:rPr>
          <w:sz w:val="20"/>
          <w:szCs w:val="20"/>
        </w:rPr>
        <w:t>mL</w:t>
      </w:r>
      <w:proofErr w:type="spellEnd"/>
      <w:r w:rsidRPr="0074282B">
        <w:rPr>
          <w:sz w:val="20"/>
          <w:szCs w:val="20"/>
        </w:rPr>
        <w:t>. En Sarabia Salazar et al., los eventos corresponden a hipotonía uterina y no a HPP confirmada mediante un umbral de perdida sanguínea. Estos casos se incluyeron como eventos relacionados con HPP, de acuerdo con la decisión metodológica adoptada para la revisión.</w:t>
      </w:r>
    </w:p>
    <w:p w14:paraId="07B0C356" w14:textId="3CC32234" w:rsidR="00BF2985" w:rsidRDefault="00BF2985" w:rsidP="007F0150"/>
    <w:p w14:paraId="687AE774" w14:textId="6BB68026" w:rsidR="00BF2985" w:rsidRDefault="00BF2985" w:rsidP="007F0150"/>
    <w:p w14:paraId="535F2D49" w14:textId="55F908DD" w:rsidR="00BF2985" w:rsidRDefault="00BF2985" w:rsidP="007F0150"/>
    <w:p w14:paraId="4DD5F015" w14:textId="6B525769" w:rsidR="00BF2985" w:rsidRDefault="00BF2985" w:rsidP="007F0150"/>
    <w:p w14:paraId="50F05A7E" w14:textId="52430ABF" w:rsidR="00BF2985" w:rsidRDefault="00BF2985" w:rsidP="007F0150"/>
    <w:p w14:paraId="5FFB6AA0" w14:textId="77777777" w:rsidR="00BF2985" w:rsidRDefault="00BF2985" w:rsidP="007F0150">
      <w:pPr>
        <w:sectPr w:rsidR="00BF2985" w:rsidSect="00BF2985">
          <w:pgSz w:w="15840" w:h="12240" w:orient="landscape"/>
          <w:pgMar w:top="1701" w:right="1418" w:bottom="1701" w:left="1418" w:header="709" w:footer="709" w:gutter="0"/>
          <w:cols w:space="708"/>
          <w:docGrid w:linePitch="360"/>
        </w:sectPr>
      </w:pPr>
    </w:p>
    <w:p w14:paraId="7D0923F5" w14:textId="77777777" w:rsidR="00BF2985" w:rsidRDefault="00BF2985" w:rsidP="00BF2985">
      <w:pPr>
        <w:pStyle w:val="Descripcin"/>
        <w:rPr>
          <w:szCs w:val="22"/>
        </w:rPr>
      </w:pPr>
      <w:bookmarkStart w:id="54" w:name="_Toc235815427"/>
      <w:r>
        <w:lastRenderedPageBreak/>
        <w:t xml:space="preserve">Figura </w:t>
      </w:r>
      <w:r>
        <w:fldChar w:fldCharType="begin"/>
      </w:r>
      <w:r>
        <w:instrText xml:space="preserve"> SEQ Figura \* ARABIC </w:instrText>
      </w:r>
      <w:r>
        <w:fldChar w:fldCharType="separate"/>
      </w:r>
      <w:r>
        <w:rPr>
          <w:noProof/>
        </w:rPr>
        <w:t>3</w:t>
      </w:r>
      <w:r>
        <w:fldChar w:fldCharType="end"/>
      </w:r>
      <w:r>
        <w:t xml:space="preserve">. </w:t>
      </w:r>
      <w:r>
        <w:rPr>
          <w:noProof/>
          <w:szCs w:val="22"/>
        </w:rPr>
        <w:t>D</w:t>
      </w:r>
      <w:r w:rsidRPr="000256F5">
        <w:rPr>
          <w:noProof/>
          <w:szCs w:val="22"/>
        </w:rPr>
        <w:t>agrama de bosque (forest plot)</w:t>
      </w:r>
      <w:r>
        <w:rPr>
          <w:noProof/>
          <w:szCs w:val="22"/>
        </w:rPr>
        <w:t xml:space="preserve"> del m</w:t>
      </w:r>
      <w:r w:rsidRPr="000256F5">
        <w:rPr>
          <w:szCs w:val="22"/>
        </w:rPr>
        <w:t>metaanálisis de la proporción de hemorragia posparto con misoprostol sublingual</w:t>
      </w:r>
      <w:bookmarkEnd w:id="54"/>
    </w:p>
    <w:p w14:paraId="62B57566" w14:textId="017C948B" w:rsidR="00BF2985" w:rsidRDefault="00BF2985" w:rsidP="00BF2985">
      <w:pPr>
        <w:spacing w:after="0"/>
        <w:rPr>
          <w:sz w:val="22"/>
          <w:szCs w:val="22"/>
        </w:rPr>
      </w:pPr>
      <w:r>
        <w:rPr>
          <w:noProof/>
          <w:sz w:val="22"/>
          <w:szCs w:val="22"/>
        </w:rPr>
        <w:drawing>
          <wp:inline distT="0" distB="0" distL="0" distR="0" wp14:anchorId="0641D676" wp14:editId="235B57D0">
            <wp:extent cx="5638143" cy="3173141"/>
            <wp:effectExtent l="0" t="0" r="127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58953" cy="3184853"/>
                    </a:xfrm>
                    <a:prstGeom prst="rect">
                      <a:avLst/>
                    </a:prstGeom>
                    <a:noFill/>
                  </pic:spPr>
                </pic:pic>
              </a:graphicData>
            </a:graphic>
          </wp:inline>
        </w:drawing>
      </w:r>
    </w:p>
    <w:p w14:paraId="6665AC95" w14:textId="77777777" w:rsidR="00BF2985" w:rsidRPr="00BF2985" w:rsidRDefault="00BF2985" w:rsidP="00BF2985">
      <w:pPr>
        <w:spacing w:after="360" w:line="276" w:lineRule="auto"/>
        <w:rPr>
          <w:noProof/>
          <w:sz w:val="18"/>
          <w:szCs w:val="18"/>
        </w:rPr>
      </w:pPr>
      <w:r w:rsidRPr="00BF2985">
        <w:rPr>
          <w:noProof/>
          <w:sz w:val="18"/>
          <w:szCs w:val="18"/>
        </w:rPr>
        <w:t>Nota. El modelo de efectos aleatorios estimó una proporción combinada de hemorragia posparto de 4,5%, con IC95% de 0,8% a 21,7%. Se observó heterogeneidad elevada entre los estudios: Q = 49,84; gl = 4; p &lt; 0,001; I2 = 92,0%; tau2 = 3,536. Angarita Penaranda definió el evento como pérdida sanguínea mayor o igual a 500 mL y Sandoval como pérdida sanguínea mayor o igual a 1000 mL. En Sarabia Salazar et al., los eventos incluidos correspondieron a hipotonía uterina, considerada como evento relacionado con HPP, aunque los autores no reportaron casos de HPP mediante un umbral de pérdida sanguínea.</w:t>
      </w:r>
    </w:p>
    <w:p w14:paraId="3DF2277F" w14:textId="594F3D8E" w:rsidR="00676C73" w:rsidRDefault="00676C73" w:rsidP="007F0150">
      <w:pPr>
        <w:pStyle w:val="Ttulo3"/>
      </w:pPr>
      <w:bookmarkStart w:id="55" w:name="_Toc235815381"/>
      <w:proofErr w:type="spellStart"/>
      <w:r>
        <w:t>Metanálisis</w:t>
      </w:r>
      <w:proofErr w:type="spellEnd"/>
      <w:r>
        <w:t xml:space="preserve"> de proporciones con misoprostol oral</w:t>
      </w:r>
      <w:bookmarkEnd w:id="55"/>
    </w:p>
    <w:p w14:paraId="1E70EB39" w14:textId="14299022" w:rsidR="00676C73" w:rsidRDefault="00676C73" w:rsidP="00676C73">
      <w:r>
        <w:t xml:space="preserve">El </w:t>
      </w:r>
      <w:proofErr w:type="spellStart"/>
      <w:r>
        <w:t>metanálisis</w:t>
      </w:r>
      <w:proofErr w:type="spellEnd"/>
      <w:r>
        <w:t xml:space="preserve"> de misoprostol oral incluyó dos estudios con un total de 1558 mujeres y 96 casos de HPP. </w:t>
      </w:r>
      <w:proofErr w:type="spellStart"/>
      <w:r>
        <w:t>Gülmezoglu</w:t>
      </w:r>
      <w:proofErr w:type="spellEnd"/>
      <w:r>
        <w:t xml:space="preserve"> et al. informaron una proporción de 7,1%, mientras que Morgan Ortiz et al. no registraron eventos entre las 200 participantes tratadas con misoprostol oral</w:t>
      </w:r>
      <w:r w:rsidR="007F0150">
        <w:t>.</w:t>
      </w:r>
      <w:r w:rsidR="00BF2985">
        <w:t xml:space="preserve"> </w:t>
      </w:r>
      <w:r>
        <w:t>El modelo de efectos fijos estimó una proporción combinada de 6,9%, con IC95% entre 5,7% y 8,4%. No obstante, se observó heterogeneidad elevada, con Q = 5,79, p = 0,016 e I2 = 82,7%. El modelo de efectos aleatorios estimó una proporción de 1,8%, con un intervalo de confianza muy amplio, entre 0,1% y 33,3%</w:t>
      </w:r>
      <w:r w:rsidR="007F0150">
        <w:t xml:space="preserve"> (tabla 7).</w:t>
      </w:r>
    </w:p>
    <w:p w14:paraId="31ED6855" w14:textId="3B6310F0" w:rsidR="00676C73" w:rsidRDefault="00676C73" w:rsidP="00676C73">
      <w:r>
        <w:t xml:space="preserve">La imprecisión del modelo aleatorio se explica por el reducido número de estudios, la presencia de un estudio sin eventos y el uso de definiciones diferentes de HPP. </w:t>
      </w:r>
      <w:proofErr w:type="spellStart"/>
      <w:r>
        <w:t>Gülmezoglu</w:t>
      </w:r>
      <w:proofErr w:type="spellEnd"/>
      <w:r>
        <w:t xml:space="preserve"> et al. utilizaron pérdida sanguínea igual o superior a 1000 </w:t>
      </w:r>
      <w:proofErr w:type="spellStart"/>
      <w:r>
        <w:t>mL</w:t>
      </w:r>
      <w:proofErr w:type="spellEnd"/>
      <w:r>
        <w:t xml:space="preserve">, mientras que Morgan Ortiz et al. emplearon pérdida mayor de 500 </w:t>
      </w:r>
      <w:proofErr w:type="spellStart"/>
      <w:r>
        <w:t>mL</w:t>
      </w:r>
      <w:proofErr w:type="spellEnd"/>
      <w:r>
        <w:t>. Por tanto, la estimación combinada debe interpretarse como exploratoria</w:t>
      </w:r>
      <w:r w:rsidR="007F0150">
        <w:t xml:space="preserve"> (tabla 7).</w:t>
      </w:r>
    </w:p>
    <w:p w14:paraId="258C3CFE" w14:textId="77777777" w:rsidR="00BF2985" w:rsidRDefault="00BF2985" w:rsidP="00676C73">
      <w:pPr>
        <w:sectPr w:rsidR="00BF2985" w:rsidSect="006F5322">
          <w:pgSz w:w="12240" w:h="15840"/>
          <w:pgMar w:top="1418" w:right="1701" w:bottom="1418" w:left="1701" w:header="709" w:footer="709" w:gutter="0"/>
          <w:cols w:space="708"/>
          <w:docGrid w:linePitch="360"/>
        </w:sectPr>
      </w:pPr>
    </w:p>
    <w:p w14:paraId="74C16145" w14:textId="77777777" w:rsidR="00BF2985" w:rsidRDefault="00BF2985" w:rsidP="00BF2985">
      <w:pPr>
        <w:pStyle w:val="Descripcin"/>
      </w:pPr>
      <w:bookmarkStart w:id="56" w:name="_Toc235815415"/>
      <w:r>
        <w:lastRenderedPageBreak/>
        <w:t xml:space="preserve">Tabla </w:t>
      </w:r>
      <w:r>
        <w:fldChar w:fldCharType="begin"/>
      </w:r>
      <w:r>
        <w:instrText xml:space="preserve"> SEQ Tabla \* ARABIC </w:instrText>
      </w:r>
      <w:r>
        <w:fldChar w:fldCharType="separate"/>
      </w:r>
      <w:r>
        <w:rPr>
          <w:noProof/>
        </w:rPr>
        <w:t>7</w:t>
      </w:r>
      <w:r>
        <w:fldChar w:fldCharType="end"/>
      </w:r>
      <w:r>
        <w:t xml:space="preserve">. </w:t>
      </w:r>
      <w:proofErr w:type="spellStart"/>
      <w:r>
        <w:t>Metanálisis</w:t>
      </w:r>
      <w:proofErr w:type="spellEnd"/>
      <w:r>
        <w:t xml:space="preserve"> de la proporción de hemorragia posparto con misoprostol oral</w:t>
      </w:r>
      <w:bookmarkEnd w:id="56"/>
    </w:p>
    <w:tbl>
      <w:tblPr>
        <w:tblStyle w:val="Tablaconcuadrcula"/>
        <w:tblW w:w="0" w:type="auto"/>
        <w:tblLook w:val="04A0" w:firstRow="1" w:lastRow="0" w:firstColumn="1" w:lastColumn="0" w:noHBand="0" w:noVBand="1"/>
      </w:tblPr>
      <w:tblGrid>
        <w:gridCol w:w="4673"/>
        <w:gridCol w:w="938"/>
        <w:gridCol w:w="1390"/>
        <w:gridCol w:w="1223"/>
        <w:gridCol w:w="896"/>
        <w:gridCol w:w="896"/>
        <w:gridCol w:w="1549"/>
        <w:gridCol w:w="1429"/>
      </w:tblGrid>
      <w:tr w:rsidR="00BF2985" w:rsidRPr="0074282B" w14:paraId="715CD78C" w14:textId="77777777" w:rsidTr="00905AD4">
        <w:tc>
          <w:tcPr>
            <w:tcW w:w="4673" w:type="dxa"/>
            <w:shd w:val="clear" w:color="auto" w:fill="FFF2CC" w:themeFill="accent4" w:themeFillTint="33"/>
            <w:hideMark/>
          </w:tcPr>
          <w:p w14:paraId="39BD7E3E" w14:textId="77777777" w:rsidR="00BF2985" w:rsidRPr="0074282B" w:rsidRDefault="00BF2985" w:rsidP="00BF2985">
            <w:pPr>
              <w:spacing w:line="480" w:lineRule="auto"/>
              <w:rPr>
                <w:b/>
                <w:bCs/>
                <w:sz w:val="22"/>
                <w:szCs w:val="22"/>
                <w:lang w:val="es-ES" w:eastAsia="es-ES"/>
              </w:rPr>
            </w:pPr>
            <w:r w:rsidRPr="0074282B">
              <w:rPr>
                <w:b/>
                <w:bCs/>
                <w:sz w:val="22"/>
                <w:szCs w:val="22"/>
                <w:lang w:val="es-ES" w:eastAsia="es-ES"/>
              </w:rPr>
              <w:t>Estudio</w:t>
            </w:r>
          </w:p>
        </w:tc>
        <w:tc>
          <w:tcPr>
            <w:tcW w:w="820" w:type="dxa"/>
            <w:shd w:val="clear" w:color="auto" w:fill="FFF2CC" w:themeFill="accent4" w:themeFillTint="33"/>
            <w:hideMark/>
          </w:tcPr>
          <w:p w14:paraId="35A0D2D6" w14:textId="77777777" w:rsidR="00BF2985" w:rsidRPr="0074282B" w:rsidRDefault="00BF2985" w:rsidP="00BF2985">
            <w:pPr>
              <w:spacing w:line="480" w:lineRule="auto"/>
              <w:jc w:val="center"/>
              <w:rPr>
                <w:b/>
                <w:bCs/>
                <w:sz w:val="22"/>
                <w:szCs w:val="22"/>
                <w:lang w:val="es-ES" w:eastAsia="es-ES"/>
              </w:rPr>
            </w:pPr>
            <w:r w:rsidRPr="0074282B">
              <w:rPr>
                <w:b/>
                <w:bCs/>
                <w:sz w:val="22"/>
                <w:szCs w:val="22"/>
                <w:lang w:val="es-ES" w:eastAsia="es-ES"/>
              </w:rPr>
              <w:t>Casos</w:t>
            </w:r>
            <w:r>
              <w:rPr>
                <w:b/>
                <w:bCs/>
                <w:sz w:val="22"/>
                <w:szCs w:val="22"/>
                <w:lang w:val="es-ES" w:eastAsia="es-ES"/>
              </w:rPr>
              <w:t xml:space="preserve"> </w:t>
            </w:r>
            <w:r w:rsidRPr="0074282B">
              <w:rPr>
                <w:b/>
                <w:bCs/>
                <w:sz w:val="22"/>
                <w:szCs w:val="22"/>
                <w:lang w:val="es-ES" w:eastAsia="es-ES"/>
              </w:rPr>
              <w:t>/</w:t>
            </w:r>
            <w:r>
              <w:rPr>
                <w:b/>
                <w:bCs/>
                <w:sz w:val="22"/>
                <w:szCs w:val="22"/>
                <w:lang w:val="es-ES" w:eastAsia="es-ES"/>
              </w:rPr>
              <w:t xml:space="preserve"> </w:t>
            </w:r>
            <w:r w:rsidRPr="0074282B">
              <w:rPr>
                <w:b/>
                <w:bCs/>
                <w:sz w:val="22"/>
                <w:szCs w:val="22"/>
                <w:lang w:val="es-ES" w:eastAsia="es-ES"/>
              </w:rPr>
              <w:t>total</w:t>
            </w:r>
          </w:p>
        </w:tc>
        <w:tc>
          <w:tcPr>
            <w:tcW w:w="1390" w:type="dxa"/>
            <w:shd w:val="clear" w:color="auto" w:fill="FFF2CC" w:themeFill="accent4" w:themeFillTint="33"/>
            <w:hideMark/>
          </w:tcPr>
          <w:p w14:paraId="75C52C10" w14:textId="77777777" w:rsidR="00BF2985" w:rsidRPr="0074282B" w:rsidRDefault="00BF2985" w:rsidP="00BF2985">
            <w:pPr>
              <w:spacing w:line="480" w:lineRule="auto"/>
              <w:jc w:val="center"/>
              <w:rPr>
                <w:b/>
                <w:bCs/>
                <w:sz w:val="22"/>
                <w:szCs w:val="22"/>
                <w:lang w:val="es-ES" w:eastAsia="es-ES"/>
              </w:rPr>
            </w:pPr>
            <w:r w:rsidRPr="0074282B">
              <w:rPr>
                <w:b/>
                <w:bCs/>
                <w:sz w:val="22"/>
                <w:szCs w:val="22"/>
                <w:lang w:val="es-ES" w:eastAsia="es-ES"/>
              </w:rPr>
              <w:t>Proporción de HPP</w:t>
            </w:r>
          </w:p>
        </w:tc>
        <w:tc>
          <w:tcPr>
            <w:tcW w:w="1223" w:type="dxa"/>
            <w:shd w:val="clear" w:color="auto" w:fill="FFF2CC" w:themeFill="accent4" w:themeFillTint="33"/>
            <w:hideMark/>
          </w:tcPr>
          <w:p w14:paraId="2838573A" w14:textId="77777777" w:rsidR="00BF2985" w:rsidRPr="0074282B" w:rsidRDefault="00BF2985" w:rsidP="00BF2985">
            <w:pPr>
              <w:spacing w:line="480" w:lineRule="auto"/>
              <w:jc w:val="center"/>
              <w:rPr>
                <w:b/>
                <w:bCs/>
                <w:sz w:val="22"/>
                <w:szCs w:val="22"/>
                <w:lang w:val="es-ES" w:eastAsia="es-ES"/>
              </w:rPr>
            </w:pPr>
            <w:r w:rsidRPr="0074282B">
              <w:rPr>
                <w:b/>
                <w:bCs/>
                <w:sz w:val="22"/>
                <w:szCs w:val="22"/>
                <w:lang w:val="es-ES" w:eastAsia="es-ES"/>
              </w:rPr>
              <w:t>IC 95 %</w:t>
            </w:r>
          </w:p>
        </w:tc>
        <w:tc>
          <w:tcPr>
            <w:tcW w:w="896" w:type="dxa"/>
            <w:shd w:val="clear" w:color="auto" w:fill="FFF2CC" w:themeFill="accent4" w:themeFillTint="33"/>
            <w:hideMark/>
          </w:tcPr>
          <w:p w14:paraId="147717D3" w14:textId="77777777" w:rsidR="00BF2985" w:rsidRPr="0074282B" w:rsidRDefault="00BF2985" w:rsidP="00BF2985">
            <w:pPr>
              <w:spacing w:line="480" w:lineRule="auto"/>
              <w:jc w:val="center"/>
              <w:rPr>
                <w:b/>
                <w:bCs/>
                <w:sz w:val="22"/>
                <w:szCs w:val="22"/>
                <w:lang w:val="es-ES" w:eastAsia="es-ES"/>
              </w:rPr>
            </w:pPr>
            <w:r w:rsidRPr="0074282B">
              <w:rPr>
                <w:b/>
                <w:bCs/>
                <w:sz w:val="22"/>
                <w:szCs w:val="22"/>
                <w:lang w:val="es-ES" w:eastAsia="es-ES"/>
              </w:rPr>
              <w:t>z</w:t>
            </w:r>
          </w:p>
        </w:tc>
        <w:tc>
          <w:tcPr>
            <w:tcW w:w="896" w:type="dxa"/>
            <w:shd w:val="clear" w:color="auto" w:fill="FFF2CC" w:themeFill="accent4" w:themeFillTint="33"/>
            <w:hideMark/>
          </w:tcPr>
          <w:p w14:paraId="37D9C5A1" w14:textId="77777777" w:rsidR="00BF2985" w:rsidRPr="0074282B" w:rsidRDefault="00BF2985" w:rsidP="00BF2985">
            <w:pPr>
              <w:spacing w:line="480" w:lineRule="auto"/>
              <w:jc w:val="center"/>
              <w:rPr>
                <w:b/>
                <w:bCs/>
                <w:sz w:val="22"/>
                <w:szCs w:val="22"/>
                <w:lang w:val="es-ES" w:eastAsia="es-ES"/>
              </w:rPr>
            </w:pPr>
            <w:r w:rsidRPr="0074282B">
              <w:rPr>
                <w:b/>
                <w:bCs/>
                <w:sz w:val="22"/>
                <w:szCs w:val="22"/>
                <w:lang w:val="es-ES" w:eastAsia="es-ES"/>
              </w:rPr>
              <w:t>p</w:t>
            </w:r>
          </w:p>
        </w:tc>
        <w:tc>
          <w:tcPr>
            <w:tcW w:w="1549" w:type="dxa"/>
            <w:shd w:val="clear" w:color="auto" w:fill="FFF2CC" w:themeFill="accent4" w:themeFillTint="33"/>
            <w:hideMark/>
          </w:tcPr>
          <w:p w14:paraId="387F925F" w14:textId="77777777" w:rsidR="00BF2985" w:rsidRPr="0074282B" w:rsidRDefault="00BF2985" w:rsidP="00BF2985">
            <w:pPr>
              <w:spacing w:line="480" w:lineRule="auto"/>
              <w:jc w:val="center"/>
              <w:rPr>
                <w:b/>
                <w:bCs/>
                <w:sz w:val="22"/>
                <w:szCs w:val="22"/>
                <w:lang w:val="es-ES" w:eastAsia="es-ES"/>
              </w:rPr>
            </w:pPr>
            <w:r w:rsidRPr="0074282B">
              <w:rPr>
                <w:b/>
                <w:bCs/>
                <w:sz w:val="22"/>
                <w:szCs w:val="22"/>
                <w:lang w:val="es-ES" w:eastAsia="es-ES"/>
              </w:rPr>
              <w:t>Ponderación fija (%)</w:t>
            </w:r>
          </w:p>
        </w:tc>
        <w:tc>
          <w:tcPr>
            <w:tcW w:w="0" w:type="auto"/>
            <w:shd w:val="clear" w:color="auto" w:fill="FFF2CC" w:themeFill="accent4" w:themeFillTint="33"/>
            <w:hideMark/>
          </w:tcPr>
          <w:p w14:paraId="111F1B09" w14:textId="77777777" w:rsidR="00BF2985" w:rsidRPr="0074282B" w:rsidRDefault="00BF2985" w:rsidP="00BF2985">
            <w:pPr>
              <w:spacing w:line="480" w:lineRule="auto"/>
              <w:jc w:val="center"/>
              <w:rPr>
                <w:b/>
                <w:bCs/>
                <w:sz w:val="22"/>
                <w:szCs w:val="22"/>
                <w:lang w:val="es-ES" w:eastAsia="es-ES"/>
              </w:rPr>
            </w:pPr>
            <w:r w:rsidRPr="0074282B">
              <w:rPr>
                <w:b/>
                <w:bCs/>
                <w:sz w:val="22"/>
                <w:szCs w:val="22"/>
                <w:lang w:val="es-ES" w:eastAsia="es-ES"/>
              </w:rPr>
              <w:t>Ponderación aleatoria (%)</w:t>
            </w:r>
          </w:p>
        </w:tc>
      </w:tr>
      <w:tr w:rsidR="00BF2985" w:rsidRPr="0074282B" w14:paraId="47DC0558" w14:textId="77777777" w:rsidTr="00905AD4">
        <w:tc>
          <w:tcPr>
            <w:tcW w:w="4673" w:type="dxa"/>
            <w:hideMark/>
          </w:tcPr>
          <w:p w14:paraId="11C6074E" w14:textId="77777777" w:rsidR="00BF2985" w:rsidRPr="0074282B" w:rsidRDefault="00BF2985" w:rsidP="00BF2985">
            <w:pPr>
              <w:spacing w:line="480" w:lineRule="auto"/>
              <w:rPr>
                <w:sz w:val="22"/>
                <w:szCs w:val="22"/>
                <w:lang w:val="es-ES" w:eastAsia="es-ES"/>
              </w:rPr>
            </w:pPr>
            <w:proofErr w:type="spellStart"/>
            <w:r w:rsidRPr="0074282B">
              <w:rPr>
                <w:sz w:val="22"/>
                <w:szCs w:val="22"/>
                <w:lang w:val="es-ES" w:eastAsia="es-ES"/>
              </w:rPr>
              <w:t>Gülmezoglu</w:t>
            </w:r>
            <w:proofErr w:type="spellEnd"/>
            <w:r w:rsidRPr="0074282B">
              <w:rPr>
                <w:sz w:val="22"/>
                <w:szCs w:val="22"/>
                <w:lang w:val="es-ES" w:eastAsia="es-ES"/>
              </w:rPr>
              <w:t xml:space="preserve"> et al. (2001), Argentina, 600 µg</w:t>
            </w:r>
          </w:p>
        </w:tc>
        <w:tc>
          <w:tcPr>
            <w:tcW w:w="820" w:type="dxa"/>
            <w:hideMark/>
          </w:tcPr>
          <w:p w14:paraId="7512EF1C"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96/1358</w:t>
            </w:r>
          </w:p>
        </w:tc>
        <w:tc>
          <w:tcPr>
            <w:tcW w:w="1390" w:type="dxa"/>
            <w:hideMark/>
          </w:tcPr>
          <w:p w14:paraId="726BF2B7"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7</w:t>
            </w:r>
            <w:r>
              <w:rPr>
                <w:sz w:val="22"/>
                <w:szCs w:val="22"/>
                <w:lang w:val="es-ES" w:eastAsia="es-ES"/>
              </w:rPr>
              <w:t>.</w:t>
            </w:r>
            <w:r w:rsidRPr="0074282B">
              <w:rPr>
                <w:sz w:val="22"/>
                <w:szCs w:val="22"/>
                <w:lang w:val="es-ES" w:eastAsia="es-ES"/>
              </w:rPr>
              <w:t>1 %</w:t>
            </w:r>
          </w:p>
        </w:tc>
        <w:tc>
          <w:tcPr>
            <w:tcW w:w="1223" w:type="dxa"/>
            <w:hideMark/>
          </w:tcPr>
          <w:p w14:paraId="324B45E6"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5</w:t>
            </w:r>
            <w:r>
              <w:rPr>
                <w:sz w:val="22"/>
                <w:szCs w:val="22"/>
                <w:lang w:val="es-ES" w:eastAsia="es-ES"/>
              </w:rPr>
              <w:t>.</w:t>
            </w:r>
            <w:r w:rsidRPr="0074282B">
              <w:rPr>
                <w:sz w:val="22"/>
                <w:szCs w:val="22"/>
                <w:lang w:val="es-ES" w:eastAsia="es-ES"/>
              </w:rPr>
              <w:t>8–8</w:t>
            </w:r>
            <w:r>
              <w:rPr>
                <w:sz w:val="22"/>
                <w:szCs w:val="22"/>
                <w:lang w:val="es-ES" w:eastAsia="es-ES"/>
              </w:rPr>
              <w:t>.</w:t>
            </w:r>
            <w:r w:rsidRPr="0074282B">
              <w:rPr>
                <w:sz w:val="22"/>
                <w:szCs w:val="22"/>
                <w:lang w:val="es-ES" w:eastAsia="es-ES"/>
              </w:rPr>
              <w:t>6</w:t>
            </w:r>
          </w:p>
        </w:tc>
        <w:tc>
          <w:tcPr>
            <w:tcW w:w="896" w:type="dxa"/>
            <w:hideMark/>
          </w:tcPr>
          <w:p w14:paraId="0CC5664B" w14:textId="77777777" w:rsidR="00BF2985" w:rsidRPr="0074282B" w:rsidRDefault="00BF2985" w:rsidP="00BF2985">
            <w:pPr>
              <w:spacing w:line="480" w:lineRule="auto"/>
              <w:jc w:val="center"/>
              <w:rPr>
                <w:sz w:val="22"/>
                <w:szCs w:val="22"/>
                <w:lang w:val="es-ES" w:eastAsia="es-ES"/>
              </w:rPr>
            </w:pPr>
          </w:p>
        </w:tc>
        <w:tc>
          <w:tcPr>
            <w:tcW w:w="896" w:type="dxa"/>
            <w:hideMark/>
          </w:tcPr>
          <w:p w14:paraId="0BF207A4" w14:textId="77777777" w:rsidR="00BF2985" w:rsidRPr="0074282B" w:rsidRDefault="00BF2985" w:rsidP="00BF2985">
            <w:pPr>
              <w:spacing w:line="480" w:lineRule="auto"/>
              <w:jc w:val="center"/>
              <w:rPr>
                <w:sz w:val="22"/>
                <w:szCs w:val="22"/>
                <w:lang w:val="es-ES" w:eastAsia="es-ES"/>
              </w:rPr>
            </w:pPr>
          </w:p>
        </w:tc>
        <w:tc>
          <w:tcPr>
            <w:tcW w:w="1549" w:type="dxa"/>
            <w:hideMark/>
          </w:tcPr>
          <w:p w14:paraId="5F1BE17D"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99</w:t>
            </w:r>
            <w:r>
              <w:rPr>
                <w:sz w:val="22"/>
                <w:szCs w:val="22"/>
                <w:lang w:val="es-ES" w:eastAsia="es-ES"/>
              </w:rPr>
              <w:t>.</w:t>
            </w:r>
            <w:r w:rsidRPr="0074282B">
              <w:rPr>
                <w:sz w:val="22"/>
                <w:szCs w:val="22"/>
                <w:lang w:val="es-ES" w:eastAsia="es-ES"/>
              </w:rPr>
              <w:t>44</w:t>
            </w:r>
          </w:p>
        </w:tc>
        <w:tc>
          <w:tcPr>
            <w:tcW w:w="0" w:type="auto"/>
            <w:hideMark/>
          </w:tcPr>
          <w:p w14:paraId="4BA65A1E"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58</w:t>
            </w:r>
            <w:r>
              <w:rPr>
                <w:sz w:val="22"/>
                <w:szCs w:val="22"/>
                <w:lang w:val="es-ES" w:eastAsia="es-ES"/>
              </w:rPr>
              <w:t>.</w:t>
            </w:r>
            <w:r w:rsidRPr="0074282B">
              <w:rPr>
                <w:sz w:val="22"/>
                <w:szCs w:val="22"/>
                <w:lang w:val="es-ES" w:eastAsia="es-ES"/>
              </w:rPr>
              <w:t>53</w:t>
            </w:r>
          </w:p>
        </w:tc>
      </w:tr>
      <w:tr w:rsidR="00BF2985" w:rsidRPr="0074282B" w14:paraId="749E2019" w14:textId="77777777" w:rsidTr="00905AD4">
        <w:tc>
          <w:tcPr>
            <w:tcW w:w="4673" w:type="dxa"/>
            <w:hideMark/>
          </w:tcPr>
          <w:p w14:paraId="5EC5CFA4" w14:textId="77777777" w:rsidR="00BF2985" w:rsidRPr="0074282B" w:rsidRDefault="00BF2985" w:rsidP="00BF2985">
            <w:pPr>
              <w:spacing w:line="480" w:lineRule="auto"/>
              <w:rPr>
                <w:sz w:val="22"/>
                <w:szCs w:val="22"/>
                <w:lang w:val="es-ES" w:eastAsia="es-ES"/>
              </w:rPr>
            </w:pPr>
            <w:r w:rsidRPr="0074282B">
              <w:rPr>
                <w:sz w:val="22"/>
                <w:szCs w:val="22"/>
                <w:lang w:val="es-ES" w:eastAsia="es-ES"/>
              </w:rPr>
              <w:t>Morgan Ortiz et al. (2004), 400 µg</w:t>
            </w:r>
          </w:p>
        </w:tc>
        <w:tc>
          <w:tcPr>
            <w:tcW w:w="820" w:type="dxa"/>
            <w:hideMark/>
          </w:tcPr>
          <w:p w14:paraId="65BBBC23"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0/200</w:t>
            </w:r>
          </w:p>
        </w:tc>
        <w:tc>
          <w:tcPr>
            <w:tcW w:w="1390" w:type="dxa"/>
            <w:hideMark/>
          </w:tcPr>
          <w:p w14:paraId="6E2D8AB1"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0</w:t>
            </w:r>
            <w:r>
              <w:rPr>
                <w:sz w:val="22"/>
                <w:szCs w:val="22"/>
                <w:lang w:val="es-ES" w:eastAsia="es-ES"/>
              </w:rPr>
              <w:t>.</w:t>
            </w:r>
            <w:r w:rsidRPr="0074282B">
              <w:rPr>
                <w:sz w:val="22"/>
                <w:szCs w:val="22"/>
                <w:lang w:val="es-ES" w:eastAsia="es-ES"/>
              </w:rPr>
              <w:t>0 %</w:t>
            </w:r>
          </w:p>
        </w:tc>
        <w:tc>
          <w:tcPr>
            <w:tcW w:w="1223" w:type="dxa"/>
            <w:hideMark/>
          </w:tcPr>
          <w:p w14:paraId="642E8B6E"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0</w:t>
            </w:r>
            <w:r>
              <w:rPr>
                <w:sz w:val="22"/>
                <w:szCs w:val="22"/>
                <w:lang w:val="es-ES" w:eastAsia="es-ES"/>
              </w:rPr>
              <w:t>.</w:t>
            </w:r>
            <w:r w:rsidRPr="0074282B">
              <w:rPr>
                <w:sz w:val="22"/>
                <w:szCs w:val="22"/>
                <w:lang w:val="es-ES" w:eastAsia="es-ES"/>
              </w:rPr>
              <w:t>0–1</w:t>
            </w:r>
            <w:r>
              <w:rPr>
                <w:sz w:val="22"/>
                <w:szCs w:val="22"/>
                <w:lang w:val="es-ES" w:eastAsia="es-ES"/>
              </w:rPr>
              <w:t>.</w:t>
            </w:r>
            <w:r w:rsidRPr="0074282B">
              <w:rPr>
                <w:sz w:val="22"/>
                <w:szCs w:val="22"/>
                <w:lang w:val="es-ES" w:eastAsia="es-ES"/>
              </w:rPr>
              <w:t>8</w:t>
            </w:r>
          </w:p>
        </w:tc>
        <w:tc>
          <w:tcPr>
            <w:tcW w:w="896" w:type="dxa"/>
            <w:hideMark/>
          </w:tcPr>
          <w:p w14:paraId="68A7E0C9" w14:textId="77777777" w:rsidR="00BF2985" w:rsidRPr="0074282B" w:rsidRDefault="00BF2985" w:rsidP="00BF2985">
            <w:pPr>
              <w:spacing w:line="480" w:lineRule="auto"/>
              <w:jc w:val="center"/>
              <w:rPr>
                <w:sz w:val="22"/>
                <w:szCs w:val="22"/>
                <w:lang w:val="es-ES" w:eastAsia="es-ES"/>
              </w:rPr>
            </w:pPr>
          </w:p>
        </w:tc>
        <w:tc>
          <w:tcPr>
            <w:tcW w:w="896" w:type="dxa"/>
            <w:hideMark/>
          </w:tcPr>
          <w:p w14:paraId="0B677975" w14:textId="77777777" w:rsidR="00BF2985" w:rsidRPr="0074282B" w:rsidRDefault="00BF2985" w:rsidP="00BF2985">
            <w:pPr>
              <w:spacing w:line="480" w:lineRule="auto"/>
              <w:jc w:val="center"/>
              <w:rPr>
                <w:sz w:val="22"/>
                <w:szCs w:val="22"/>
                <w:lang w:val="es-ES" w:eastAsia="es-ES"/>
              </w:rPr>
            </w:pPr>
          </w:p>
        </w:tc>
        <w:tc>
          <w:tcPr>
            <w:tcW w:w="1549" w:type="dxa"/>
            <w:hideMark/>
          </w:tcPr>
          <w:p w14:paraId="1BAB2957"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0</w:t>
            </w:r>
            <w:r>
              <w:rPr>
                <w:sz w:val="22"/>
                <w:szCs w:val="22"/>
                <w:lang w:val="es-ES" w:eastAsia="es-ES"/>
              </w:rPr>
              <w:t>.</w:t>
            </w:r>
            <w:r w:rsidRPr="0074282B">
              <w:rPr>
                <w:sz w:val="22"/>
                <w:szCs w:val="22"/>
                <w:lang w:val="es-ES" w:eastAsia="es-ES"/>
              </w:rPr>
              <w:t>56</w:t>
            </w:r>
          </w:p>
        </w:tc>
        <w:tc>
          <w:tcPr>
            <w:tcW w:w="0" w:type="auto"/>
            <w:hideMark/>
          </w:tcPr>
          <w:p w14:paraId="105DAC0D"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41</w:t>
            </w:r>
            <w:r>
              <w:rPr>
                <w:sz w:val="22"/>
                <w:szCs w:val="22"/>
                <w:lang w:val="es-ES" w:eastAsia="es-ES"/>
              </w:rPr>
              <w:t>.</w:t>
            </w:r>
            <w:r w:rsidRPr="0074282B">
              <w:rPr>
                <w:sz w:val="22"/>
                <w:szCs w:val="22"/>
                <w:lang w:val="es-ES" w:eastAsia="es-ES"/>
              </w:rPr>
              <w:t>47</w:t>
            </w:r>
          </w:p>
        </w:tc>
      </w:tr>
      <w:tr w:rsidR="00BF2985" w:rsidRPr="0074282B" w14:paraId="223E0C45" w14:textId="77777777" w:rsidTr="00905AD4">
        <w:tc>
          <w:tcPr>
            <w:tcW w:w="4673" w:type="dxa"/>
            <w:hideMark/>
          </w:tcPr>
          <w:p w14:paraId="714253D1" w14:textId="77777777" w:rsidR="00BF2985" w:rsidRPr="0074282B" w:rsidRDefault="00BF2985" w:rsidP="00BF2985">
            <w:pPr>
              <w:spacing w:line="480" w:lineRule="auto"/>
              <w:rPr>
                <w:sz w:val="22"/>
                <w:szCs w:val="22"/>
                <w:lang w:val="es-ES" w:eastAsia="es-ES"/>
              </w:rPr>
            </w:pPr>
            <w:r w:rsidRPr="0074282B">
              <w:rPr>
                <w:sz w:val="22"/>
                <w:szCs w:val="22"/>
                <w:lang w:val="es-ES" w:eastAsia="es-ES"/>
              </w:rPr>
              <w:t>Total, efecto fijo</w:t>
            </w:r>
          </w:p>
        </w:tc>
        <w:tc>
          <w:tcPr>
            <w:tcW w:w="820" w:type="dxa"/>
            <w:hideMark/>
          </w:tcPr>
          <w:p w14:paraId="18967921"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96/1558</w:t>
            </w:r>
          </w:p>
        </w:tc>
        <w:tc>
          <w:tcPr>
            <w:tcW w:w="1390" w:type="dxa"/>
            <w:hideMark/>
          </w:tcPr>
          <w:p w14:paraId="5FB1B8BC"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6</w:t>
            </w:r>
            <w:r>
              <w:rPr>
                <w:sz w:val="22"/>
                <w:szCs w:val="22"/>
                <w:lang w:val="es-ES" w:eastAsia="es-ES"/>
              </w:rPr>
              <w:t>.</w:t>
            </w:r>
            <w:r w:rsidRPr="0074282B">
              <w:rPr>
                <w:sz w:val="22"/>
                <w:szCs w:val="22"/>
                <w:lang w:val="es-ES" w:eastAsia="es-ES"/>
              </w:rPr>
              <w:t>9 %</w:t>
            </w:r>
          </w:p>
        </w:tc>
        <w:tc>
          <w:tcPr>
            <w:tcW w:w="1223" w:type="dxa"/>
            <w:hideMark/>
          </w:tcPr>
          <w:p w14:paraId="4008E4A8"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5</w:t>
            </w:r>
            <w:r>
              <w:rPr>
                <w:sz w:val="22"/>
                <w:szCs w:val="22"/>
                <w:lang w:val="es-ES" w:eastAsia="es-ES"/>
              </w:rPr>
              <w:t>.</w:t>
            </w:r>
            <w:r w:rsidRPr="0074282B">
              <w:rPr>
                <w:sz w:val="22"/>
                <w:szCs w:val="22"/>
                <w:lang w:val="es-ES" w:eastAsia="es-ES"/>
              </w:rPr>
              <w:t>7–8</w:t>
            </w:r>
            <w:r>
              <w:rPr>
                <w:sz w:val="22"/>
                <w:szCs w:val="22"/>
                <w:lang w:val="es-ES" w:eastAsia="es-ES"/>
              </w:rPr>
              <w:t>.</w:t>
            </w:r>
            <w:r w:rsidRPr="0074282B">
              <w:rPr>
                <w:sz w:val="22"/>
                <w:szCs w:val="22"/>
                <w:lang w:val="es-ES" w:eastAsia="es-ES"/>
              </w:rPr>
              <w:t>4</w:t>
            </w:r>
          </w:p>
        </w:tc>
        <w:tc>
          <w:tcPr>
            <w:tcW w:w="896" w:type="dxa"/>
            <w:hideMark/>
          </w:tcPr>
          <w:p w14:paraId="3038CB23"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−24</w:t>
            </w:r>
            <w:r>
              <w:rPr>
                <w:sz w:val="22"/>
                <w:szCs w:val="22"/>
                <w:lang w:val="es-ES" w:eastAsia="es-ES"/>
              </w:rPr>
              <w:t>.</w:t>
            </w:r>
            <w:r w:rsidRPr="0074282B">
              <w:rPr>
                <w:sz w:val="22"/>
                <w:szCs w:val="22"/>
                <w:lang w:val="es-ES" w:eastAsia="es-ES"/>
              </w:rPr>
              <w:t>58</w:t>
            </w:r>
          </w:p>
        </w:tc>
        <w:tc>
          <w:tcPr>
            <w:tcW w:w="896" w:type="dxa"/>
            <w:hideMark/>
          </w:tcPr>
          <w:p w14:paraId="0DD5C9D8"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&lt;0</w:t>
            </w:r>
            <w:r>
              <w:rPr>
                <w:sz w:val="22"/>
                <w:szCs w:val="22"/>
                <w:lang w:val="es-ES" w:eastAsia="es-ES"/>
              </w:rPr>
              <w:t>.</w:t>
            </w:r>
            <w:r w:rsidRPr="0074282B">
              <w:rPr>
                <w:sz w:val="22"/>
                <w:szCs w:val="22"/>
                <w:lang w:val="es-ES" w:eastAsia="es-ES"/>
              </w:rPr>
              <w:t>001</w:t>
            </w:r>
          </w:p>
        </w:tc>
        <w:tc>
          <w:tcPr>
            <w:tcW w:w="1549" w:type="dxa"/>
            <w:hideMark/>
          </w:tcPr>
          <w:p w14:paraId="5DAD2BEC"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100</w:t>
            </w:r>
            <w:r>
              <w:rPr>
                <w:sz w:val="22"/>
                <w:szCs w:val="22"/>
                <w:lang w:val="es-ES" w:eastAsia="es-ES"/>
              </w:rPr>
              <w:t>.</w:t>
            </w:r>
            <w:r w:rsidRPr="0074282B">
              <w:rPr>
                <w:sz w:val="22"/>
                <w:szCs w:val="22"/>
                <w:lang w:val="es-ES" w:eastAsia="es-ES"/>
              </w:rPr>
              <w:t>0</w:t>
            </w:r>
          </w:p>
        </w:tc>
        <w:tc>
          <w:tcPr>
            <w:tcW w:w="0" w:type="auto"/>
            <w:hideMark/>
          </w:tcPr>
          <w:p w14:paraId="577AEF60"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100</w:t>
            </w:r>
            <w:r>
              <w:rPr>
                <w:sz w:val="22"/>
                <w:szCs w:val="22"/>
                <w:lang w:val="es-ES" w:eastAsia="es-ES"/>
              </w:rPr>
              <w:t>.</w:t>
            </w:r>
            <w:r w:rsidRPr="0074282B">
              <w:rPr>
                <w:sz w:val="22"/>
                <w:szCs w:val="22"/>
                <w:lang w:val="es-ES" w:eastAsia="es-ES"/>
              </w:rPr>
              <w:t>0</w:t>
            </w:r>
          </w:p>
        </w:tc>
      </w:tr>
      <w:tr w:rsidR="00BF2985" w:rsidRPr="0074282B" w14:paraId="09FFC2AF" w14:textId="77777777" w:rsidTr="00905AD4">
        <w:tc>
          <w:tcPr>
            <w:tcW w:w="4673" w:type="dxa"/>
            <w:hideMark/>
          </w:tcPr>
          <w:p w14:paraId="4169771A" w14:textId="77777777" w:rsidR="00BF2985" w:rsidRPr="0074282B" w:rsidRDefault="00BF2985" w:rsidP="00BF2985">
            <w:pPr>
              <w:spacing w:line="480" w:lineRule="auto"/>
              <w:rPr>
                <w:sz w:val="22"/>
                <w:szCs w:val="22"/>
                <w:lang w:val="es-ES" w:eastAsia="es-ES"/>
              </w:rPr>
            </w:pPr>
            <w:r w:rsidRPr="0074282B">
              <w:rPr>
                <w:sz w:val="22"/>
                <w:szCs w:val="22"/>
                <w:lang w:val="es-ES" w:eastAsia="es-ES"/>
              </w:rPr>
              <w:t>Total, efecto aleatorio</w:t>
            </w:r>
          </w:p>
        </w:tc>
        <w:tc>
          <w:tcPr>
            <w:tcW w:w="820" w:type="dxa"/>
            <w:hideMark/>
          </w:tcPr>
          <w:p w14:paraId="060AF797"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96/1558</w:t>
            </w:r>
          </w:p>
        </w:tc>
        <w:tc>
          <w:tcPr>
            <w:tcW w:w="1390" w:type="dxa"/>
            <w:hideMark/>
          </w:tcPr>
          <w:p w14:paraId="6DC918D8"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1</w:t>
            </w:r>
            <w:r>
              <w:rPr>
                <w:sz w:val="22"/>
                <w:szCs w:val="22"/>
                <w:lang w:val="es-ES" w:eastAsia="es-ES"/>
              </w:rPr>
              <w:t>.</w:t>
            </w:r>
            <w:r w:rsidRPr="0074282B">
              <w:rPr>
                <w:sz w:val="22"/>
                <w:szCs w:val="22"/>
                <w:lang w:val="es-ES" w:eastAsia="es-ES"/>
              </w:rPr>
              <w:t>8 %</w:t>
            </w:r>
          </w:p>
        </w:tc>
        <w:tc>
          <w:tcPr>
            <w:tcW w:w="1223" w:type="dxa"/>
            <w:hideMark/>
          </w:tcPr>
          <w:p w14:paraId="56CB1120"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0</w:t>
            </w:r>
            <w:r>
              <w:rPr>
                <w:sz w:val="22"/>
                <w:szCs w:val="22"/>
                <w:lang w:val="es-ES" w:eastAsia="es-ES"/>
              </w:rPr>
              <w:t>.</w:t>
            </w:r>
            <w:r w:rsidRPr="0074282B">
              <w:rPr>
                <w:sz w:val="22"/>
                <w:szCs w:val="22"/>
                <w:lang w:val="es-ES" w:eastAsia="es-ES"/>
              </w:rPr>
              <w:t>07–33</w:t>
            </w:r>
            <w:r>
              <w:rPr>
                <w:sz w:val="22"/>
                <w:szCs w:val="22"/>
                <w:lang w:val="es-ES" w:eastAsia="es-ES"/>
              </w:rPr>
              <w:t>.</w:t>
            </w:r>
            <w:r w:rsidRPr="0074282B">
              <w:rPr>
                <w:sz w:val="22"/>
                <w:szCs w:val="22"/>
                <w:lang w:val="es-ES" w:eastAsia="es-ES"/>
              </w:rPr>
              <w:t>3</w:t>
            </w:r>
          </w:p>
        </w:tc>
        <w:tc>
          <w:tcPr>
            <w:tcW w:w="896" w:type="dxa"/>
            <w:hideMark/>
          </w:tcPr>
          <w:p w14:paraId="475CDFCD"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−2</w:t>
            </w:r>
            <w:r>
              <w:rPr>
                <w:sz w:val="22"/>
                <w:szCs w:val="22"/>
                <w:lang w:val="es-ES" w:eastAsia="es-ES"/>
              </w:rPr>
              <w:t>.</w:t>
            </w:r>
            <w:r w:rsidRPr="0074282B">
              <w:rPr>
                <w:sz w:val="22"/>
                <w:szCs w:val="22"/>
                <w:lang w:val="es-ES" w:eastAsia="es-ES"/>
              </w:rPr>
              <w:t>37</w:t>
            </w:r>
          </w:p>
        </w:tc>
        <w:tc>
          <w:tcPr>
            <w:tcW w:w="896" w:type="dxa"/>
            <w:hideMark/>
          </w:tcPr>
          <w:p w14:paraId="510299E2"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0</w:t>
            </w:r>
            <w:r>
              <w:rPr>
                <w:sz w:val="22"/>
                <w:szCs w:val="22"/>
                <w:lang w:val="es-ES" w:eastAsia="es-ES"/>
              </w:rPr>
              <w:t>.</w:t>
            </w:r>
            <w:r w:rsidRPr="0074282B">
              <w:rPr>
                <w:sz w:val="22"/>
                <w:szCs w:val="22"/>
                <w:lang w:val="es-ES" w:eastAsia="es-ES"/>
              </w:rPr>
              <w:t>018</w:t>
            </w:r>
          </w:p>
        </w:tc>
        <w:tc>
          <w:tcPr>
            <w:tcW w:w="1549" w:type="dxa"/>
            <w:hideMark/>
          </w:tcPr>
          <w:p w14:paraId="6BD647D8"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100</w:t>
            </w:r>
            <w:r>
              <w:rPr>
                <w:sz w:val="22"/>
                <w:szCs w:val="22"/>
                <w:lang w:val="es-ES" w:eastAsia="es-ES"/>
              </w:rPr>
              <w:t>.</w:t>
            </w:r>
            <w:r w:rsidRPr="0074282B">
              <w:rPr>
                <w:sz w:val="22"/>
                <w:szCs w:val="22"/>
                <w:lang w:val="es-ES" w:eastAsia="es-ES"/>
              </w:rPr>
              <w:t>0</w:t>
            </w:r>
          </w:p>
        </w:tc>
        <w:tc>
          <w:tcPr>
            <w:tcW w:w="0" w:type="auto"/>
            <w:hideMark/>
          </w:tcPr>
          <w:p w14:paraId="168F1405" w14:textId="77777777" w:rsidR="00BF2985" w:rsidRPr="0074282B" w:rsidRDefault="00BF2985" w:rsidP="00BF2985">
            <w:pPr>
              <w:spacing w:line="480" w:lineRule="auto"/>
              <w:jc w:val="center"/>
              <w:rPr>
                <w:sz w:val="22"/>
                <w:szCs w:val="22"/>
                <w:lang w:val="es-ES" w:eastAsia="es-ES"/>
              </w:rPr>
            </w:pPr>
            <w:r w:rsidRPr="0074282B">
              <w:rPr>
                <w:sz w:val="22"/>
                <w:szCs w:val="22"/>
                <w:lang w:val="es-ES" w:eastAsia="es-ES"/>
              </w:rPr>
              <w:t>100</w:t>
            </w:r>
            <w:r>
              <w:rPr>
                <w:sz w:val="22"/>
                <w:szCs w:val="22"/>
                <w:lang w:val="es-ES" w:eastAsia="es-ES"/>
              </w:rPr>
              <w:t>.</w:t>
            </w:r>
            <w:r w:rsidRPr="0074282B">
              <w:rPr>
                <w:sz w:val="22"/>
                <w:szCs w:val="22"/>
                <w:lang w:val="es-ES" w:eastAsia="es-ES"/>
              </w:rPr>
              <w:t>0</w:t>
            </w:r>
          </w:p>
        </w:tc>
      </w:tr>
    </w:tbl>
    <w:p w14:paraId="33DC7643" w14:textId="77777777" w:rsidR="00BF2985" w:rsidRDefault="00BF2985" w:rsidP="00BF2985">
      <w:pPr>
        <w:rPr>
          <w:sz w:val="22"/>
          <w:szCs w:val="22"/>
        </w:rPr>
      </w:pPr>
      <w:r w:rsidRPr="0074282B">
        <w:rPr>
          <w:sz w:val="22"/>
          <w:szCs w:val="22"/>
        </w:rPr>
        <w:t xml:space="preserve">Nota: Se observo heterogeneidad estadísticamente significativa entre los estudios: Q = 5,79; </w:t>
      </w:r>
      <w:proofErr w:type="spellStart"/>
      <w:r w:rsidRPr="0074282B">
        <w:rPr>
          <w:sz w:val="22"/>
          <w:szCs w:val="22"/>
        </w:rPr>
        <w:t>gl</w:t>
      </w:r>
      <w:proofErr w:type="spellEnd"/>
      <w:r w:rsidRPr="0074282B">
        <w:rPr>
          <w:sz w:val="22"/>
          <w:szCs w:val="22"/>
        </w:rPr>
        <w:t xml:space="preserve"> = 1; p = 0,016; I2 = 82,7%; tau</w:t>
      </w:r>
      <w:r w:rsidRPr="0074282B">
        <w:rPr>
          <w:sz w:val="22"/>
          <w:szCs w:val="22"/>
          <w:vertAlign w:val="superscript"/>
        </w:rPr>
        <w:t>2</w:t>
      </w:r>
      <w:r w:rsidRPr="0074282B">
        <w:rPr>
          <w:sz w:val="22"/>
          <w:szCs w:val="22"/>
        </w:rPr>
        <w:t xml:space="preserve"> = 4,833. Se aplico una corrección de continuidad de 0,5 al estudio de Morgan Ortiz et al. debido a la ausencia de eventos. </w:t>
      </w:r>
      <w:proofErr w:type="spellStart"/>
      <w:r w:rsidRPr="0074282B">
        <w:rPr>
          <w:sz w:val="22"/>
          <w:szCs w:val="22"/>
        </w:rPr>
        <w:t>Gulmezoglu</w:t>
      </w:r>
      <w:proofErr w:type="spellEnd"/>
      <w:r w:rsidRPr="0074282B">
        <w:rPr>
          <w:sz w:val="22"/>
          <w:szCs w:val="22"/>
        </w:rPr>
        <w:t xml:space="preserve"> et al. definió la HPP como perdida sanguínea mayor o igual a 1000 </w:t>
      </w:r>
      <w:proofErr w:type="spellStart"/>
      <w:r w:rsidRPr="0074282B">
        <w:rPr>
          <w:sz w:val="22"/>
          <w:szCs w:val="22"/>
        </w:rPr>
        <w:t>mL</w:t>
      </w:r>
      <w:proofErr w:type="spellEnd"/>
      <w:r w:rsidRPr="0074282B">
        <w:rPr>
          <w:sz w:val="22"/>
          <w:szCs w:val="22"/>
        </w:rPr>
        <w:t xml:space="preserve">, mientras que Morgan Ortiz et al. utilizo perdida mayor de 500 </w:t>
      </w:r>
      <w:proofErr w:type="spellStart"/>
      <w:r w:rsidRPr="0074282B">
        <w:rPr>
          <w:sz w:val="22"/>
          <w:szCs w:val="22"/>
        </w:rPr>
        <w:t>mL</w:t>
      </w:r>
      <w:proofErr w:type="spellEnd"/>
      <w:r w:rsidRPr="0074282B">
        <w:rPr>
          <w:sz w:val="22"/>
          <w:szCs w:val="22"/>
        </w:rPr>
        <w:t xml:space="preserve">. Debido a esta diferencia en la definición del desenlace, la proporción combinada debe interpretarse como una </w:t>
      </w:r>
      <w:proofErr w:type="spellStart"/>
      <w:r w:rsidRPr="0074282B">
        <w:rPr>
          <w:sz w:val="22"/>
          <w:szCs w:val="22"/>
        </w:rPr>
        <w:t>estimacion</w:t>
      </w:r>
      <w:proofErr w:type="spellEnd"/>
      <w:r w:rsidRPr="0074282B">
        <w:rPr>
          <w:sz w:val="22"/>
          <w:szCs w:val="22"/>
        </w:rPr>
        <w:t xml:space="preserve"> exploratoria y no como una medida clínicamente homogénea de un único desenlace.</w:t>
      </w:r>
    </w:p>
    <w:p w14:paraId="0C801A1C" w14:textId="43C2DC5A" w:rsidR="00BF2985" w:rsidRDefault="00BF2985" w:rsidP="00676C73"/>
    <w:p w14:paraId="3AD3FB13" w14:textId="77777777" w:rsidR="00BF2985" w:rsidRDefault="00BF2985" w:rsidP="00676C73"/>
    <w:p w14:paraId="384A7BBE" w14:textId="77777777" w:rsidR="00BF2985" w:rsidRDefault="00BF2985" w:rsidP="00676C73"/>
    <w:p w14:paraId="0D9564C2" w14:textId="77777777" w:rsidR="00BF2985" w:rsidRDefault="00BF2985" w:rsidP="00676C73"/>
    <w:p w14:paraId="4EF05388" w14:textId="77777777" w:rsidR="00BF2985" w:rsidRDefault="00BF2985" w:rsidP="00676C73">
      <w:pPr>
        <w:sectPr w:rsidR="00BF2985" w:rsidSect="00BF2985">
          <w:pgSz w:w="15840" w:h="12240" w:orient="landscape"/>
          <w:pgMar w:top="1701" w:right="1418" w:bottom="1701" w:left="1418" w:header="709" w:footer="709" w:gutter="0"/>
          <w:cols w:space="708"/>
          <w:docGrid w:linePitch="360"/>
        </w:sectPr>
      </w:pPr>
    </w:p>
    <w:p w14:paraId="5D3BB7E5" w14:textId="2E683D9D" w:rsidR="00676C73" w:rsidRDefault="00676C73" w:rsidP="00676C73">
      <w:r>
        <w:lastRenderedPageBreak/>
        <w:t xml:space="preserve">El diagrama de bosque del misoprostol oral muestra una diferencia marcada entre los dos estudios incluidos. </w:t>
      </w:r>
      <w:proofErr w:type="spellStart"/>
      <w:r>
        <w:t>Gülmezoglu</w:t>
      </w:r>
      <w:proofErr w:type="spellEnd"/>
      <w:r>
        <w:t xml:space="preserve"> et al. informaron una proporción de HPP de 7,1%, con un intervalo relativamente estrecho debido al elevado tamaño muestral, mientras que Morgan Ortiz et al. no observaron eventos</w:t>
      </w:r>
      <w:r w:rsidR="007F0150">
        <w:t xml:space="preserve"> (figura 4).</w:t>
      </w:r>
    </w:p>
    <w:p w14:paraId="5025A058" w14:textId="2BB1B525" w:rsidR="00676C73" w:rsidRDefault="00676C73" w:rsidP="00676C73">
      <w:r>
        <w:t>El modelo de efectos aleatorios estimó una proporción combinada de 1,8%, con IC95% entre 0,1% y 33,3%. El amplio intervalo de confianza refleja la inestabilidad de una estimación basada únicamente en dos estudios con definiciones distintas del desenlace y con ausencia de eventos en uno de ellos</w:t>
      </w:r>
      <w:r w:rsidR="007F0150">
        <w:t xml:space="preserve"> (figura 4).</w:t>
      </w:r>
    </w:p>
    <w:p w14:paraId="05B95BD3" w14:textId="77777777" w:rsidR="00BF2985" w:rsidRDefault="00BF2985" w:rsidP="00BF2985">
      <w:pPr>
        <w:pStyle w:val="Descripcin"/>
        <w:rPr>
          <w:noProof/>
          <w:szCs w:val="22"/>
        </w:rPr>
      </w:pPr>
      <w:bookmarkStart w:id="57" w:name="_Toc235815428"/>
      <w:r>
        <w:t xml:space="preserve">Figura </w:t>
      </w:r>
      <w:r>
        <w:fldChar w:fldCharType="begin"/>
      </w:r>
      <w:r>
        <w:instrText xml:space="preserve"> SEQ Figura \* ARABIC </w:instrText>
      </w:r>
      <w:r>
        <w:fldChar w:fldCharType="separate"/>
      </w:r>
      <w:r>
        <w:rPr>
          <w:noProof/>
        </w:rPr>
        <w:t>4</w:t>
      </w:r>
      <w:r>
        <w:fldChar w:fldCharType="end"/>
      </w:r>
      <w:r>
        <w:t xml:space="preserve">. </w:t>
      </w:r>
      <w:r>
        <w:rPr>
          <w:noProof/>
          <w:szCs w:val="22"/>
        </w:rPr>
        <w:t>D</w:t>
      </w:r>
      <w:r w:rsidRPr="000256F5">
        <w:rPr>
          <w:noProof/>
          <w:szCs w:val="22"/>
        </w:rPr>
        <w:t>agrama de bosque (forest plot)</w:t>
      </w:r>
      <w:r>
        <w:rPr>
          <w:noProof/>
          <w:szCs w:val="22"/>
        </w:rPr>
        <w:t xml:space="preserve"> del m</w:t>
      </w:r>
      <w:r w:rsidRPr="000256F5">
        <w:rPr>
          <w:noProof/>
          <w:szCs w:val="22"/>
        </w:rPr>
        <w:t>etaanálisis de la proporción de hemorragia posparto con misoprostol oral</w:t>
      </w:r>
      <w:bookmarkEnd w:id="57"/>
    </w:p>
    <w:p w14:paraId="4BC6CCDF" w14:textId="77777777" w:rsidR="00BF2985" w:rsidRDefault="00BF2985" w:rsidP="00BF2985">
      <w:pPr>
        <w:rPr>
          <w:noProof/>
          <w:sz w:val="22"/>
          <w:szCs w:val="22"/>
        </w:rPr>
      </w:pPr>
      <w:r>
        <w:rPr>
          <w:noProof/>
          <w:sz w:val="22"/>
          <w:szCs w:val="22"/>
        </w:rPr>
        <w:drawing>
          <wp:inline distT="0" distB="0" distL="0" distR="0" wp14:anchorId="53F3D844" wp14:editId="4CBC9918">
            <wp:extent cx="5865721" cy="3301222"/>
            <wp:effectExtent l="0" t="0" r="190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85967" cy="3312617"/>
                    </a:xfrm>
                    <a:prstGeom prst="rect">
                      <a:avLst/>
                    </a:prstGeom>
                    <a:noFill/>
                  </pic:spPr>
                </pic:pic>
              </a:graphicData>
            </a:graphic>
          </wp:inline>
        </w:drawing>
      </w:r>
    </w:p>
    <w:p w14:paraId="24AE760F" w14:textId="77777777" w:rsidR="00BF2985" w:rsidRPr="000256F5" w:rsidRDefault="00BF2985" w:rsidP="00BF2985">
      <w:pPr>
        <w:rPr>
          <w:noProof/>
          <w:sz w:val="20"/>
          <w:szCs w:val="20"/>
        </w:rPr>
      </w:pPr>
      <w:r w:rsidRPr="000256F5">
        <w:rPr>
          <w:noProof/>
          <w:sz w:val="20"/>
          <w:szCs w:val="20"/>
        </w:rPr>
        <w:t>Nota. El modelo de efectos aleatorios estimó una proporción combinada de hemorragia posparto de 1,8%, con IC95% de 0,1% a 33,3%. Se observó heterogeneidad elevada entre los estudios: Q = 5,79; gl = 1; p = 0,016; I2 = 82,7%; tau2 = 4,833. Se aplicó una corrección de continuidad de 0,5 al estudio de Morgan Ortiz et al. por ausencia de eventos. Gulmezoglu et al. definió la HPP como pérdida sanguínea mayor o igual a 1000 mL, mientras que Morgan Ortiz et al. utilizó pérdida mayor de 500 mL.</w:t>
      </w:r>
    </w:p>
    <w:p w14:paraId="5B7F06E2" w14:textId="33380004" w:rsidR="00BF2985" w:rsidRDefault="00BF2985" w:rsidP="00676C73"/>
    <w:p w14:paraId="06657339" w14:textId="77777777" w:rsidR="00BF2985" w:rsidRDefault="00BF2985" w:rsidP="00676C73"/>
    <w:p w14:paraId="64B8E658" w14:textId="63E02F63" w:rsidR="00676C73" w:rsidRDefault="00676C73" w:rsidP="00BF2985">
      <w:pPr>
        <w:pStyle w:val="Ttulo3"/>
        <w:spacing w:after="160"/>
      </w:pPr>
      <w:bookmarkStart w:id="58" w:name="_Toc235815382"/>
      <w:r>
        <w:lastRenderedPageBreak/>
        <w:t>Evaluación del sesgo de publicación</w:t>
      </w:r>
      <w:r w:rsidR="007F0150">
        <w:t xml:space="preserve"> de los estudios incluidos en el </w:t>
      </w:r>
      <w:proofErr w:type="spellStart"/>
      <w:r w:rsidR="00246BEA">
        <w:t>metanálisis</w:t>
      </w:r>
      <w:bookmarkEnd w:id="58"/>
      <w:proofErr w:type="spellEnd"/>
    </w:p>
    <w:p w14:paraId="21C6929C" w14:textId="77777777" w:rsidR="00BF2985" w:rsidRDefault="00BF2985" w:rsidP="00BF2985">
      <w:r>
        <w:t xml:space="preserve">El gráfico de embudo correspondiente al misoprostol sublingual mostró una distribución visualmente asimétrica (figura 5a). Las estimaciones con menor error estándar se concentraron hacia el extremo izquierdo, mientras que las de menor precisión se ubicaron más alejadas del eje central. La prueba de </w:t>
      </w:r>
      <w:proofErr w:type="spellStart"/>
      <w:r>
        <w:t>Egger</w:t>
      </w:r>
      <w:proofErr w:type="spellEnd"/>
      <w:r>
        <w:t xml:space="preserve"> presentó un intercepto de −6,682, con IC95% entre −12,226 y −1,137 y p = 0,031, mientras que la prueba de Begg produjo un tau de Kendall de −0,800 y p = 0,083. La diferencia entre los resultados de ambas pruebas reflejó su limitada estabilidad cuando se aplicaron a un conjunto reducido de estimaciones.</w:t>
      </w:r>
    </w:p>
    <w:p w14:paraId="632557F1" w14:textId="77777777" w:rsidR="00BF2985" w:rsidRDefault="00BF2985" w:rsidP="00BF2985">
      <w:r>
        <w:t xml:space="preserve">Aunque la prueba de </w:t>
      </w:r>
      <w:proofErr w:type="spellStart"/>
      <w:r>
        <w:t>Egger</w:t>
      </w:r>
      <w:proofErr w:type="spellEnd"/>
      <w:r>
        <w:t xml:space="preserve"> sugirió asimetría, el resultado debe interpretarse con precaución. El análisis incluyó únicamente cinco estimaciones y tres de ellas procedieron de diferentes grupos de dosis del mismo estudio, por lo que no constituyeron observaciones independientes. Esta dependencia pudo aumentar la concentración de puntos en una zona del gráfico e influir en la regresión. Además, las estimaciones presentaron diferencias en las dosis administradas, los comparadores y la definición del desenlace. En este contexto, la asimetría pudo relacionarse con heterogeneidad clínica, variaciones en el tamaño de las muestras, diferencias en la definición de la HPP o dependencia entre las estimaciones, y no necesariamente con sesgo de publicación.</w:t>
      </w:r>
    </w:p>
    <w:p w14:paraId="14380BA6" w14:textId="33536C0C" w:rsidR="007F0150" w:rsidRDefault="00BF2985" w:rsidP="00BF2985">
      <w:r>
        <w:t xml:space="preserve">El </w:t>
      </w:r>
      <w:proofErr w:type="spellStart"/>
      <w:r>
        <w:t>metanálisis</w:t>
      </w:r>
      <w:proofErr w:type="spellEnd"/>
      <w:r>
        <w:t xml:space="preserve"> de misoprostol oral incluyó solamente dos estudios, representados por puntos con diferencias importantes en precisión y proporción estimada (figura 5b). Este número fue insuficiente para valorar de manera confiable la forma del embudo o diferenciar una posible asimetría de la variabilidad entre estudios. Tampoco fue posible aplicar válidamente la prueba de </w:t>
      </w:r>
      <w:proofErr w:type="spellStart"/>
      <w:r>
        <w:t>Egger</w:t>
      </w:r>
      <w:proofErr w:type="spellEnd"/>
      <w:r>
        <w:t>, porque la regresión no dispuso de grados de libertad suficientes. Aunque la prueba de Begg produjo un tau de Kendall de −1,000 y p = 1,000, este resultado careció de capacidad diagnóstica con solo dos estudios. En consecuencia, no fue posible confirmar ni descartar sesgo de publicación para esta vía, y ambos gráficos fueron interpretados únicamente como análisis exploratorios.</w:t>
      </w:r>
    </w:p>
    <w:p w14:paraId="0FA301FD" w14:textId="007AF791" w:rsidR="00676C73" w:rsidRDefault="00676C73" w:rsidP="00676C73"/>
    <w:p w14:paraId="1353CC56" w14:textId="77777777" w:rsidR="00BF2985" w:rsidRDefault="00BF2985" w:rsidP="00676C73">
      <w:pPr>
        <w:sectPr w:rsidR="00BF2985" w:rsidSect="006F5322">
          <w:pgSz w:w="12240" w:h="15840"/>
          <w:pgMar w:top="1418" w:right="1701" w:bottom="1418" w:left="1701" w:header="709" w:footer="709" w:gutter="0"/>
          <w:cols w:space="708"/>
          <w:docGrid w:linePitch="360"/>
        </w:sectPr>
      </w:pPr>
    </w:p>
    <w:p w14:paraId="065DBE5A" w14:textId="77777777" w:rsidR="00BF2985" w:rsidRDefault="00BF2985" w:rsidP="00BF2985">
      <w:pPr>
        <w:pStyle w:val="Descripcin"/>
        <w:rPr>
          <w:szCs w:val="22"/>
        </w:rPr>
      </w:pPr>
      <w:bookmarkStart w:id="59" w:name="_Toc235815429"/>
      <w:r>
        <w:lastRenderedPageBreak/>
        <w:t xml:space="preserve">Figura </w:t>
      </w:r>
      <w:r>
        <w:fldChar w:fldCharType="begin"/>
      </w:r>
      <w:r>
        <w:instrText xml:space="preserve"> SEQ Figura \* ARABIC </w:instrText>
      </w:r>
      <w:r>
        <w:fldChar w:fldCharType="separate"/>
      </w:r>
      <w:r>
        <w:rPr>
          <w:noProof/>
        </w:rPr>
        <w:t>5</w:t>
      </w:r>
      <w:r>
        <w:fldChar w:fldCharType="end"/>
      </w:r>
      <w:r>
        <w:t xml:space="preserve">. Gráficos en embudo para la evaluación del posible sesgo de publicación en los </w:t>
      </w:r>
      <w:proofErr w:type="spellStart"/>
      <w:r>
        <w:t>metanálisis</w:t>
      </w:r>
      <w:proofErr w:type="spellEnd"/>
      <w:r>
        <w:t xml:space="preserve"> de proporciones de HPP con misoprostol sublingual y oral</w:t>
      </w:r>
      <w:bookmarkEnd w:id="59"/>
    </w:p>
    <w:p w14:paraId="555C30ED" w14:textId="77777777" w:rsidR="00BF2985" w:rsidRDefault="00BF2985" w:rsidP="00BF2985">
      <w:pPr>
        <w:jc w:val="center"/>
        <w:rPr>
          <w:sz w:val="22"/>
          <w:szCs w:val="22"/>
        </w:rPr>
      </w:pPr>
      <w:r>
        <w:rPr>
          <w:noProof/>
        </w:rPr>
        <mc:AlternateContent>
          <mc:Choice Requires="wps">
            <w:drawing>
              <wp:inline distT="0" distB="0" distL="0" distR="0" wp14:anchorId="0ECC9D14" wp14:editId="5AB2BC44">
                <wp:extent cx="304800" cy="304800"/>
                <wp:effectExtent l="0" t="0" r="0" b="0"/>
                <wp:docPr id="13" name="Rectángulo 13" descr="Análisis de funnel: Misoprostol sublingual y or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4A0171" id="Rectángulo 13" o:spid="_x0000_s1026" alt="Análisis de funnel: Misoprostol sublingual y or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UzjV&#10;BRcCAAADBAAADgAAAAAAAAAAAAAAAAAuAgAAZHJzL2Uyb0RvYy54bWxQSwECLQAUAAYACAAAACEA&#10;TKDpLNgAAAADAQAADwAAAAAAAAAAAAAAAABxBAAAZHJzL2Rvd25yZXYueG1sUEsFBgAAAAAEAAQA&#10;8wAAAHYFAAAAAA==&#10;" filled="f" stroked="f">
                <o:lock v:ext="edit" aspectratio="t"/>
                <w10:anchorlock/>
              </v:rect>
            </w:pict>
          </mc:Fallback>
        </mc:AlternateContent>
      </w:r>
      <w:r>
        <w:rPr>
          <w:noProof/>
          <w:sz w:val="22"/>
          <w:szCs w:val="22"/>
        </w:rPr>
        <w:drawing>
          <wp:inline distT="0" distB="0" distL="0" distR="0" wp14:anchorId="15ED58CB" wp14:editId="4D74204A">
            <wp:extent cx="6382730" cy="3592195"/>
            <wp:effectExtent l="0" t="0" r="0"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001" cy="3605855"/>
                    </a:xfrm>
                    <a:prstGeom prst="rect">
                      <a:avLst/>
                    </a:prstGeom>
                    <a:noFill/>
                  </pic:spPr>
                </pic:pic>
              </a:graphicData>
            </a:graphic>
          </wp:inline>
        </w:drawing>
      </w:r>
    </w:p>
    <w:p w14:paraId="14FBDB33" w14:textId="36A31613" w:rsidR="00BF2985" w:rsidRDefault="00BF2985" w:rsidP="00676C73">
      <w:r w:rsidRPr="009F3049">
        <w:rPr>
          <w:sz w:val="18"/>
          <w:szCs w:val="18"/>
        </w:rPr>
        <w:t xml:space="preserve">Nota. En el </w:t>
      </w:r>
      <w:proofErr w:type="spellStart"/>
      <w:r w:rsidRPr="009F3049">
        <w:rPr>
          <w:sz w:val="18"/>
          <w:szCs w:val="18"/>
        </w:rPr>
        <w:t>metanálisis</w:t>
      </w:r>
      <w:proofErr w:type="spellEnd"/>
      <w:r w:rsidRPr="009F3049">
        <w:rPr>
          <w:sz w:val="18"/>
          <w:szCs w:val="18"/>
        </w:rPr>
        <w:t xml:space="preserve"> de misoprostol sublingual, la inspección visual muestra una distribución marcadamente asimétrica. En un análisis exploratorio, considerando las cinco estimaciones representadas como observaciones independientes, la prueba de </w:t>
      </w:r>
      <w:proofErr w:type="spellStart"/>
      <w:r w:rsidRPr="009F3049">
        <w:rPr>
          <w:sz w:val="18"/>
          <w:szCs w:val="18"/>
        </w:rPr>
        <w:t>Egger</w:t>
      </w:r>
      <w:proofErr w:type="spellEnd"/>
      <w:r w:rsidRPr="009F3049">
        <w:rPr>
          <w:sz w:val="18"/>
          <w:szCs w:val="18"/>
        </w:rPr>
        <w:t xml:space="preserve"> mostró un intercepto de -6,682, con IC95% de -12,226 a -1,137 y p = 0,031. La prueba de Begg produjo un tau de Kendall de -0,800 y p = 0,083. Estos resultados sugieren posible asimetría; sin embargo, deben interpretarse con mucha cautela porque el análisis contiene pocas estimaciones y tres de ellas proceden de distintos grupos de dosis del mismo estudio de Sarabia Salazar et al., por lo que no son observaciones independientes. En el </w:t>
      </w:r>
      <w:proofErr w:type="spellStart"/>
      <w:r w:rsidRPr="009F3049">
        <w:rPr>
          <w:sz w:val="18"/>
          <w:szCs w:val="18"/>
        </w:rPr>
        <w:t>metanálisis</w:t>
      </w:r>
      <w:proofErr w:type="spellEnd"/>
      <w:r w:rsidRPr="009F3049">
        <w:rPr>
          <w:sz w:val="18"/>
          <w:szCs w:val="18"/>
        </w:rPr>
        <w:t xml:space="preserve"> de misoprostol oral solo se incluyeron dos estudios. Con este número no es posible estimar válidamente la prueba de </w:t>
      </w:r>
      <w:proofErr w:type="spellStart"/>
      <w:r w:rsidRPr="009F3049">
        <w:rPr>
          <w:sz w:val="18"/>
          <w:szCs w:val="18"/>
        </w:rPr>
        <w:t>Egger</w:t>
      </w:r>
      <w:proofErr w:type="spellEnd"/>
      <w:r w:rsidRPr="009F3049">
        <w:rPr>
          <w:sz w:val="18"/>
          <w:szCs w:val="18"/>
        </w:rPr>
        <w:t>, porque la regresión no dispone de grados de libertad suficientes. La prueba de Begg produjo un tau de Kendall de -1,000 y p = 1,000, pero este resultado carece de capacidad diagnóstica con solo dos estudios. En consecuencia, el gráfico en embudo del misoprostol oral no permite establecer ni descartar sesgo de publicación.</w:t>
      </w:r>
    </w:p>
    <w:p w14:paraId="01552988" w14:textId="77777777" w:rsidR="00BF2985" w:rsidRDefault="00BF2985" w:rsidP="00676C73">
      <w:pPr>
        <w:sectPr w:rsidR="00BF2985" w:rsidSect="00BF2985">
          <w:pgSz w:w="15840" w:h="12240" w:orient="landscape"/>
          <w:pgMar w:top="1701" w:right="1418" w:bottom="1701" w:left="1418" w:header="709" w:footer="709" w:gutter="0"/>
          <w:cols w:space="708"/>
          <w:docGrid w:linePitch="360"/>
        </w:sectPr>
      </w:pPr>
    </w:p>
    <w:p w14:paraId="7B8FF43D" w14:textId="7AC26BA6" w:rsidR="00676C73" w:rsidRDefault="00676C73" w:rsidP="007F0150">
      <w:pPr>
        <w:pStyle w:val="Ttulo2"/>
      </w:pPr>
      <w:bookmarkStart w:id="60" w:name="_Toc235815383"/>
      <w:r>
        <w:lastRenderedPageBreak/>
        <w:t>Seguridad del misoprostol sublingual y oral</w:t>
      </w:r>
      <w:bookmarkEnd w:id="60"/>
    </w:p>
    <w:p w14:paraId="120A5093" w14:textId="08B31397" w:rsidR="00676C73" w:rsidRDefault="00676C73" w:rsidP="00676C73">
      <w:r>
        <w:t>La información de seguridad fue reportada de manera variable entre los estudios</w:t>
      </w:r>
      <w:r w:rsidR="007F0150">
        <w:t xml:space="preserve"> (ver tabla 8)</w:t>
      </w:r>
      <w:r>
        <w:t>. Las reacciones adversas más frecuentes asociadas al misoprostol sublingual fueron fiebre, escalofríos o temblores, náuseas, vómitos, mareos y evacuaciones líquidas.</w:t>
      </w:r>
    </w:p>
    <w:p w14:paraId="14F89244" w14:textId="4AE0BFDF" w:rsidR="00676C73" w:rsidRDefault="00676C73" w:rsidP="00676C73">
      <w:r>
        <w:t>Alva et al. informaron una elevada frecuencia de fiebre y escalofríos con misoprostol sublingual de 200 microgramos, mientras que estas manifestaciones fueron menos frecuentes con la vía oral. Sandoval et al. reportaron al menos una reacción adversa en 76,5% de las mujeres tratadas con misoprostol sublingual, predominando los escalofríos. Por el contrario, Angarita Peñaranda et al. registraron únicamente un caso de escalofríos entre 40 participantes</w:t>
      </w:r>
      <w:r w:rsidR="007F0150">
        <w:t xml:space="preserve"> (tabla 8)</w:t>
      </w:r>
      <w:r>
        <w:t>.</w:t>
      </w:r>
    </w:p>
    <w:p w14:paraId="6C7EE0D4" w14:textId="75F20272" w:rsidR="00676C73" w:rsidRDefault="00676C73" w:rsidP="00676C73">
      <w:r>
        <w:t>En Sarabia Salazar et al., las reacciones adversas ocurrieron en menos del 5% de cada grupo. Las náuseas fueron más frecuentes con 400 microgramos, mientras que los vómitos presentaron su mayor proporción con 600 microgramos. No se observaron diferencias estadísticamente significativas entre las dosis</w:t>
      </w:r>
      <w:r w:rsidR="007F0150">
        <w:t xml:space="preserve"> (tabla 8).</w:t>
      </w:r>
    </w:p>
    <w:p w14:paraId="1B2FE01C" w14:textId="457016CB" w:rsidR="00676C73" w:rsidRDefault="00676C73" w:rsidP="00676C73">
      <w:r>
        <w:t xml:space="preserve">En los estudios de administración oral, </w:t>
      </w:r>
      <w:proofErr w:type="spellStart"/>
      <w:r>
        <w:t>Gülmezoglu</w:t>
      </w:r>
      <w:proofErr w:type="spellEnd"/>
      <w:r>
        <w:t xml:space="preserve"> et al. informaron mayor frecuencia de escalofríos, elevación de la temperatura, náuseas, vómitos y diarrea con misoprostol que con oxitocina. También se registraron cinco casos de temperatura superior a 40 grados C. Morgan Ortiz et al. notificaron incremento transitorio de la temperatura corporal en cuatro de 200 mujeres</w:t>
      </w:r>
      <w:r w:rsidR="007F0150">
        <w:t xml:space="preserve"> (tabla 8).</w:t>
      </w:r>
    </w:p>
    <w:p w14:paraId="056E5E85" w14:textId="74E4BBDE" w:rsidR="00D44AED" w:rsidRDefault="00676C73" w:rsidP="00676C73">
      <w:r>
        <w:t>No se reportaron complicaciones graves atribuidas al misoprostol en la mayoría de los estudios. Falcón Condezo no evaluó ni presentó información sobre reacciones adversas, lo que limitó su contribución al análisis de seguridad</w:t>
      </w:r>
      <w:r w:rsidR="007F0150">
        <w:t xml:space="preserve"> (tabla 8).</w:t>
      </w:r>
    </w:p>
    <w:p w14:paraId="06082EE9" w14:textId="02FC6369" w:rsidR="007F0150" w:rsidRDefault="007F0150" w:rsidP="00676C73"/>
    <w:p w14:paraId="277E608E" w14:textId="5D2B8C94" w:rsidR="007F0150" w:rsidRDefault="007F0150" w:rsidP="00676C73"/>
    <w:p w14:paraId="6ABCE733" w14:textId="78BECF6F" w:rsidR="007F0150" w:rsidRDefault="007F0150" w:rsidP="00676C73"/>
    <w:p w14:paraId="4B28BED3" w14:textId="1FBCF1F3" w:rsidR="007F0150" w:rsidRDefault="007F0150" w:rsidP="00676C73"/>
    <w:p w14:paraId="2E9AC9ED" w14:textId="6E30CD82" w:rsidR="007F0150" w:rsidRDefault="007F0150" w:rsidP="00676C73"/>
    <w:p w14:paraId="2DAC9AD0" w14:textId="77777777" w:rsidR="005A62E0" w:rsidRDefault="005A62E0" w:rsidP="005A62E0">
      <w:pPr>
        <w:pStyle w:val="Descripcin"/>
        <w:rPr>
          <w:sz w:val="18"/>
        </w:rPr>
      </w:pPr>
      <w:bookmarkStart w:id="61" w:name="_Toc235815416"/>
      <w:r>
        <w:lastRenderedPageBreak/>
        <w:t xml:space="preserve">Tabla </w:t>
      </w:r>
      <w:r>
        <w:fldChar w:fldCharType="begin"/>
      </w:r>
      <w:r>
        <w:instrText xml:space="preserve"> SEQ Tabla \* ARABIC </w:instrText>
      </w:r>
      <w:r>
        <w:fldChar w:fldCharType="separate"/>
      </w:r>
      <w:r>
        <w:rPr>
          <w:noProof/>
        </w:rPr>
        <w:t>8</w:t>
      </w:r>
      <w:r>
        <w:fldChar w:fldCharType="end"/>
      </w:r>
      <w:r>
        <w:t>. Reacciones adversas y complicaciones asociadas al uso de misoprostol sublingual y oral</w:t>
      </w:r>
      <w:bookmarkEnd w:id="61"/>
    </w:p>
    <w:tbl>
      <w:tblPr>
        <w:tblStyle w:val="Tablaconcuadrcula"/>
        <w:tblW w:w="0" w:type="auto"/>
        <w:tblLook w:val="04A0" w:firstRow="1" w:lastRow="0" w:firstColumn="1" w:lastColumn="0" w:noHBand="0" w:noVBand="1"/>
      </w:tblPr>
      <w:tblGrid>
        <w:gridCol w:w="2168"/>
        <w:gridCol w:w="1496"/>
        <w:gridCol w:w="2583"/>
        <w:gridCol w:w="2581"/>
      </w:tblGrid>
      <w:tr w:rsidR="005A62E0" w:rsidRPr="00035780" w14:paraId="160B78FE" w14:textId="77777777" w:rsidTr="00905AD4">
        <w:tc>
          <w:tcPr>
            <w:tcW w:w="3256" w:type="dxa"/>
            <w:shd w:val="clear" w:color="auto" w:fill="D5DCE4" w:themeFill="text2" w:themeFillTint="33"/>
            <w:hideMark/>
          </w:tcPr>
          <w:p w14:paraId="51BBE86A" w14:textId="77777777" w:rsidR="005A62E0" w:rsidRPr="00035780" w:rsidRDefault="005A62E0" w:rsidP="00905AD4">
            <w:pPr>
              <w:jc w:val="center"/>
              <w:rPr>
                <w:rFonts w:eastAsia="Times New Roman" w:cs="Times New Roman"/>
                <w:b/>
                <w:bCs/>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Estudio</w:t>
            </w:r>
          </w:p>
        </w:tc>
        <w:tc>
          <w:tcPr>
            <w:tcW w:w="1984" w:type="dxa"/>
            <w:shd w:val="clear" w:color="auto" w:fill="D5DCE4" w:themeFill="text2" w:themeFillTint="33"/>
            <w:hideMark/>
          </w:tcPr>
          <w:p w14:paraId="30D015F5" w14:textId="77777777" w:rsidR="005A62E0" w:rsidRPr="00035780" w:rsidRDefault="005A62E0" w:rsidP="00905AD4">
            <w:pPr>
              <w:jc w:val="center"/>
              <w:rPr>
                <w:rFonts w:eastAsia="Times New Roman" w:cs="Times New Roman"/>
                <w:b/>
                <w:bCs/>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Vía y dosis</w:t>
            </w:r>
          </w:p>
        </w:tc>
        <w:tc>
          <w:tcPr>
            <w:tcW w:w="3969" w:type="dxa"/>
            <w:shd w:val="clear" w:color="auto" w:fill="D5DCE4" w:themeFill="text2" w:themeFillTint="33"/>
            <w:hideMark/>
          </w:tcPr>
          <w:p w14:paraId="39E71D9D" w14:textId="77777777" w:rsidR="005A62E0" w:rsidRPr="00035780" w:rsidRDefault="005A62E0" w:rsidP="00905AD4">
            <w:pPr>
              <w:jc w:val="center"/>
              <w:rPr>
                <w:rFonts w:eastAsia="Times New Roman" w:cs="Times New Roman"/>
                <w:b/>
                <w:bCs/>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Reacciones adversas al medicamento, n/N (%)</w:t>
            </w:r>
          </w:p>
        </w:tc>
        <w:tc>
          <w:tcPr>
            <w:tcW w:w="3787" w:type="dxa"/>
            <w:shd w:val="clear" w:color="auto" w:fill="D5DCE4" w:themeFill="text2" w:themeFillTint="33"/>
            <w:hideMark/>
          </w:tcPr>
          <w:p w14:paraId="7267E00E" w14:textId="77777777" w:rsidR="005A62E0" w:rsidRPr="00035780" w:rsidRDefault="005A62E0" w:rsidP="00905AD4">
            <w:pPr>
              <w:jc w:val="center"/>
              <w:rPr>
                <w:rFonts w:eastAsia="Times New Roman" w:cs="Times New Roman"/>
                <w:b/>
                <w:bCs/>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Complicaciones atribuidas al medicamento</w:t>
            </w:r>
          </w:p>
        </w:tc>
      </w:tr>
      <w:tr w:rsidR="005A62E0" w:rsidRPr="00035780" w14:paraId="52616241" w14:textId="77777777" w:rsidTr="00905AD4">
        <w:tc>
          <w:tcPr>
            <w:tcW w:w="3256" w:type="dxa"/>
            <w:hideMark/>
          </w:tcPr>
          <w:p w14:paraId="512D5E25"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Alva et al. (2000)</w:t>
            </w:r>
          </w:p>
        </w:tc>
        <w:tc>
          <w:tcPr>
            <w:tcW w:w="1984" w:type="dxa"/>
            <w:hideMark/>
          </w:tcPr>
          <w:p w14:paraId="5481A248"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Sublingual 200 µg vs. oral 200 µg</w:t>
            </w:r>
          </w:p>
        </w:tc>
        <w:tc>
          <w:tcPr>
            <w:tcW w:w="3969" w:type="dxa"/>
            <w:hideMark/>
          </w:tcPr>
          <w:p w14:paraId="0C3B9321"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Sublingual:</w:t>
            </w:r>
            <w:r w:rsidRPr="00035780">
              <w:rPr>
                <w:rFonts w:eastAsia="Times New Roman" w:cs="Times New Roman"/>
                <w:kern w:val="0"/>
                <w:sz w:val="20"/>
                <w:szCs w:val="20"/>
                <w:lang w:val="es-ES" w:eastAsia="es-ES"/>
                <w14:ligatures w14:val="none"/>
              </w:rPr>
              <w:t xml:space="preserve"> fiebre, 38/39 (97,4%); escalofríos, 33/39 (84,6%). </w:t>
            </w:r>
            <w:r w:rsidRPr="00035780">
              <w:rPr>
                <w:rFonts w:eastAsia="Times New Roman" w:cs="Times New Roman"/>
                <w:b/>
                <w:bCs/>
                <w:kern w:val="0"/>
                <w:sz w:val="20"/>
                <w:szCs w:val="20"/>
                <w:lang w:val="es-ES" w:eastAsia="es-ES"/>
                <w14:ligatures w14:val="none"/>
              </w:rPr>
              <w:t>Oral:</w:t>
            </w:r>
            <w:r w:rsidRPr="00035780">
              <w:rPr>
                <w:rFonts w:eastAsia="Times New Roman" w:cs="Times New Roman"/>
                <w:kern w:val="0"/>
                <w:sz w:val="20"/>
                <w:szCs w:val="20"/>
                <w:lang w:val="es-ES" w:eastAsia="es-ES"/>
                <w14:ligatures w14:val="none"/>
              </w:rPr>
              <w:t xml:space="preserve"> escalofríos, 2/39 (5,1%). Vómitos y diarrea, 0/39 (0%) en ambos grupos.</w:t>
            </w:r>
          </w:p>
        </w:tc>
        <w:tc>
          <w:tcPr>
            <w:tcW w:w="3787" w:type="dxa"/>
            <w:hideMark/>
          </w:tcPr>
          <w:p w14:paraId="64880CD6"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No se reportaron complicaciones graves atribuidas al misoprostol. Las reacciones observadas fueron transitorias.</w:t>
            </w:r>
          </w:p>
        </w:tc>
      </w:tr>
      <w:tr w:rsidR="005A62E0" w:rsidRPr="00035780" w14:paraId="2ABE2607" w14:textId="77777777" w:rsidTr="00905AD4">
        <w:tc>
          <w:tcPr>
            <w:tcW w:w="3256" w:type="dxa"/>
            <w:hideMark/>
          </w:tcPr>
          <w:p w14:paraId="7D0342C2"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Angarita Peñaranda et al. (2003)</w:t>
            </w:r>
          </w:p>
        </w:tc>
        <w:tc>
          <w:tcPr>
            <w:tcW w:w="1984" w:type="dxa"/>
            <w:hideMark/>
          </w:tcPr>
          <w:p w14:paraId="012502F1"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Sublingual 100 µg</w:t>
            </w:r>
          </w:p>
        </w:tc>
        <w:tc>
          <w:tcPr>
            <w:tcW w:w="3969" w:type="dxa"/>
            <w:hideMark/>
          </w:tcPr>
          <w:p w14:paraId="03EE91C6"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Escalofríos, 1/40 (2,5%); vómitos, 0/40 (0%).</w:t>
            </w:r>
          </w:p>
        </w:tc>
        <w:tc>
          <w:tcPr>
            <w:tcW w:w="3787" w:type="dxa"/>
            <w:hideMark/>
          </w:tcPr>
          <w:p w14:paraId="725B1193"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No se reportaron complicaciones atribuidas al medicamento. Los signos vitales fueron similares a los del grupo placebo.</w:t>
            </w:r>
          </w:p>
        </w:tc>
      </w:tr>
      <w:tr w:rsidR="005A62E0" w:rsidRPr="00035780" w14:paraId="5CE95DB0" w14:textId="77777777" w:rsidTr="00905AD4">
        <w:tc>
          <w:tcPr>
            <w:tcW w:w="3256" w:type="dxa"/>
            <w:hideMark/>
          </w:tcPr>
          <w:p w14:paraId="5BC5AB3D"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Falcón Condezo (2015)</w:t>
            </w:r>
          </w:p>
        </w:tc>
        <w:tc>
          <w:tcPr>
            <w:tcW w:w="1984" w:type="dxa"/>
            <w:hideMark/>
          </w:tcPr>
          <w:p w14:paraId="4947350D"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Sublingual 100 µg</w:t>
            </w:r>
          </w:p>
        </w:tc>
        <w:tc>
          <w:tcPr>
            <w:tcW w:w="3969" w:type="dxa"/>
            <w:hideMark/>
          </w:tcPr>
          <w:p w14:paraId="4BCB1128"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No evaluadas o no reportadas.</w:t>
            </w:r>
          </w:p>
        </w:tc>
        <w:tc>
          <w:tcPr>
            <w:tcW w:w="3787" w:type="dxa"/>
            <w:hideMark/>
          </w:tcPr>
          <w:p w14:paraId="485E18C7"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No evaluadas o no reportadas.</w:t>
            </w:r>
          </w:p>
        </w:tc>
      </w:tr>
      <w:tr w:rsidR="005A62E0" w:rsidRPr="00035780" w14:paraId="1401704B" w14:textId="77777777" w:rsidTr="00905AD4">
        <w:tc>
          <w:tcPr>
            <w:tcW w:w="3256" w:type="dxa"/>
            <w:hideMark/>
          </w:tcPr>
          <w:p w14:paraId="7FBC0924"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Sandoval et al. (2004)</w:t>
            </w:r>
          </w:p>
        </w:tc>
        <w:tc>
          <w:tcPr>
            <w:tcW w:w="1984" w:type="dxa"/>
            <w:hideMark/>
          </w:tcPr>
          <w:p w14:paraId="6BB7B2F8"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Sublingual 200 µg</w:t>
            </w:r>
          </w:p>
        </w:tc>
        <w:tc>
          <w:tcPr>
            <w:tcW w:w="3969" w:type="dxa"/>
            <w:hideMark/>
          </w:tcPr>
          <w:p w14:paraId="0159CEE8"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Al menos una reacción adversa, 52/68 (76,5%); escalofríos, 52/68 (76,5%); fiebre, 3/68 (4,4%); mareos, 2/68 (2,9%).</w:t>
            </w:r>
          </w:p>
        </w:tc>
        <w:tc>
          <w:tcPr>
            <w:tcW w:w="3787" w:type="dxa"/>
            <w:hideMark/>
          </w:tcPr>
          <w:p w14:paraId="6D6342AA"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No se reportaron complicaciones graves atribuidas al medicamento.</w:t>
            </w:r>
          </w:p>
        </w:tc>
      </w:tr>
      <w:tr w:rsidR="005A62E0" w:rsidRPr="00035780" w14:paraId="5C3FB828" w14:textId="77777777" w:rsidTr="00905AD4">
        <w:tc>
          <w:tcPr>
            <w:tcW w:w="3256" w:type="dxa"/>
            <w:hideMark/>
          </w:tcPr>
          <w:p w14:paraId="163DA7EB"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Sarabia Salazar et al. (2015), 200 µg</w:t>
            </w:r>
          </w:p>
        </w:tc>
        <w:tc>
          <w:tcPr>
            <w:tcW w:w="1984" w:type="dxa"/>
            <w:hideMark/>
          </w:tcPr>
          <w:p w14:paraId="565F9E76"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Sublingual 200 µg</w:t>
            </w:r>
          </w:p>
        </w:tc>
        <w:tc>
          <w:tcPr>
            <w:tcW w:w="3969" w:type="dxa"/>
            <w:hideMark/>
          </w:tcPr>
          <w:p w14:paraId="2D4F08A2"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Temblores, 5/120 (4,2%); fiebre, 1/120 (0,8%); vómitos, 2/120 (1,7%); náuseas, 3/120 (2,5%); evacuaciones líquidas, 0/120 (0%).</w:t>
            </w:r>
          </w:p>
        </w:tc>
        <w:tc>
          <w:tcPr>
            <w:tcW w:w="3787" w:type="dxa"/>
            <w:hideMark/>
          </w:tcPr>
          <w:p w14:paraId="4C0AFAAE"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No se reportaron complicaciones atribuidas al medicamento.</w:t>
            </w:r>
          </w:p>
        </w:tc>
      </w:tr>
      <w:tr w:rsidR="005A62E0" w:rsidRPr="00035780" w14:paraId="37C354A6" w14:textId="77777777" w:rsidTr="00905AD4">
        <w:tc>
          <w:tcPr>
            <w:tcW w:w="3256" w:type="dxa"/>
            <w:hideMark/>
          </w:tcPr>
          <w:p w14:paraId="1388B34C"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Sarabia Salazar et al. (2015), 400 µg</w:t>
            </w:r>
          </w:p>
        </w:tc>
        <w:tc>
          <w:tcPr>
            <w:tcW w:w="1984" w:type="dxa"/>
            <w:hideMark/>
          </w:tcPr>
          <w:p w14:paraId="7E531923"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Sublingual 400 µg</w:t>
            </w:r>
          </w:p>
        </w:tc>
        <w:tc>
          <w:tcPr>
            <w:tcW w:w="3969" w:type="dxa"/>
            <w:hideMark/>
          </w:tcPr>
          <w:p w14:paraId="54F84C33"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Temblores, 2/120 (1,7%); fiebre, 0/120 (0%); vómitos, 3/120 (2,5%); náuseas, 6/120 (5,0%); evacuaciones líquidas, 2/120 (1,7%).</w:t>
            </w:r>
          </w:p>
        </w:tc>
        <w:tc>
          <w:tcPr>
            <w:tcW w:w="3787" w:type="dxa"/>
            <w:hideMark/>
          </w:tcPr>
          <w:p w14:paraId="54901D5D"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No se reportaron complicaciones atribuidas al medicamento.</w:t>
            </w:r>
          </w:p>
        </w:tc>
      </w:tr>
      <w:tr w:rsidR="005A62E0" w:rsidRPr="00035780" w14:paraId="596601C1" w14:textId="77777777" w:rsidTr="00905AD4">
        <w:tc>
          <w:tcPr>
            <w:tcW w:w="3256" w:type="dxa"/>
            <w:hideMark/>
          </w:tcPr>
          <w:p w14:paraId="5B93324E"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Sarabia Salazar et al. (2015), 600 µg</w:t>
            </w:r>
          </w:p>
        </w:tc>
        <w:tc>
          <w:tcPr>
            <w:tcW w:w="1984" w:type="dxa"/>
            <w:hideMark/>
          </w:tcPr>
          <w:p w14:paraId="38FDB78C"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Sublingual 600 µg</w:t>
            </w:r>
          </w:p>
        </w:tc>
        <w:tc>
          <w:tcPr>
            <w:tcW w:w="3969" w:type="dxa"/>
            <w:hideMark/>
          </w:tcPr>
          <w:p w14:paraId="78774E32"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 xml:space="preserve">Temblores, 2/110 (1,8%); fiebre, 1/110 (0,9%); vómitos, 4/110 (3,6%); náuseas, 4/110 (3,6%); </w:t>
            </w:r>
            <w:r w:rsidRPr="00035780">
              <w:rPr>
                <w:rFonts w:eastAsia="Times New Roman" w:cs="Times New Roman"/>
                <w:kern w:val="0"/>
                <w:sz w:val="20"/>
                <w:szCs w:val="20"/>
                <w:lang w:val="es-ES" w:eastAsia="es-ES"/>
                <w14:ligatures w14:val="none"/>
              </w:rPr>
              <w:lastRenderedPageBreak/>
              <w:t>evacuaciones líquidas, 2/110 (1,8%); otras reacciones, 1/110 (0,9%).</w:t>
            </w:r>
          </w:p>
        </w:tc>
        <w:tc>
          <w:tcPr>
            <w:tcW w:w="3787" w:type="dxa"/>
            <w:hideMark/>
          </w:tcPr>
          <w:p w14:paraId="13FFDA4A"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lastRenderedPageBreak/>
              <w:t>No se reportaron complicaciones atribuidas al medicamento.</w:t>
            </w:r>
          </w:p>
        </w:tc>
      </w:tr>
      <w:tr w:rsidR="005A62E0" w:rsidRPr="00035780" w14:paraId="4564F784" w14:textId="77777777" w:rsidTr="00905AD4">
        <w:tc>
          <w:tcPr>
            <w:tcW w:w="3256" w:type="dxa"/>
            <w:hideMark/>
          </w:tcPr>
          <w:p w14:paraId="395E1DC8" w14:textId="77777777" w:rsidR="005A62E0" w:rsidRPr="00035780" w:rsidRDefault="005A62E0" w:rsidP="00905AD4">
            <w:pPr>
              <w:jc w:val="left"/>
              <w:rPr>
                <w:rFonts w:eastAsia="Times New Roman" w:cs="Times New Roman"/>
                <w:kern w:val="0"/>
                <w:sz w:val="20"/>
                <w:szCs w:val="20"/>
                <w:lang w:val="es-ES" w:eastAsia="es-ES"/>
                <w14:ligatures w14:val="none"/>
              </w:rPr>
            </w:pPr>
            <w:proofErr w:type="spellStart"/>
            <w:r w:rsidRPr="00035780">
              <w:rPr>
                <w:rFonts w:eastAsia="Times New Roman" w:cs="Times New Roman"/>
                <w:b/>
                <w:bCs/>
                <w:kern w:val="0"/>
                <w:sz w:val="20"/>
                <w:szCs w:val="20"/>
                <w:lang w:val="es-ES" w:eastAsia="es-ES"/>
                <w14:ligatures w14:val="none"/>
              </w:rPr>
              <w:t>Gülmezoglu</w:t>
            </w:r>
            <w:proofErr w:type="spellEnd"/>
            <w:r w:rsidRPr="00035780">
              <w:rPr>
                <w:rFonts w:eastAsia="Times New Roman" w:cs="Times New Roman"/>
                <w:b/>
                <w:bCs/>
                <w:kern w:val="0"/>
                <w:sz w:val="20"/>
                <w:szCs w:val="20"/>
                <w:lang w:val="es-ES" w:eastAsia="es-ES"/>
                <w14:ligatures w14:val="none"/>
              </w:rPr>
              <w:t xml:space="preserve"> et al. (2001)</w:t>
            </w:r>
          </w:p>
        </w:tc>
        <w:tc>
          <w:tcPr>
            <w:tcW w:w="1984" w:type="dxa"/>
            <w:hideMark/>
          </w:tcPr>
          <w:p w14:paraId="6AA9653C"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Oral 600 µg</w:t>
            </w:r>
          </w:p>
        </w:tc>
        <w:tc>
          <w:tcPr>
            <w:tcW w:w="3969" w:type="dxa"/>
            <w:hideMark/>
          </w:tcPr>
          <w:p w14:paraId="7F9D97FE"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Escalofríos, 1620/9227 (17,6%); escalofríos intensos, 120/9227 (1,3%); temperatura mayor de 38 grados C, 559/9198 (6,1%); náuseas, 77/9227 (0,8%); vómitos, 66/9227 (0,7%); diarrea, 35/9227 (0,4%).</w:t>
            </w:r>
          </w:p>
        </w:tc>
        <w:tc>
          <w:tcPr>
            <w:tcW w:w="3787" w:type="dxa"/>
            <w:hideMark/>
          </w:tcPr>
          <w:p w14:paraId="5BDCEC60"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Hiperpirexia, definida como temperatura mayor de 40 grados C: 5/9198 (0,05%). No se reportaron casos en el grupo de oxitocina. Los datos corresponden al ensayo multicéntrico completo y no exclusivamente al centro argentino.</w:t>
            </w:r>
          </w:p>
        </w:tc>
      </w:tr>
      <w:tr w:rsidR="005A62E0" w:rsidRPr="00035780" w14:paraId="3F7A6BFF" w14:textId="77777777" w:rsidTr="00905AD4">
        <w:tc>
          <w:tcPr>
            <w:tcW w:w="3256" w:type="dxa"/>
            <w:hideMark/>
          </w:tcPr>
          <w:p w14:paraId="4D785839"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b/>
                <w:bCs/>
                <w:kern w:val="0"/>
                <w:sz w:val="20"/>
                <w:szCs w:val="20"/>
                <w:lang w:val="es-ES" w:eastAsia="es-ES"/>
                <w14:ligatures w14:val="none"/>
              </w:rPr>
              <w:t>Morgan Ortiz et al. (2004)</w:t>
            </w:r>
          </w:p>
        </w:tc>
        <w:tc>
          <w:tcPr>
            <w:tcW w:w="1984" w:type="dxa"/>
            <w:hideMark/>
          </w:tcPr>
          <w:p w14:paraId="1CDD514F"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Oral 400 µg</w:t>
            </w:r>
          </w:p>
        </w:tc>
        <w:tc>
          <w:tcPr>
            <w:tcW w:w="3969" w:type="dxa"/>
            <w:hideMark/>
          </w:tcPr>
          <w:p w14:paraId="71850BED"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Incremento de la temperatura corporal o hipertermia, 4/200 (2,0%).</w:t>
            </w:r>
          </w:p>
        </w:tc>
        <w:tc>
          <w:tcPr>
            <w:tcW w:w="3787" w:type="dxa"/>
            <w:hideMark/>
          </w:tcPr>
          <w:p w14:paraId="18278733" w14:textId="77777777" w:rsidR="005A62E0" w:rsidRPr="00035780" w:rsidRDefault="005A62E0" w:rsidP="00905AD4">
            <w:pPr>
              <w:jc w:val="left"/>
              <w:rPr>
                <w:rFonts w:eastAsia="Times New Roman" w:cs="Times New Roman"/>
                <w:kern w:val="0"/>
                <w:sz w:val="20"/>
                <w:szCs w:val="20"/>
                <w:lang w:val="es-ES" w:eastAsia="es-ES"/>
                <w14:ligatures w14:val="none"/>
              </w:rPr>
            </w:pPr>
            <w:r w:rsidRPr="00035780">
              <w:rPr>
                <w:rFonts w:eastAsia="Times New Roman" w:cs="Times New Roman"/>
                <w:kern w:val="0"/>
                <w:sz w:val="20"/>
                <w:szCs w:val="20"/>
                <w:lang w:val="es-ES" w:eastAsia="es-ES"/>
                <w14:ligatures w14:val="none"/>
              </w:rPr>
              <w:t>No se reportaron complicaciones atribuidas al medicamento. La hipertermia cedió durante las primeras seis horas posparto.</w:t>
            </w:r>
          </w:p>
        </w:tc>
      </w:tr>
    </w:tbl>
    <w:p w14:paraId="568DDF84" w14:textId="77777777" w:rsidR="005A62E0" w:rsidRDefault="005A62E0" w:rsidP="005A62E0">
      <w:pPr>
        <w:rPr>
          <w:sz w:val="16"/>
          <w:szCs w:val="16"/>
        </w:rPr>
      </w:pPr>
      <w:r w:rsidRPr="006C2BB4">
        <w:rPr>
          <w:rStyle w:val="Textoennegrita"/>
          <w:sz w:val="16"/>
          <w:szCs w:val="16"/>
        </w:rPr>
        <w:t>Nota.</w:t>
      </w:r>
      <w:r w:rsidRPr="006C2BB4">
        <w:rPr>
          <w:sz w:val="16"/>
          <w:szCs w:val="16"/>
        </w:rPr>
        <w:t xml:space="preserve"> Las reacciones adversas al medicamento se presentan exclusivamente como número de participantes con el evento sobre el total del grupo y porcentaje. La columna de complicaciones incluye únicamente acontecimientos que los autores asociaron al uso del misoprostol; no se incluyeron la hemorragia posparto, la atonía o hipotonía uterina, la retención placentaria, la necesidad de uterotónicos adicionales ni otros desenlaces obstétricos de eficacia. En algunos estudios una participante pudo presentar más de una reacción adversa, por lo que la suma de los eventos individuales puede superar el número de mujeres con al menos una reacción.</w:t>
      </w:r>
    </w:p>
    <w:p w14:paraId="6148F22E" w14:textId="658EF58E" w:rsidR="005A62E0" w:rsidRDefault="005A62E0" w:rsidP="00676C73"/>
    <w:p w14:paraId="386F31A3" w14:textId="5C98A8E4" w:rsidR="005A62E0" w:rsidRDefault="005A62E0" w:rsidP="00676C73"/>
    <w:p w14:paraId="67940CAA" w14:textId="7AE812F0" w:rsidR="005A62E0" w:rsidRDefault="005A62E0" w:rsidP="00676C73"/>
    <w:p w14:paraId="342B734E" w14:textId="2FC46654" w:rsidR="005A62E0" w:rsidRDefault="005A62E0" w:rsidP="00676C73"/>
    <w:p w14:paraId="1C966B2D" w14:textId="14859779" w:rsidR="005A62E0" w:rsidRDefault="005A62E0" w:rsidP="00676C73"/>
    <w:p w14:paraId="6410B587" w14:textId="5419B3A1" w:rsidR="005A62E0" w:rsidRDefault="005A62E0" w:rsidP="00676C73"/>
    <w:p w14:paraId="790D1747" w14:textId="2B0E8D86" w:rsidR="005A62E0" w:rsidRDefault="005A62E0" w:rsidP="00676C73"/>
    <w:p w14:paraId="68581948" w14:textId="1AC162AD" w:rsidR="005A62E0" w:rsidRDefault="005A62E0" w:rsidP="00676C73"/>
    <w:p w14:paraId="07F33D2D" w14:textId="773B1EEC" w:rsidR="005A62E0" w:rsidRDefault="005A62E0" w:rsidP="00676C73"/>
    <w:p w14:paraId="321E497C" w14:textId="16FDA830" w:rsidR="005A62E0" w:rsidRDefault="005A62E0" w:rsidP="00676C73"/>
    <w:p w14:paraId="7D4B6DD7" w14:textId="385CFDF1" w:rsidR="007F0150" w:rsidRDefault="007F0150" w:rsidP="00CD5C4B">
      <w:pPr>
        <w:pStyle w:val="Ttulo1"/>
      </w:pPr>
      <w:bookmarkStart w:id="62" w:name="_Toc235815384"/>
      <w:r>
        <w:lastRenderedPageBreak/>
        <w:t>Discusión</w:t>
      </w:r>
      <w:bookmarkEnd w:id="62"/>
    </w:p>
    <w:p w14:paraId="7E1711A1" w14:textId="77777777" w:rsidR="000F21F8" w:rsidRDefault="000F21F8" w:rsidP="000F21F8">
      <w:pPr>
        <w:pStyle w:val="Ttulo2"/>
        <w:rPr>
          <w:lang w:val="es-ES"/>
        </w:rPr>
      </w:pPr>
      <w:bookmarkStart w:id="63" w:name="_Toc235815385"/>
      <w:r>
        <w:t>Síntesis e interpretación de los hallazgos principales</w:t>
      </w:r>
      <w:bookmarkEnd w:id="63"/>
    </w:p>
    <w:p w14:paraId="560C575B" w14:textId="77777777" w:rsidR="000F21F8" w:rsidRDefault="000F21F8" w:rsidP="000F21F8">
      <w:r>
        <w:t xml:space="preserve">La presente revisión sistemática tuvo como propósito determinar si la administración de misoprostol por vía sublingual es más efectiva que la administración por vía oral para prevenir la hemorragia posparto en mujeres con parto vaginal en América Latina. El principal hallazgo fue que la evidencia comparativa regional es muy limitada y no permite confirmar que la vía sublingual sea superior a la vía oral. Aunque se identificaron nueve estudios latinoamericanos sobre el uso profiláctico de misoprostol, solo Alva et al. (2000) compararon directamente ambas vías utilizando la misma dosis. Por tanto, la pregunta principal de la revisión no pudo responderse mediante un </w:t>
      </w:r>
      <w:proofErr w:type="spellStart"/>
      <w:r>
        <w:t>metanálisis</w:t>
      </w:r>
      <w:proofErr w:type="spellEnd"/>
      <w:r>
        <w:t xml:space="preserve"> comparativo.</w:t>
      </w:r>
    </w:p>
    <w:p w14:paraId="3280204A" w14:textId="77777777" w:rsidR="000F21F8" w:rsidRDefault="000F21F8" w:rsidP="000F21F8">
      <w:r>
        <w:t xml:space="preserve">Este resultado no significa que ambas vías tengan la misma eficacia ni que no existan diferencias clínicamente relevantes. Significa que la cantidad y calidad de la evidencia latinoamericana son insuficientes para establecerlas con certeza. La ausencia de una diferencia demostrada no equivale a equivalencia terapéutica, especialmente cuando la comparación directa procede de un único ensayo no aleatorizado, con una muestra reducida y sin reporte de la incidencia de hemorragia posparto como desenlace dicotómico. Conde-Agudelo et al. (2013) señalan de manera similar que la falta de significación estadística entre misoprostol y oxitocina en ensayos pequeños no demuestra igualdad, porque estos estudios no fueron diseñados como ensayos de equivalencia o no inferioridad. </w:t>
      </w:r>
    </w:p>
    <w:p w14:paraId="786395BD" w14:textId="77777777" w:rsidR="000F21F8" w:rsidRDefault="000F21F8" w:rsidP="000F21F8">
      <w:r>
        <w:t xml:space="preserve">Alva et al. (2000) encontraron menor volumen medio de sangrado con 200 microgramos de misoprostol sublingual que con la misma dosis por vía oral, con valores de 170,4 y 266,9 </w:t>
      </w:r>
      <w:proofErr w:type="spellStart"/>
      <w:r>
        <w:t>mL</w:t>
      </w:r>
      <w:proofErr w:type="spellEnd"/>
      <w:r>
        <w:t>, respectivamente. La duración del alumbramiento también fue menor con la vía sublingual. Estos resultados favorecen a esta vía y son compatibles con su perfil farmacocinético, caracterizado por una absorción rápida y concentraciones plasmáticas máximas mayores que las alcanzadas por vía oral (Tang et al., 2002). Sin embargo, el estudio empleó asignación secuencial no aleatoria y no presentó el número de mujeres que desarrolló HPP conforme a un umbral cuantificado de pérdida sanguínea. Por consiguiente, aporta un indicio de mayor efecto uterotónico y menor sangrado promedio, pero no demuestra una reducción del riesgo de HPP.</w:t>
      </w:r>
    </w:p>
    <w:p w14:paraId="1F747237" w14:textId="77777777" w:rsidR="000F21F8" w:rsidRDefault="000F21F8" w:rsidP="000F21F8">
      <w:r>
        <w:lastRenderedPageBreak/>
        <w:t>La literatura desarrollada en otras regiones ha planteado que la vía sublingual podría producir una respuesta uterotónica más rápida o intensa que la vía oral, debido a su mayor biodisponibilidad y a que evita parcialmente el metabolismo hepático de primer paso. No obstante, a partir de los datos disponibles en América Latina no fue posible confirmar estas observaciones. La revisión identificó solamente una comparación directa y, por tanto, no permitió establecer si la posible ventaja farmacocinética de la vía sublingual se traduce de manera consistente en una mayor efectividad clínica.</w:t>
      </w:r>
    </w:p>
    <w:p w14:paraId="514E79E0" w14:textId="77777777" w:rsidR="000F21F8" w:rsidRDefault="000F21F8" w:rsidP="000F21F8">
      <w:r>
        <w:t xml:space="preserve">Cuando no existió comparación directa, la eficacia se examinó a partir de los resultados observados separadamente en los estudios de misoprostol sublingual y oral. En el </w:t>
      </w:r>
      <w:proofErr w:type="spellStart"/>
      <w:r>
        <w:t>metanálisis</w:t>
      </w:r>
      <w:proofErr w:type="spellEnd"/>
      <w:r>
        <w:t xml:space="preserve"> de proporciones correspondiente a la vía sublingual, el modelo de efectos aleatorios estimó una frecuencia combinada de eventos de 4,5%, con IC95% entre 0,8% y 21,7%. Para la vía oral, la proporción combinada fue de 1,8%, con IC95% entre 0,1% y 33,3%. Estas cifras no deben compararse entre sí para concluir que la vía oral es más efectiva, porque proceden de estudios independientes, con poblaciones, dosis, comparadores y definiciones de HPP diferentes.</w:t>
      </w:r>
    </w:p>
    <w:p w14:paraId="4AA674AB" w14:textId="77777777" w:rsidR="000F21F8" w:rsidRDefault="000F21F8" w:rsidP="000F21F8">
      <w:r>
        <w:t xml:space="preserve">La interpretación correcta es que ambas vías mostraron actividad profiláctica en los estudios disponibles, pero con una variabilidad considerable. La heterogeneidad fue elevada tanto para la vía sublingual como para la oral. En el primer análisis se combinaron umbrales de pérdida sanguínea diferentes y, por decisión metodológica de la revisión, los casos de hipotonía uterina de Sarabia Salazar et al. (2015) se incorporaron como eventos relacionados con HPP. En el análisis oral se integraron un estudio que definió HPP mediante pérdida igual o superior a 1000 </w:t>
      </w:r>
      <w:proofErr w:type="spellStart"/>
      <w:r>
        <w:t>mL</w:t>
      </w:r>
      <w:proofErr w:type="spellEnd"/>
      <w:r>
        <w:t xml:space="preserve"> y otro que utilizó un umbral mayor de 500 </w:t>
      </w:r>
      <w:proofErr w:type="spellStart"/>
      <w:r>
        <w:t>mL</w:t>
      </w:r>
      <w:proofErr w:type="spellEnd"/>
      <w:r>
        <w:t>. Por tanto, las estimaciones combinadas deben considerarse exploratorias y descriptivas.</w:t>
      </w:r>
    </w:p>
    <w:p w14:paraId="6ED6AC58" w14:textId="77777777" w:rsidR="000F21F8" w:rsidRDefault="000F21F8" w:rsidP="000F21F8">
      <w:r>
        <w:t>Otro hallazgo relevante fue la ausencia de estudios realizados en Nicaragua que compararan la vía sublingual con la oral o que aportaran datos elegibles sobre su efectividad y seguridad para la prevención de la HPP. La evidencia latinoamericana estuvo concentrada en Perú, México, Colombia, Venezuela y Argentina. Esta ausencia representa una brecha importante, porque las condiciones de disponibilidad de uterotónicos, cadena de frío, acceso a atención obstétrica y capacidad resolutiva pueden diferir entre países y entre áreas urbanas y rurales dentro de Nicaragua.</w:t>
      </w:r>
    </w:p>
    <w:p w14:paraId="3C9E9F36" w14:textId="77777777" w:rsidR="000F21F8" w:rsidRDefault="000F21F8" w:rsidP="000F21F8">
      <w:pPr>
        <w:pStyle w:val="Ttulo2"/>
      </w:pPr>
      <w:bookmarkStart w:id="64" w:name="_Toc235815386"/>
      <w:r>
        <w:lastRenderedPageBreak/>
        <w:t>Características y calidad de la evidencia regional</w:t>
      </w:r>
      <w:bookmarkEnd w:id="64"/>
    </w:p>
    <w:p w14:paraId="2C4E9C2E" w14:textId="77777777" w:rsidR="000F21F8" w:rsidRDefault="000F21F8" w:rsidP="000F21F8">
      <w:r>
        <w:t>Los nueve estudios incluidos fueron publicados entre 2000 y 2018 y presentaron una marcada heterogeneidad clínica y metodológica. Siete fueron ensayos clínicos aleatorizados y dos correspondieron a ensayos no aleatorizados. Las dosis de misoprostol variaron entre 100 y 600 microgramos, y los comparadores incluyeron oxitocina intramuscular o intravenosa, placebo y diferentes dosis de misoprostol.</w:t>
      </w:r>
    </w:p>
    <w:p w14:paraId="5ECA6813" w14:textId="77777777" w:rsidR="000F21F8" w:rsidRDefault="000F21F8" w:rsidP="000F21F8">
      <w:r>
        <w:t>La diversidad de los estudios refleja que la investigación regional no se desarrolló a partir de un programa uniforme de comparación entre las vías sublingual y oral. La mayoría evaluó cada vía frente a oxitocina o placebo, y solo un ensayo comparó ambas formas de administración. Esta fragmentación explica por qué se encontró información sobre eficacia individual, pero no evidencia suficiente para responder de manera directa y robusta al objetivo general.</w:t>
      </w:r>
    </w:p>
    <w:p w14:paraId="1607992A" w14:textId="77777777" w:rsidR="000F21F8" w:rsidRDefault="000F21F8" w:rsidP="000F21F8">
      <w:r>
        <w:t xml:space="preserve">La evaluación del riesgo de sesgo mediante </w:t>
      </w:r>
      <w:proofErr w:type="spellStart"/>
      <w:r>
        <w:t>RoB</w:t>
      </w:r>
      <w:proofErr w:type="spellEnd"/>
      <w:r>
        <w:t xml:space="preserve"> 2 mostró algunas preocupaciones en los siete ensayos aleatorizados. </w:t>
      </w:r>
      <w:proofErr w:type="spellStart"/>
      <w:r>
        <w:t>Gülmezoglu</w:t>
      </w:r>
      <w:proofErr w:type="spellEnd"/>
      <w:r>
        <w:t xml:space="preserve"> et al. (2001) y Angarita Peñaranda et al. (2003) presentaron la descripción metodológica más completa, pero no se dispuso de protocolos públicos que permitieran verificar plenamente la selección de los resultados reportados. En los otros ensayos se identificó información insuficiente sobre la generación y ocultamiento de la secuencia, el cegamiento y la medición del desenlace.</w:t>
      </w:r>
    </w:p>
    <w:p w14:paraId="3C8BA831" w14:textId="77777777" w:rsidR="000F21F8" w:rsidRDefault="000F21F8" w:rsidP="000F21F8">
      <w:r>
        <w:t xml:space="preserve">Estas limitaciones son relevantes porque la pérdida sanguínea puede ser influida por el conocimiento de la intervención y por el método utilizado para medirla. Algunos estudios emplearon recipientes calibrados, pesaje de materiales o métodos cuantitativos; otros describieron de manera limitada el procedimiento. Serna-Muñoz et al. (2025) destacan que la estimación inexacta del sangrado, la ausencia de protocolos y la respuesta tardía contribuyen a resultados maternos adversos. También señalan que la definición de HPP varía entre organismos y guías, lo cual dificulta comparar las frecuencias reportadas en diferentes estudios. </w:t>
      </w:r>
    </w:p>
    <w:p w14:paraId="54C021A9" w14:textId="77777777" w:rsidR="000F21F8" w:rsidRDefault="000F21F8" w:rsidP="000F21F8">
      <w:r>
        <w:t xml:space="preserve">Alva et al. (2000) y Falcón Condezo (2015), aunque continúan siendo ensayos de intervención, no emplearon asignación aleatoria. Esto incrementa la posibilidad de diferencias basales entre los grupos, confusión y selección no equivalente de las participantes. En consecuencia, sus resultados pueden describir el comportamiento de las </w:t>
      </w:r>
      <w:r>
        <w:lastRenderedPageBreak/>
        <w:t>intervenciones, pero ofrecen menor certeza para atribuir las diferencias observadas exclusivamente a la vía o al medicamento administrado.</w:t>
      </w:r>
    </w:p>
    <w:p w14:paraId="69D843A2" w14:textId="77777777" w:rsidR="000F21F8" w:rsidRDefault="000F21F8" w:rsidP="000F21F8">
      <w:pPr>
        <w:pStyle w:val="Ttulo2"/>
      </w:pPr>
      <w:bookmarkStart w:id="65" w:name="_Toc235815387"/>
      <w:r>
        <w:t>Evidencia comparativa directa entre misoprostol sublingual y oral</w:t>
      </w:r>
      <w:bookmarkEnd w:id="65"/>
    </w:p>
    <w:p w14:paraId="28A785A1" w14:textId="77777777" w:rsidR="000F21F8" w:rsidRDefault="000F21F8" w:rsidP="000F21F8">
      <w:r>
        <w:t xml:space="preserve">La comparación directa realizada por Alva et al. (2000) constituye la evidencia más cercana al objetivo principal. La menor pérdida sanguínea media observada con misoprostol sublingual apoya la hipótesis de que esta vía podría presentar una mayor efectividad que la oral. La diferencia de aproximadamente 96 </w:t>
      </w:r>
      <w:proofErr w:type="spellStart"/>
      <w:r>
        <w:t>mL</w:t>
      </w:r>
      <w:proofErr w:type="spellEnd"/>
      <w:r>
        <w:t xml:space="preserve"> entre grupos fue estadísticamente significativa, al igual que la menor duración del alumbramiento.</w:t>
      </w:r>
    </w:p>
    <w:p w14:paraId="3DBE3AEB" w14:textId="77777777" w:rsidR="000F21F8" w:rsidRDefault="000F21F8" w:rsidP="000F21F8">
      <w:r>
        <w:t>Desde el punto de vista farmacológico, esta observación es coherente con el comportamiento del misoprostol sublingual. Tang et al. (2002) mostraron que esta vía alcanza concentraciones plasmáticas más elevadas y en menor tiempo que la vía oral. Una exposición rápida podría intensificar la contracción uterina durante los minutos inmediatamente posteriores al nacimiento, momento en que la adecuada retracción del miometrio es esencial para comprimir los vasos del lecho placentario.</w:t>
      </w:r>
    </w:p>
    <w:p w14:paraId="45E72383" w14:textId="77777777" w:rsidR="000F21F8" w:rsidRDefault="000F21F8" w:rsidP="000F21F8">
      <w:r>
        <w:t xml:space="preserve">Sin embargo, el estudio no informó la frecuencia de HPP mayor o igual a 500 </w:t>
      </w:r>
      <w:proofErr w:type="spellStart"/>
      <w:r>
        <w:t>mL</w:t>
      </w:r>
      <w:proofErr w:type="spellEnd"/>
      <w:r>
        <w:t xml:space="preserve"> o mayor o igual a 1000 </w:t>
      </w:r>
      <w:proofErr w:type="spellStart"/>
      <w:r>
        <w:t>mL</w:t>
      </w:r>
      <w:proofErr w:type="spellEnd"/>
      <w:r>
        <w:t>. Por ello, no puede determinarse si la diferencia observada en el promedio de sangrado se acompañó de una reducción en el número de mujeres con hemorragia clínicamente relevante. Dos intervenciones pueden producir diferencias en la media sin modificar de manera significativa la proporción de eventos graves.</w:t>
      </w:r>
    </w:p>
    <w:p w14:paraId="4F4A1FC5" w14:textId="77777777" w:rsidR="000F21F8" w:rsidRDefault="000F21F8" w:rsidP="000F21F8">
      <w:r>
        <w:t>Asimismo, el estudio no fue aleatorizado y solo incluyó 39 mujeres en cada grupo. Estas características aumentan el riesgo de desequilibrios no controlados y limitan la precisión de la comparación. En consecuencia, el resultado debe interpretarse como evidencia preliminar favorable a la vía sublingual, pero no como demostración definitiva de superioridad.</w:t>
      </w:r>
    </w:p>
    <w:p w14:paraId="69B1B7D5" w14:textId="77777777" w:rsidR="000F21F8" w:rsidRDefault="000F21F8" w:rsidP="000F21F8">
      <w:r>
        <w:t xml:space="preserve">La evidencia disponible fuera de América Latina ha sugerido ventajas potenciales de la vía sublingual, principalmente por su rapidez de absorción y efecto uterotónico intenso. No obstante, los estudios externos no siempre han comparado directamente la vía sublingual con la oral; con frecuencia la comparación se ha realizado frente a oxitocina, placebo u otros uterotónicos. Por tanto, aunque existe una base farmacológica y clínica que permite plantear </w:t>
      </w:r>
      <w:r>
        <w:lastRenderedPageBreak/>
        <w:t>una posible superioridad sublingual, los resultados de la presente revisión no permiten confirmar que esa superioridad se reproduzca en mujeres latinoamericanas con parto vaginal.</w:t>
      </w:r>
    </w:p>
    <w:p w14:paraId="61E65C77" w14:textId="77777777" w:rsidR="000F21F8" w:rsidRDefault="000F21F8" w:rsidP="000F21F8">
      <w:pPr>
        <w:pStyle w:val="Ttulo2"/>
      </w:pPr>
      <w:bookmarkStart w:id="66" w:name="_Toc235815388"/>
      <w:r>
        <w:t>Eficacia observada con misoprostol sublingual</w:t>
      </w:r>
      <w:bookmarkEnd w:id="66"/>
    </w:p>
    <w:p w14:paraId="5D762542" w14:textId="77777777" w:rsidR="000F21F8" w:rsidRDefault="000F21F8" w:rsidP="000F21F8">
      <w:r>
        <w:t xml:space="preserve">Los estudios latinoamericanos que evaluaron misoprostol sublingual mostraron resultados variables. Angarita Peñaranda et al. (2003) compararon 100 microgramos de misoprostol sublingual con placebo. La frecuencia de pérdida sanguínea igual o superior a 500 </w:t>
      </w:r>
      <w:proofErr w:type="spellStart"/>
      <w:r>
        <w:t>mL</w:t>
      </w:r>
      <w:proofErr w:type="spellEnd"/>
      <w:r>
        <w:t xml:space="preserve"> fue de 42% con misoprostol y 52% con placebo. Aunque el riesgo relativo favoreció al misoprostol, el intervalo de confianza incluyó la ausencia de efecto y la diferencia no fue estadísticamente significativa.</w:t>
      </w:r>
    </w:p>
    <w:p w14:paraId="188041A0" w14:textId="77777777" w:rsidR="000F21F8" w:rsidRDefault="000F21F8" w:rsidP="000F21F8">
      <w:r>
        <w:t>Este estudio sugiere que el misoprostol sublingual puede reducir el sangrado frente a la ausencia de un uterotónico activo, pero no contó con suficiente precisión para demostrarlo. La elevada frecuencia de sangrado en ambos grupos también puede relacionarse con la cuantificación estricta mediante un recipiente calibrado, lo cual probablemente detectó pérdidas que podrían haber sido subestimadas con métodos visuales.</w:t>
      </w:r>
    </w:p>
    <w:p w14:paraId="0B625924" w14:textId="77777777" w:rsidR="000F21F8" w:rsidRDefault="000F21F8" w:rsidP="000F21F8">
      <w:r>
        <w:t xml:space="preserve">Sandoval et al. (2004) encontraron resultados menos favorables para la vía sublingual al compararla con oxitocina intramuscular. La HPP igual o superior a 1000 </w:t>
      </w:r>
      <w:proofErr w:type="spellStart"/>
      <w:r>
        <w:t>mL</w:t>
      </w:r>
      <w:proofErr w:type="spellEnd"/>
      <w:r>
        <w:t xml:space="preserve"> ocurrió en 7 de 68 mujeres tratadas con misoprostol y en una de 68 que recibió oxitocina. El volumen medio de sangrado y la duración del alumbramiento también fueron mayores con misoprostol. Este hallazgo indica que, en las condiciones del estudio, la oxitocina produjo una mejor prevención del sangrado grave.</w:t>
      </w:r>
    </w:p>
    <w:p w14:paraId="57026E87" w14:textId="77777777" w:rsidR="000F21F8" w:rsidRDefault="000F21F8" w:rsidP="000F21F8">
      <w:r>
        <w:t xml:space="preserve">Falcón Condezo (2015) no encontró diferencias significativas entre misoprostol sublingual y oxitocina en el volumen de sangrado. Sin embargo, el estudio no presentó medias y desviaciones estándar por grupo, lo que impidió incorporarlo a un </w:t>
      </w:r>
      <w:proofErr w:type="spellStart"/>
      <w:r>
        <w:t>metanálisis</w:t>
      </w:r>
      <w:proofErr w:type="spellEnd"/>
      <w:r>
        <w:t xml:space="preserve"> continuo. Además, al tratarse de un ensayo no aleatorizado, existe mayor incertidumbre sobre la comparabilidad de los grupos.</w:t>
      </w:r>
    </w:p>
    <w:p w14:paraId="13571094" w14:textId="77777777" w:rsidR="000F21F8" w:rsidRDefault="000F21F8" w:rsidP="000F21F8">
      <w:r>
        <w:t xml:space="preserve">Sarabia Salazar et al. (2015) compararon dosis sublinguales de 200, 400 y 600 microgramos. Los autores informaron una incidencia global de HPP inferior al 1% y no identificaron diferencias significativas entre las dosis. Los cuatro casos de hipotonía uterina estuvieron distribuidos entre los tres grupos. Estos resultados sugieren que una dosis de 200 </w:t>
      </w:r>
      <w:r>
        <w:lastRenderedPageBreak/>
        <w:t>microgramos podría producir una respuesta profiláctica semejante a dosis mayores, aunque el estudio no fue diseñado formalmente para demostrar equivalencia o no inferioridad.</w:t>
      </w:r>
    </w:p>
    <w:p w14:paraId="0E23C7F3" w14:textId="77777777" w:rsidR="000F21F8" w:rsidRDefault="000F21F8" w:rsidP="000F21F8">
      <w:r>
        <w:t>La ausencia de una relación dosis-respuesta clara debe interpretarse con precaución. Un resultado no significativo puede deberse a que las dosis son realmente semejantes, pero también a una frecuencia baja de eventos y a falta de potencia estadística. Para determinar una dosis mínima efectiva se requieren ensayos diseñados con márgenes de no inferioridad, suficiente tamaño muestral y definición uniforme de HPP.</w:t>
      </w:r>
    </w:p>
    <w:p w14:paraId="0DBA6203" w14:textId="0508896A" w:rsidR="000F21F8" w:rsidRDefault="000F21F8" w:rsidP="000F21F8">
      <w:r>
        <w:t>De forma general se puede decir que la eficacia observada con la vía sublingual fue variable. Algunos estudios mostraron menor sangrado frente a placebo o vía oral, mientras que otros encontraron mejor desempeño de la oxitocina. Esto indica que el misoprostol sublingual posee actividad uterotónica, pero no permite afirmar que supere de manera consistente a otras alternativas ni, específicamente, a la vía oral.</w:t>
      </w:r>
    </w:p>
    <w:p w14:paraId="424ED16D" w14:textId="77777777" w:rsidR="000F21F8" w:rsidRDefault="000F21F8" w:rsidP="000F21F8">
      <w:pPr>
        <w:pStyle w:val="Ttulo2"/>
      </w:pPr>
      <w:bookmarkStart w:id="67" w:name="_Toc235815389"/>
      <w:r>
        <w:t>Eficacia observada con misoprostol oral</w:t>
      </w:r>
      <w:bookmarkEnd w:id="67"/>
    </w:p>
    <w:p w14:paraId="64C50F3F" w14:textId="77777777" w:rsidR="000F21F8" w:rsidRDefault="000F21F8" w:rsidP="000F21F8">
      <w:r>
        <w:t xml:space="preserve">Los resultados de la vía oral también fueron heterogéneos. En el centro argentino del ensayo multicéntrico de </w:t>
      </w:r>
      <w:proofErr w:type="spellStart"/>
      <w:r>
        <w:t>Gülmezoglu</w:t>
      </w:r>
      <w:proofErr w:type="spellEnd"/>
      <w:r>
        <w:t xml:space="preserve"> et al. (2001), la pérdida sanguínea igual o superior a 1000 </w:t>
      </w:r>
      <w:proofErr w:type="spellStart"/>
      <w:r>
        <w:t>mL</w:t>
      </w:r>
      <w:proofErr w:type="spellEnd"/>
      <w:r>
        <w:t xml:space="preserve"> ocurrió en 96 de 1358 mujeres tratadas con 600 microgramos de misoprostol oral, equivalente a 7%, frente a 49 de 1361, equivalente a 4%, con oxitocina.</w:t>
      </w:r>
    </w:p>
    <w:p w14:paraId="76E6DD1E" w14:textId="77777777" w:rsidR="000F21F8" w:rsidRDefault="000F21F8" w:rsidP="000F21F8">
      <w:r>
        <w:t>El resultado fue consistente con el análisis global del ensayo multicéntrico, en el que la oxitocina redujo la frecuencia de HPP grave y la necesidad de uterotónicos adicionales. La fortaleza de este estudio radica en su gran tamaño muestral, la aleatorización central, el doble cegamiento mediante doble simulación y la estandarización de la medición. Por esta razón, constituye evidencia importante de que la oxitocina es preferible cuando se encuentra disponible y puede administrarse adecuadamente.</w:t>
      </w:r>
    </w:p>
    <w:p w14:paraId="11BDC40F" w14:textId="77777777" w:rsidR="000F21F8" w:rsidRDefault="000F21F8" w:rsidP="000F21F8">
      <w:r>
        <w:t xml:space="preserve">Morgan Ortiz et al. (2004), en cambio, encontraron menor volumen medio de sangrado con 400 microgramos de misoprostol oral que con oxitocina intravenosa. No se registraron casos de HPP mayor de 500 </w:t>
      </w:r>
      <w:proofErr w:type="spellStart"/>
      <w:r>
        <w:t>mL</w:t>
      </w:r>
      <w:proofErr w:type="spellEnd"/>
      <w:r>
        <w:t xml:space="preserve"> entre las 200 mujeres del grupo de misoprostol, mientras que se presentó un caso entre las 198 del grupo de oxitocina.</w:t>
      </w:r>
    </w:p>
    <w:p w14:paraId="3817262D" w14:textId="77777777" w:rsidR="000F21F8" w:rsidRDefault="000F21F8" w:rsidP="000F21F8">
      <w:r>
        <w:t xml:space="preserve">La diferencia entre ambos estudios puede atribuirse a varios factores. Morgan Ortiz et al. incluyeron mujeres con partos eutócicos, únicos y no complicados, posiblemente con riesgo </w:t>
      </w:r>
      <w:r>
        <w:lastRenderedPageBreak/>
        <w:t xml:space="preserve">basal bajo. El número de eventos fue extremadamente pequeño, por lo que el estudio tuvo escasa capacidad para demostrar diferencias en HPP. Además, utilizó una dosis de misoprostol de 400 microgramos, frente a 600 microgramos en </w:t>
      </w:r>
      <w:proofErr w:type="spellStart"/>
      <w:r>
        <w:t>Gülmezoglu</w:t>
      </w:r>
      <w:proofErr w:type="spellEnd"/>
      <w:r>
        <w:t xml:space="preserve"> et al., y un esquema distinto de oxitocina.</w:t>
      </w:r>
    </w:p>
    <w:p w14:paraId="6B20650F" w14:textId="77777777" w:rsidR="000F21F8" w:rsidRDefault="000F21F8" w:rsidP="000F21F8">
      <w:r>
        <w:t>La ausencia de HPP en el grupo de misoprostol de Morgan Ortiz et al. no demuestra por sí sola que la vía oral sea superior. En un desenlace infrecuente, una muestra de 200 participantes puede no ser suficiente para detectar diferencias reales. El resultado debe interpretarse como un desempeño favorable dentro de una población de bajo riesgo, pero no como prueba definitiva de equivalencia o superioridad.</w:t>
      </w:r>
    </w:p>
    <w:p w14:paraId="54D1F30C" w14:textId="77777777" w:rsidR="000F21F8" w:rsidRDefault="000F21F8" w:rsidP="000F21F8">
      <w:proofErr w:type="spellStart"/>
      <w:r>
        <w:t>Olefile</w:t>
      </w:r>
      <w:proofErr w:type="spellEnd"/>
      <w:r>
        <w:t xml:space="preserve"> et al. (2013), en una revisión sistemática de ensayos que compararon misoprostol con placebo, no encontraron una reducción estadísticamente significativa de la HPP; el riesgo relativo fue de 0,65, con IC95% entre 0,40 y 1,06. Los autores señalaron heterogeneidad importante y recomendaron continuar investigando las dosis y vías de administración con el fin de identificar un equilibrio entre efectividad clínica y efectos adversos aceptables. </w:t>
      </w:r>
    </w:p>
    <w:p w14:paraId="15660447" w14:textId="42BC303D" w:rsidR="000F21F8" w:rsidRDefault="000F21F8" w:rsidP="000F21F8">
      <w:r>
        <w:t>Resumiendo, la vía oral mostró actividad profiláctica y resultados favorables en algunos estudios, pero el ensayo de mayor tamaño mostró menor eficacia que la oxitocina. Esto no contradice necesariamente su utilidad en contextos donde los uterotónicos inyectables no están disponibles. La eficacia clínica debe valorarse junto con la factibilidad de almacenamiento, distribución y administración.</w:t>
      </w:r>
    </w:p>
    <w:p w14:paraId="05BEE75F" w14:textId="77777777" w:rsidR="000F21F8" w:rsidRDefault="000F21F8" w:rsidP="000F21F8">
      <w:pPr>
        <w:pStyle w:val="Ttulo2"/>
      </w:pPr>
      <w:bookmarkStart w:id="68" w:name="_Toc235815390"/>
      <w:r>
        <w:t>Comparación indirecta de la frecuencia de HPP según la vía</w:t>
      </w:r>
      <w:bookmarkEnd w:id="68"/>
    </w:p>
    <w:p w14:paraId="07BED73F" w14:textId="77777777" w:rsidR="000F21F8" w:rsidRDefault="000F21F8" w:rsidP="000F21F8">
      <w:r>
        <w:t>La incidencia observada de HPP o eventos relacionados varió ampliamente entre los estudios sublinguales y orales. Sin embargo, estas frecuencias no constituyen una comparación válida entre vías, porque no proceden de grupos aleatorizados dentro de los mismos estudios.</w:t>
      </w:r>
    </w:p>
    <w:p w14:paraId="3F54340C" w14:textId="77777777" w:rsidR="000F21F8" w:rsidRDefault="000F21F8" w:rsidP="000F21F8">
      <w:r>
        <w:t xml:space="preserve">El </w:t>
      </w:r>
      <w:proofErr w:type="spellStart"/>
      <w:r>
        <w:t>metanálisis</w:t>
      </w:r>
      <w:proofErr w:type="spellEnd"/>
      <w:r>
        <w:t xml:space="preserve"> sublingual produjo una proporción combinada de 4,5% con efectos aleatorios, pero presentó un I2 de 92%. La mayor frecuencia individual correspondió a Angarita Peñaranda et al., con 42,5% utilizando el umbral de 500 </w:t>
      </w:r>
      <w:proofErr w:type="spellStart"/>
      <w:r>
        <w:t>mL</w:t>
      </w:r>
      <w:proofErr w:type="spellEnd"/>
      <w:r>
        <w:t xml:space="preserve">, mientras que Sandoval et al. reportaron 10,3% con el umbral de 1000 </w:t>
      </w:r>
      <w:proofErr w:type="spellStart"/>
      <w:r>
        <w:t>mL</w:t>
      </w:r>
      <w:proofErr w:type="spellEnd"/>
      <w:r>
        <w:t>. Los grupos de Sarabia Salazar et al. presentaron frecuencias próximas al 1%, pero correspondieron a hipotonía uterina y no a HPP confirmada mediante cuantificación de sangre.</w:t>
      </w:r>
    </w:p>
    <w:p w14:paraId="1C5D97FD" w14:textId="77777777" w:rsidR="000F21F8" w:rsidRDefault="000F21F8" w:rsidP="000F21F8">
      <w:r>
        <w:lastRenderedPageBreak/>
        <w:t xml:space="preserve">En el </w:t>
      </w:r>
      <w:proofErr w:type="spellStart"/>
      <w:r>
        <w:t>metanálisis</w:t>
      </w:r>
      <w:proofErr w:type="spellEnd"/>
      <w:r>
        <w:t xml:space="preserve"> oral, la estimación combinada fue de 1,8%, con un intervalo de confianza entre 0,1% y 33,3% e I2 de 82,7%. La estimación estuvo determinada por dos estudios muy diferentes: </w:t>
      </w:r>
      <w:proofErr w:type="spellStart"/>
      <w:r>
        <w:t>Gülmezoglu</w:t>
      </w:r>
      <w:proofErr w:type="spellEnd"/>
      <w:r>
        <w:t xml:space="preserve"> et al., con 96 eventos y un umbral de 1000 </w:t>
      </w:r>
      <w:proofErr w:type="spellStart"/>
      <w:r>
        <w:t>mL</w:t>
      </w:r>
      <w:proofErr w:type="spellEnd"/>
      <w:r>
        <w:t xml:space="preserve">, y Morgan Ortiz et al., sin eventos y un umbral de 500 </w:t>
      </w:r>
      <w:proofErr w:type="spellStart"/>
      <w:r>
        <w:t>mL</w:t>
      </w:r>
      <w:proofErr w:type="spellEnd"/>
      <w:r>
        <w:t>.</w:t>
      </w:r>
    </w:p>
    <w:p w14:paraId="4D9C8067" w14:textId="77777777" w:rsidR="000F21F8" w:rsidRDefault="000F21F8" w:rsidP="000F21F8">
      <w:r>
        <w:t xml:space="preserve">Por tanto, no debe interpretarse la diferencia entre 4,5% y 1,8% como evidencia de que la vía oral sea más efectiva. La comparación está afectada por distintas definiciones del desenlace, dosis, poblaciones, tamaños muestrales y métodos de medición. El objetivo de estos </w:t>
      </w:r>
      <w:proofErr w:type="spellStart"/>
      <w:r>
        <w:t>metanálisis</w:t>
      </w:r>
      <w:proofErr w:type="spellEnd"/>
      <w:r>
        <w:t xml:space="preserve"> fue describir la frecuencia observada dentro de cada vía y no calcular un efecto relativo sublingual frente a oral.</w:t>
      </w:r>
    </w:p>
    <w:p w14:paraId="07F6D1CD" w14:textId="77777777" w:rsidR="000F21F8" w:rsidRDefault="000F21F8" w:rsidP="000F21F8">
      <w:r>
        <w:t xml:space="preserve">La variabilidad en las definiciones de HPP constituye un problema recurrente en la literatura. Serna-Muñoz et al. (2025) señalan que la OMS, FIGO y ACOG utilizan criterios parcialmente diferentes, algunos basados en 500 </w:t>
      </w:r>
      <w:proofErr w:type="spellStart"/>
      <w:r>
        <w:t>mL</w:t>
      </w:r>
      <w:proofErr w:type="spellEnd"/>
      <w:r>
        <w:t xml:space="preserve"> después del parto vaginal, otros en 1000 </w:t>
      </w:r>
      <w:proofErr w:type="spellStart"/>
      <w:r>
        <w:t>mL</w:t>
      </w:r>
      <w:proofErr w:type="spellEnd"/>
      <w:r>
        <w:t xml:space="preserve"> y otros en la presencia de signos de hipovolemia. Esta falta de uniformidad modifica las tasas observadas y limita la comparabilidad. </w:t>
      </w:r>
    </w:p>
    <w:p w14:paraId="22DB6BE8" w14:textId="77777777" w:rsidR="000F21F8" w:rsidRDefault="000F21F8" w:rsidP="000F21F8">
      <w:pPr>
        <w:pStyle w:val="Ttulo2"/>
      </w:pPr>
      <w:bookmarkStart w:id="69" w:name="_Toc235815391"/>
      <w:r>
        <w:t>Seguridad de las vías sublingual y oral</w:t>
      </w:r>
      <w:bookmarkEnd w:id="69"/>
    </w:p>
    <w:p w14:paraId="56C7733B" w14:textId="77777777" w:rsidR="000F21F8" w:rsidRDefault="000F21F8" w:rsidP="000F21F8">
      <w:r>
        <w:t>La comparación de seguridad fue uno de los objetivos específicos de la revisión. En general, las reacciones adversas más frecuentes fueron fiebre, escalofríos, temblores, náuseas, vómitos, mareos y diarrea. Estas manifestaciones son consistentes con el efecto sistémico de las prostaglandinas y, en la mayoría de los estudios, fueron transitorias.</w:t>
      </w:r>
    </w:p>
    <w:p w14:paraId="3C9C7101" w14:textId="77777777" w:rsidR="000F21F8" w:rsidRDefault="000F21F8" w:rsidP="000F21F8">
      <w:r>
        <w:t>La comparación directa de Alva et al. (2000) mostró un perfil menos favorable para la vía sublingual. La fiebre se presentó en 38 de 39 participantes y los escalofríos en 33 de 39. En el grupo oral se registraron escalofríos en 2 de 39 mujeres. Este resultado indica que la mayor exposición plasmática alcanzada por la vía sublingual puede acompañarse de una frecuencia considerablemente mayor de reacciones adversas.</w:t>
      </w:r>
    </w:p>
    <w:p w14:paraId="58A813A5" w14:textId="77777777" w:rsidR="000F21F8" w:rsidRDefault="000F21F8" w:rsidP="000F21F8">
      <w:r>
        <w:t>Sandoval et al. (2004) también reportaron una elevada frecuencia de efectos con la vía sublingual. Al menos una reacción adversa ocurrió en 52 de 68 participantes, equivalente a 76,5%, y los escalofríos fueron la manifestación predominante. Angarita Peñaranda et al. (2003), por el contrario, observaron un solo caso de escalofríos entre 40 mujeres y no informaron vómitos.</w:t>
      </w:r>
    </w:p>
    <w:p w14:paraId="43068A71" w14:textId="77777777" w:rsidR="000F21F8" w:rsidRDefault="000F21F8" w:rsidP="000F21F8">
      <w:r>
        <w:lastRenderedPageBreak/>
        <w:t>La variación entre los estudios puede relacionarse con la dosis, la forma de administrar el comprimido, la vigilancia activa, el momento en que se midió la temperatura y la definición de los eventos. También puede reflejar diferencias reales entre las poblaciones. La falta de procedimientos uniformes para registrar seguridad dificulta estimar una frecuencia regional única.</w:t>
      </w:r>
    </w:p>
    <w:p w14:paraId="6CF9E14C" w14:textId="77777777" w:rsidR="000F21F8" w:rsidRDefault="000F21F8" w:rsidP="000F21F8">
      <w:r>
        <w:t>Sarabia Salazar et al. (2015) informaron temblores, fiebre, náuseas, vómitos y evacuaciones líquidas en menos del 5% de cada grupo. No encontraron una asociación estadística entre la dosis y los eventos adversos. Estos resultados contrastan con las altas frecuencias observadas por Alva et al. y Sandoval et al., lo cual refuerza la posibilidad de diferencias en la búsqueda y registro de las reacciones.</w:t>
      </w:r>
    </w:p>
    <w:p w14:paraId="49450F0E" w14:textId="77777777" w:rsidR="000F21F8" w:rsidRDefault="000F21F8" w:rsidP="000F21F8">
      <w:r>
        <w:t xml:space="preserve">En la vía oral, </w:t>
      </w:r>
      <w:proofErr w:type="spellStart"/>
      <w:r>
        <w:t>Gülmezoglu</w:t>
      </w:r>
      <w:proofErr w:type="spellEnd"/>
      <w:r>
        <w:t xml:space="preserve"> et al. (2001) encontraron mayor frecuencia de escalofríos, fiebre, náuseas, vómitos y diarrea con misoprostol que con oxitocina. En el ensayo completo, el riesgo relativo de escalofríos fue de 3,48 y el de temperatura elevada de 7,17. También se registraron cinco casos de temperatura superior a 40 grados C.</w:t>
      </w:r>
    </w:p>
    <w:p w14:paraId="795F5C08" w14:textId="77777777" w:rsidR="000F21F8" w:rsidRDefault="000F21F8" w:rsidP="000F21F8">
      <w:r>
        <w:t xml:space="preserve">Morgan Ortiz et al. (2004) notificaron hipertermia transitoria en cuatro de 200 mujeres tratadas con 400 microgramos de misoprostol oral. La menor frecuencia respecto al ensayo de </w:t>
      </w:r>
      <w:proofErr w:type="spellStart"/>
      <w:r>
        <w:t>Gülmezoglu</w:t>
      </w:r>
      <w:proofErr w:type="spellEnd"/>
      <w:r>
        <w:t xml:space="preserve"> et al. podría relacionarse con la dosis más baja, con diferencias en la vigilancia o con las características de las participantes.</w:t>
      </w:r>
    </w:p>
    <w:p w14:paraId="5A5A97D7" w14:textId="77777777" w:rsidR="000F21F8" w:rsidRDefault="000F21F8" w:rsidP="000F21F8">
      <w:r>
        <w:t xml:space="preserve">La evidencia internacional presenta un patrón similar. </w:t>
      </w:r>
      <w:proofErr w:type="spellStart"/>
      <w:r>
        <w:t>Olefile</w:t>
      </w:r>
      <w:proofErr w:type="spellEnd"/>
      <w:r>
        <w:t xml:space="preserve"> et al. (2013) encontraron que los escalofríos y la pirexia fueron significativamente más frecuentes con misoprostol que con placebo, con riesgos relativos de 2,75 y 5,34, respectivamente. Conde-Agudelo et al. (2013) también observaron mayor riesgo de escalofríos y fiebre con misoprostol, solo o combinado con oxitocina, y señalaron que el aumento era más evidente en los ensayos que utilizaron la vía sublingual. </w:t>
      </w:r>
    </w:p>
    <w:p w14:paraId="607FF389" w14:textId="77777777" w:rsidR="000F21F8" w:rsidRDefault="000F21F8" w:rsidP="000F21F8">
      <w:r>
        <w:t>Por tanto, la evidencia regional y externa sugiere que la vía sublingual puede producir una respuesta uterotónica más intensa, pero también una mayor frecuencia de efectos sistémicos. La vía oral no está libre de reacciones adversas, especialmente cuando se utilizan 600 microgramos, aunque el perfil observado con 400 microgramos fue más favorable en Morgan Ortiz et al.</w:t>
      </w:r>
    </w:p>
    <w:p w14:paraId="27AEC635" w14:textId="77777777" w:rsidR="000F21F8" w:rsidRDefault="000F21F8" w:rsidP="000F21F8">
      <w:r>
        <w:lastRenderedPageBreak/>
        <w:t>No se reportaron de manera consistente complicaciones graves directamente atribuidas al medicamento. Sin embargo, la ausencia de eventos graves debe interpretarse con cautela porque la mayoría de los ensayos no estuvo diseñada para detectar acontecimientos poco frecuentes. La hiperpirexia, aunque infrecuente, merece especial atención debido a que puede requerir manejo sintomático y confundirse con infección puerperal.</w:t>
      </w:r>
    </w:p>
    <w:p w14:paraId="76F6A742" w14:textId="77777777" w:rsidR="000F21F8" w:rsidRDefault="000F21F8" w:rsidP="000F21F8">
      <w:pPr>
        <w:pStyle w:val="Ttulo2"/>
      </w:pPr>
      <w:bookmarkStart w:id="70" w:name="_Toc235815392"/>
      <w:r>
        <w:t>Comparación con la evidencia internacional</w:t>
      </w:r>
      <w:bookmarkEnd w:id="70"/>
    </w:p>
    <w:p w14:paraId="6F7B7E2B" w14:textId="77777777" w:rsidR="000F21F8" w:rsidRDefault="000F21F8" w:rsidP="000F21F8">
      <w:r>
        <w:t>Los hallazgos de la revisión coinciden con la evidencia internacional en que el misoprostol presenta actividad uterotónica y puede contribuir a prevenir la HPP, pero su eficacia y seguridad dependen de la vía, la dosis y el comparador.</w:t>
      </w:r>
    </w:p>
    <w:p w14:paraId="6FA426BD" w14:textId="77777777" w:rsidR="000F21F8" w:rsidRDefault="000F21F8" w:rsidP="000F21F8">
      <w:r>
        <w:t xml:space="preserve">Conde-Agudelo et al. (2013), en una revisión sistemática de 17 ensayos y 3174 mujeres sometidas a cesárea, no encontraron diferencias significativas en la hemorragia intraoperatoria y posoperatoria cuando misoprostol sublingual u oral se comparó con oxitocina. Sin embargo, la combinación de misoprostol y oxitocina redujo algunos desenlaces, como el descenso del hematocrito y la necesidad de uterotónicos adicionales. Los autores advirtieron que los hallazgos procedían de pocos estudios con limitaciones metodológicas y que la ausencia de significación no demostraba equivalencia. </w:t>
      </w:r>
    </w:p>
    <w:p w14:paraId="076F08E4" w14:textId="77777777" w:rsidR="000F21F8" w:rsidRDefault="000F21F8" w:rsidP="000F21F8">
      <w:r>
        <w:t>Aunque esa revisión se centró principalmente en cesáreas y no en la comparación oral frente a sublingual durante parto vaginal, aporta dos elementos relevantes. Primero, la eficacia del misoprostol puede variar según el contexto obstétrico. Segundo, la vía sublingual parece asociarse con un mayor riesgo de fiebre y escalofríos.</w:t>
      </w:r>
    </w:p>
    <w:p w14:paraId="49B4B96A" w14:textId="77777777" w:rsidR="000F21F8" w:rsidRDefault="000F21F8" w:rsidP="000F21F8">
      <w:proofErr w:type="spellStart"/>
      <w:r>
        <w:t>Olefile</w:t>
      </w:r>
      <w:proofErr w:type="spellEnd"/>
      <w:r>
        <w:t xml:space="preserve"> et al. (2013) concluyeron que el misoprostol no produjo una reducción estadísticamente significativa de HPP frente a placebo en los tres ensayos incluidos y destacaron la persistencia de pirexia y escalofríos. También señalaron que las reacciones eran dependientes de la dosis y que se necesitaban estudios específicos sobre vías y esquemas de administración. </w:t>
      </w:r>
    </w:p>
    <w:p w14:paraId="353A0641" w14:textId="77777777" w:rsidR="000F21F8" w:rsidRDefault="000F21F8" w:rsidP="000F21F8">
      <w:r>
        <w:t xml:space="preserve">La revisión de González Caiza (2025) resalta que la prevención de la HPP depende no solo de la selección del uterotónico, sino también de la detección temprana, el acceso a servicios obstétricos, la capacitación del personal y la aplicación de protocolos. Asimismo, documenta diferencias entre países en la disponibilidad y uso de oxitocina, incluyendo seis países </w:t>
      </w:r>
      <w:r>
        <w:lastRenderedPageBreak/>
        <w:t xml:space="preserve">mesoamericanos, entre ellos Nicaragua. En esa evaluación, la disponibilidad mejoró después de intervenciones sobre la cadena de suministro, pero la administración posterior al parto continuó siendo subóptima en algunos servicios. </w:t>
      </w:r>
    </w:p>
    <w:p w14:paraId="0E0EB0ED" w14:textId="77777777" w:rsidR="000F21F8" w:rsidRDefault="000F21F8" w:rsidP="000F21F8">
      <w:r>
        <w:t>Este aspecto es importante porque el valor práctico del misoprostol no depende exclusivamente de su eficacia biológica. En lugares donde la oxitocina existe nominalmente, pero no se conserva correctamente, no se administra a tiempo o no está disponible en todos los niveles de atención, una presentación oral o sublingual estable a temperatura ambiente puede representar una alternativa operativa relevante.</w:t>
      </w:r>
    </w:p>
    <w:p w14:paraId="64A6283F" w14:textId="77777777" w:rsidR="000F21F8" w:rsidRDefault="000F21F8" w:rsidP="000F21F8">
      <w:pPr>
        <w:pStyle w:val="Ttulo2"/>
      </w:pPr>
      <w:bookmarkStart w:id="71" w:name="_Toc235815393"/>
      <w:r>
        <w:t>Hallazgos adicionales sobre otras comparaciones</w:t>
      </w:r>
      <w:bookmarkEnd w:id="71"/>
    </w:p>
    <w:p w14:paraId="5562E2E9" w14:textId="77777777" w:rsidR="000F21F8" w:rsidRDefault="000F21F8" w:rsidP="000F21F8">
      <w:r>
        <w:t>Los estudios que evaluaron misoprostol frente a oxitocina, placebo o diferentes dosis aportaron información adicional, pero no respondieron directamente a la pregunta principal oral frente a sublingual. Por ello, deben considerarse como evidencia contextual.</w:t>
      </w:r>
    </w:p>
    <w:p w14:paraId="4DA7DF4F" w14:textId="77777777" w:rsidR="000F21F8" w:rsidRDefault="000F21F8" w:rsidP="000F21F8">
      <w:r>
        <w:t xml:space="preserve">Los resultados frente a oxitocina fueron variables. Sandoval et al. y el ensayo de </w:t>
      </w:r>
      <w:proofErr w:type="spellStart"/>
      <w:r>
        <w:t>Gülmezoglu</w:t>
      </w:r>
      <w:proofErr w:type="spellEnd"/>
      <w:r>
        <w:t xml:space="preserve"> et al. favorecieron a la oxitocina, mientras que Morgan Ortiz et al. observaron menor sangrado medio con misoprostol oral y Falcón Condezo no encontró diferencias en volumen de sangrado. Esta variabilidad indica que el comparador, la dosis y el contexto modifican el desempeño observado.</w:t>
      </w:r>
    </w:p>
    <w:p w14:paraId="3C2EAB4C" w14:textId="77777777" w:rsidR="000F21F8" w:rsidRDefault="000F21F8" w:rsidP="000F21F8">
      <w:r>
        <w:t>Los estudios de Quiroga Díaz et al. (2009) y Rubio-</w:t>
      </w:r>
      <w:proofErr w:type="spellStart"/>
      <w:r>
        <w:t>Esperano</w:t>
      </w:r>
      <w:proofErr w:type="spellEnd"/>
      <w:r>
        <w:t xml:space="preserve"> et al. (2018) evaluaron misoprostol intrauterino como complemento de la oxitocina durante cesárea. Sus resultados fueron favorables en algunos indicadores hematológicos y clínicos. La revisión de Conde-Agudelo et al. (2013) también encontró beneficios de la combinación de misoprostol y oxitocina en determinados desenlaces durante cesárea. </w:t>
      </w:r>
    </w:p>
    <w:p w14:paraId="656E5507" w14:textId="77777777" w:rsidR="000F21F8" w:rsidRDefault="000F21F8" w:rsidP="000F21F8">
      <w:r>
        <w:t>Estos hallazgos sugieren un posible papel coadyuvante del misoprostol, pero tienen menor relevancia para el objetivo central de esta tesis porque se refieren a otra vía, otro tipo de parto y una estrategia combinada. No deben utilizarse para inferir superioridad de la vía sublingual sobre la oral.</w:t>
      </w:r>
    </w:p>
    <w:p w14:paraId="113AFA27" w14:textId="77777777" w:rsidR="000F21F8" w:rsidRDefault="000F21F8" w:rsidP="000F21F8">
      <w:pPr>
        <w:pStyle w:val="Ttulo2"/>
        <w:rPr>
          <w:lang w:val="es-ES"/>
        </w:rPr>
      </w:pPr>
      <w:bookmarkStart w:id="72" w:name="_Toc235815394"/>
      <w:r>
        <w:t>Implicaciones para la práctica en América Latina</w:t>
      </w:r>
      <w:bookmarkEnd w:id="72"/>
    </w:p>
    <w:p w14:paraId="1E9B5794" w14:textId="77777777" w:rsidR="000F21F8" w:rsidRDefault="000F21F8" w:rsidP="000F21F8">
      <w:r>
        <w:t xml:space="preserve">Los resultados de esta revisión muestran que la evidencia latinoamericana disponible sobre la comparación entre misoprostol sublingual y oral para la prevención de la hemorragia </w:t>
      </w:r>
      <w:r>
        <w:lastRenderedPageBreak/>
        <w:t>posparto continúa siendo insuficiente. Solo un estudio comparó directamente ambas vías, por lo que no es posible establecer una recomendación regional definitiva sobre cuál ofrece mayor efectividad. En consecuencia, la elección de la vía no debería basarse en una supuesta superioridad demostrada, sino en la valoración conjunta de la evidencia disponible, el perfil de reacciones adversas, la disponibilidad de oxitocina y las condiciones operativas de cada servicio.</w:t>
      </w:r>
    </w:p>
    <w:p w14:paraId="487B7F17" w14:textId="77777777" w:rsidR="000F21F8" w:rsidRDefault="000F21F8" w:rsidP="000F21F8">
      <w:r>
        <w:t>En establecimientos donde la oxitocina está disponible, se conserva adecuadamente y puede administrarse oportunamente, esta continúa siendo la opción con mayor respaldo para la prevención de la hemorragia posparto. Sin embargo, en áreas rurales, servicios periféricos o contextos con limitaciones de cadena de frío, suministros o personal capacitado para administrar inyectables, el misoprostol conserva una utilidad práctica importante por su estabilidad a temperatura ambiente y facilidad de administración.</w:t>
      </w:r>
    </w:p>
    <w:p w14:paraId="44C76348" w14:textId="77777777" w:rsidR="000F21F8" w:rsidRDefault="000F21F8" w:rsidP="000F21F8">
      <w:r>
        <w:t>La vía sublingual puede producir una respuesta uterotónica más rápida, pero también se asoció con mayor frecuencia de fiebre, escalofríos y temblores. La vía oral mostró un perfil de tolerabilidad potencialmente más favorable en algunos estudios, aunque tampoco estuvo exenta de reacciones adversas. Por ello, la selección entre ambas debe considerar no solo la posible reducción del sangrado, sino también la capacidad del servicio para vigilar y manejar los efectos adversos.</w:t>
      </w:r>
    </w:p>
    <w:p w14:paraId="30389766" w14:textId="77777777" w:rsidR="000F21F8" w:rsidRDefault="000F21F8" w:rsidP="000F21F8">
      <w:r>
        <w:t>A nivel regional, los hallazgos respaldan la necesidad de protocolos estandarizados que definan con claridad la dosis, la vía de administración, los criterios de vigilancia y las medidas de rescate. También se requiere uniformar la definición de hemorragia posparto y los métodos de cuantificación del sangrado, ya que la utilización de umbrales y procedimientos distintos limita la comparación entre países y dificulta generar recomendaciones comunes.</w:t>
      </w:r>
    </w:p>
    <w:p w14:paraId="06150085" w14:textId="77777777" w:rsidR="000F21F8" w:rsidRDefault="000F21F8" w:rsidP="000F21F8">
      <w:r>
        <w:t>La evidencia identificada estuvo concentrada en pocos países, lo que evidencia la necesidad de ensayos clínicos multicéntricos latinoamericanos que comparen directamente las vías sublingual y oral. Estos estudios deberían incluir desenlaces clínicos homogéneos, evaluación sistemática de seguridad y contextos con diferentes niveles de recursos, para que sus resultados sean aplicables tanto a hospitales de referencia como a unidades rurales o comunitarias.</w:t>
      </w:r>
    </w:p>
    <w:p w14:paraId="6EC1A756" w14:textId="77777777" w:rsidR="000F21F8" w:rsidRDefault="000F21F8" w:rsidP="000F21F8">
      <w:pPr>
        <w:pStyle w:val="Ttulo2"/>
      </w:pPr>
      <w:bookmarkStart w:id="73" w:name="_Toc235815395"/>
      <w:r>
        <w:lastRenderedPageBreak/>
        <w:t>Implicaciones para la práctica en Nicaragua</w:t>
      </w:r>
      <w:bookmarkEnd w:id="73"/>
    </w:p>
    <w:p w14:paraId="163D70DA" w14:textId="77777777" w:rsidR="000F21F8" w:rsidRDefault="000F21F8" w:rsidP="000F21F8">
      <w:r>
        <w:t>Aunque no se identificaron estudios nicaragüenses elegibles, los resultados de esta revisión son relevantes para Nicaragua porque abordan una decisión clínica vinculada con la disponibilidad de uterotónicos, la capacidad de almacenamiento y las diferencias en el acceso a atención obstétrica entre territorios y niveles de atención.</w:t>
      </w:r>
    </w:p>
    <w:p w14:paraId="4E1F102B" w14:textId="77777777" w:rsidR="000F21F8" w:rsidRDefault="000F21F8" w:rsidP="000F21F8">
      <w:r>
        <w:t>En Nicaragua, la información obtenida puede utilizarse para orientar la revisión de protocolos nacionales y locales sobre prevención de hemorragia posparto. La evidencia no permite recomendar de forma general la vía sublingual sobre la oral. Por tanto, cualquier selección entre ambas debe ajustarse a las normas nacionales, a la disponibilidad de oxitocina, al nivel de atención y a la capacidad de vigilancia de cada establecimiento.</w:t>
      </w:r>
    </w:p>
    <w:p w14:paraId="18BC2B93" w14:textId="77777777" w:rsidR="000F21F8" w:rsidRDefault="000F21F8" w:rsidP="000F21F8">
      <w:r>
        <w:t>En hospitales con cadena de frío funcional, disponibilidad continua de oxitocina y personal capacitado, la oxitocina debe mantenerse como primera opción. El misoprostol puede ser especialmente relevante en puestos de salud, centros con recursos limitados, zonas rurales o situaciones en las que no sea posible garantizar la conservación o administración inmediata de uterotónicos inyectables.</w:t>
      </w:r>
    </w:p>
    <w:p w14:paraId="05E053BD" w14:textId="77777777" w:rsidR="000F21F8" w:rsidRDefault="000F21F8" w:rsidP="000F21F8">
      <w:r>
        <w:t>La revisión también aporta información práctica para la capacitación del personal. La fiebre, los escalofríos, los temblores y las molestias gastrointestinales deben reconocerse como reacciones adversas posibles del misoprostol, con mayor frecuencia observada en algunos estudios sublinguales. Esta información puede incorporarse en la consejería a las mujeres, la vigilancia posparto y los algoritmos para diferenciar una reacción farmacológica transitoria de una posible infección u otra complicación.</w:t>
      </w:r>
    </w:p>
    <w:p w14:paraId="09F92905" w14:textId="77777777" w:rsidR="000F21F8" w:rsidRDefault="000F21F8" w:rsidP="000F21F8">
      <w:r>
        <w:t>Además, los resultados refuerzan la necesidad de mejorar la cuantificación objetiva del sangrado y el registro del uterotónico utilizado, la vía, la dosis, las intervenciones adicionales y los eventos adversos. La incorporación sistemática de estas variables en los expedientes clínicos permitiría generar evidencia nacional y conocer el desempeño real del misoprostol en los distintos servicios del país.</w:t>
      </w:r>
    </w:p>
    <w:p w14:paraId="36A75080" w14:textId="77777777" w:rsidR="000F21F8" w:rsidRDefault="000F21F8" w:rsidP="000F21F8">
      <w:r>
        <w:t xml:space="preserve">La ausencia de investigaciones nicaragüenses constituye una oportunidad para desarrollar estudios prospectivos y multicéntricos que incluyan hospitales, centros de salud y territorios con diferente capacidad resolutiva. Estos estudios podrían evaluar no solo eficacia y </w:t>
      </w:r>
      <w:r>
        <w:lastRenderedPageBreak/>
        <w:t>seguridad, sino también disponibilidad, aceptabilidad, costos, adherencia a protocolos y necesidad de referencia. De esta manera, la información regional reunida en esta revisión puede servir como punto de partida para producir evidencia local y fortalecer la prevención de la hemorragia posparto en Nicaragua.</w:t>
      </w:r>
    </w:p>
    <w:p w14:paraId="2914F379" w14:textId="77777777" w:rsidR="000F21F8" w:rsidRDefault="000F21F8" w:rsidP="000F21F8">
      <w:pPr>
        <w:pStyle w:val="Ttulo2"/>
      </w:pPr>
      <w:bookmarkStart w:id="74" w:name="_Toc235815396"/>
      <w:r>
        <w:t>Fortalezas de la revisión</w:t>
      </w:r>
      <w:bookmarkEnd w:id="74"/>
    </w:p>
    <w:p w14:paraId="23CD366F" w14:textId="77777777" w:rsidR="000F21F8" w:rsidRDefault="000F21F8" w:rsidP="000F21F8">
      <w:r>
        <w:t>Una fortaleza fue el enfoque específico en América Latina y en la comparación entre las vías sublingual y oral. La búsqueda en bases regionales permitió identificar estudios que probablemente no habrían sido recuperados mediante una búsqueda limitada a bases internacionales.</w:t>
      </w:r>
    </w:p>
    <w:p w14:paraId="12AE1320" w14:textId="77777777" w:rsidR="000F21F8" w:rsidRDefault="000F21F8" w:rsidP="000F21F8">
      <w:r>
        <w:t>La revisión organizó los hallazgos según la vía de administración, en lugar de tratar todos los estudios de misoprostol como una sola intervención. Esto permitió distinguir la evidencia directamente relacionada con el objetivo general de los hallazgos adicionales frente a oxitocina, placebo, otras dosis o vía intrauterina.</w:t>
      </w:r>
    </w:p>
    <w:p w14:paraId="3B205B16" w14:textId="77777777" w:rsidR="000F21F8" w:rsidRDefault="000F21F8" w:rsidP="000F21F8">
      <w:r>
        <w:t xml:space="preserve">También se separaron los desenlaces dicotómicos de HPP y el volumen continuo de sangrado. Esta distinción fue importante para determinar la viabilidad de los </w:t>
      </w:r>
      <w:proofErr w:type="spellStart"/>
      <w:r>
        <w:t>metanálisis</w:t>
      </w:r>
      <w:proofErr w:type="spellEnd"/>
      <w:r>
        <w:t xml:space="preserve"> y evitar combinar medidas no equivalentes.</w:t>
      </w:r>
    </w:p>
    <w:p w14:paraId="63533820" w14:textId="77777777" w:rsidR="000F21F8" w:rsidRDefault="000F21F8" w:rsidP="000F21F8">
      <w:r>
        <w:t>La seguridad se analizó de manera específica para cada vía, incluyendo frecuencia de reacciones adversas y complicaciones atribuidas al medicamento. Esto permitió valorar no solo la posible efectividad, sino también el balance entre beneficio y tolerabilidad.</w:t>
      </w:r>
    </w:p>
    <w:p w14:paraId="0A9D1B5D" w14:textId="77777777" w:rsidR="000F21F8" w:rsidRDefault="000F21F8" w:rsidP="000F21F8">
      <w:pPr>
        <w:pStyle w:val="Ttulo2"/>
      </w:pPr>
      <w:bookmarkStart w:id="75" w:name="_Toc235815397"/>
      <w:r>
        <w:t>Limitaciones de la revisión</w:t>
      </w:r>
      <w:bookmarkEnd w:id="75"/>
    </w:p>
    <w:p w14:paraId="482F7C4D" w14:textId="77777777" w:rsidR="000F21F8" w:rsidRDefault="000F21F8" w:rsidP="000F21F8">
      <w:r>
        <w:t xml:space="preserve">La principal limitación fue la existencia de un solo estudio que comparó directamente misoprostol sublingual con oral. Esta restricción impidió realizar un </w:t>
      </w:r>
      <w:proofErr w:type="spellStart"/>
      <w:r>
        <w:t>metanálisis</w:t>
      </w:r>
      <w:proofErr w:type="spellEnd"/>
      <w:r>
        <w:t xml:space="preserve"> comparativo y responder de manera definitiva al objetivo general.</w:t>
      </w:r>
    </w:p>
    <w:p w14:paraId="60C074AE" w14:textId="77777777" w:rsidR="000F21F8" w:rsidRDefault="000F21F8" w:rsidP="000F21F8">
      <w:r>
        <w:t xml:space="preserve">Los estudios utilizaron diferentes definiciones de HPP, principalmente 500 y 1000 </w:t>
      </w:r>
      <w:proofErr w:type="spellStart"/>
      <w:r>
        <w:t>mL</w:t>
      </w:r>
      <w:proofErr w:type="spellEnd"/>
      <w:r>
        <w:t>. La falta de uniformidad afectó la comparabilidad y explica parte de la heterogeneidad observada.</w:t>
      </w:r>
    </w:p>
    <w:p w14:paraId="524927D4" w14:textId="77777777" w:rsidR="000F21F8" w:rsidRDefault="000F21F8" w:rsidP="000F21F8">
      <w:r>
        <w:t>Las dosis variaron entre 100 y 600 microgramos. Además, los comparadores y las características clínicas no fueron homogéneos. Estas diferencias impiden atribuir las variaciones de frecuencia únicamente a la vía de administración.</w:t>
      </w:r>
    </w:p>
    <w:p w14:paraId="5B89CA14" w14:textId="77777777" w:rsidR="000F21F8" w:rsidRDefault="000F21F8" w:rsidP="000F21F8">
      <w:r>
        <w:lastRenderedPageBreak/>
        <w:t xml:space="preserve">Los </w:t>
      </w:r>
      <w:proofErr w:type="spellStart"/>
      <w:r>
        <w:t>metanálisis</w:t>
      </w:r>
      <w:proofErr w:type="spellEnd"/>
      <w:r>
        <w:t xml:space="preserve"> de proporciones no incluyeron comparadores y, por tanto, no estiman un efecto causal. La proporción observada dentro de una vía puede depender del riesgo basal, la atención obstétrica, la medición del sangrado y otras intervenciones.</w:t>
      </w:r>
    </w:p>
    <w:p w14:paraId="501A47D8" w14:textId="77777777" w:rsidR="000F21F8" w:rsidRDefault="000F21F8" w:rsidP="000F21F8">
      <w:r>
        <w:t>En el análisis sublingual, tres estimaciones procedieron de grupos del mismo estudio. Esto introduce dependencia estadística y reduce la validez de las pruebas de asimetría. En el análisis oral solo se incluyeron dos estudios, lo que produjo una estimación inestable y un intervalo de confianza muy amplio.</w:t>
      </w:r>
    </w:p>
    <w:p w14:paraId="1B42F67F" w14:textId="77777777" w:rsidR="000F21F8" w:rsidRDefault="000F21F8" w:rsidP="000F21F8">
      <w:r>
        <w:t>La inclusión de hipotonía uterina como evento relacionado con HPP permitió incorporar información de Sarabia Salazar et al., pero también añadió heterogeneidad porque la hipotonía no equivale necesariamente a una hemorragia cuantificada.</w:t>
      </w:r>
    </w:p>
    <w:p w14:paraId="72F7357C" w14:textId="77777777" w:rsidR="000F21F8" w:rsidRDefault="000F21F8" w:rsidP="000F21F8">
      <w:r>
        <w:t>Finalmente, no se identificaron estudios realizados en Nicaragua. La aplicabilidad al país debe basarse en la similitud de los contextos clínicos y no en evidencia local directa.</w:t>
      </w:r>
    </w:p>
    <w:p w14:paraId="10CBBD9A" w14:textId="77777777" w:rsidR="000F21F8" w:rsidRDefault="000F21F8" w:rsidP="000F21F8">
      <w:pPr>
        <w:pStyle w:val="Ttulo2"/>
      </w:pPr>
      <w:bookmarkStart w:id="76" w:name="_Toc235815398"/>
      <w:r>
        <w:t>Implicaciones para futuras investigaciones</w:t>
      </w:r>
      <w:bookmarkEnd w:id="76"/>
    </w:p>
    <w:p w14:paraId="7335719E" w14:textId="77777777" w:rsidR="000F21F8" w:rsidRDefault="000F21F8" w:rsidP="000F21F8">
      <w:r>
        <w:t>La prioridad principal es realizar ensayos clínicos aleatorizados en América Latina que comparen directamente misoprostol sublingual y oral en mujeres con parto vaginal. Estos estudios deberían utilizar dosis equivalentes, doble simulación cuando sea posible y procedimientos estandarizados de manejo activo del tercer período del parto.</w:t>
      </w:r>
    </w:p>
    <w:p w14:paraId="6454AED6" w14:textId="77777777" w:rsidR="000F21F8" w:rsidRDefault="000F21F8" w:rsidP="000F21F8">
      <w:r>
        <w:t xml:space="preserve">Los desenlaces deberían incluir HPP igual o superior a 500 </w:t>
      </w:r>
      <w:proofErr w:type="spellStart"/>
      <w:r>
        <w:t>mL</w:t>
      </w:r>
      <w:proofErr w:type="spellEnd"/>
      <w:r>
        <w:t xml:space="preserve">, HPP grave igual o superior a 1000 </w:t>
      </w:r>
      <w:proofErr w:type="spellStart"/>
      <w:r>
        <w:t>mL</w:t>
      </w:r>
      <w:proofErr w:type="spellEnd"/>
      <w:r>
        <w:t>, volumen medio de sangrado, uso de uterotónicos adicionales, transfusión, cambios hematológicos y reacciones adversas. La medición del sangrado debe efectuarse mediante métodos objetivos y comparables.</w:t>
      </w:r>
    </w:p>
    <w:p w14:paraId="1FC42C13" w14:textId="77777777" w:rsidR="000F21F8" w:rsidRDefault="000F21F8" w:rsidP="000F21F8">
      <w:r>
        <w:t>Los estudios deben diseñarse como ensayos de superioridad, equivalencia o no inferioridad según la pregunta específica. Si el propósito es demostrar que una vía no es inferior a otra, debe establecerse previamente un margen clínicamente aceptable y calcular el tamaño muestral correspondiente.</w:t>
      </w:r>
    </w:p>
    <w:p w14:paraId="43DB90B2" w14:textId="77777777" w:rsidR="000F21F8" w:rsidRDefault="000F21F8" w:rsidP="000F21F8">
      <w:r>
        <w:t xml:space="preserve">En Nicaragua se necesitan estudios prospectivos multicéntricos que incluyan hospitales de distintos niveles y territorios con diferente acceso a oxitocina. Además de eficacia y </w:t>
      </w:r>
      <w:r>
        <w:lastRenderedPageBreak/>
        <w:t>seguridad, deberían evaluar disponibilidad, costos, aceptabilidad, facilidad de administración, almacenamiento, cumplimiento de protocolos y necesidad de referencia.</w:t>
      </w:r>
    </w:p>
    <w:p w14:paraId="594AD48E" w14:textId="77777777" w:rsidR="000F21F8" w:rsidRDefault="000F21F8" w:rsidP="000F21F8">
      <w:r>
        <w:t>También sería útil establecer registros nacionales de HPP que documenten el uterotónico utilizado, la vía, la dosis, el volumen de sangrado, el tratamiento adicional y los eventos adversos. Estos datos permitirían conocer la práctica real y orientar futuras recomendaciones nacionales.</w:t>
      </w:r>
    </w:p>
    <w:p w14:paraId="76E43542" w14:textId="129934F0" w:rsidR="007F0150" w:rsidRDefault="007F0150" w:rsidP="000F21F8"/>
    <w:p w14:paraId="1A9085C0" w14:textId="3567D0D2" w:rsidR="000F21F8" w:rsidRDefault="000F21F8" w:rsidP="000F21F8"/>
    <w:p w14:paraId="6AC2D95C" w14:textId="17F7C686" w:rsidR="000F21F8" w:rsidRDefault="000F21F8" w:rsidP="000F21F8"/>
    <w:p w14:paraId="1787C48B" w14:textId="4E573150" w:rsidR="000F21F8" w:rsidRDefault="000F21F8" w:rsidP="000F21F8"/>
    <w:p w14:paraId="020BA435" w14:textId="710A3EEC" w:rsidR="000F21F8" w:rsidRDefault="000F21F8" w:rsidP="000F21F8"/>
    <w:p w14:paraId="311CE510" w14:textId="0AA6B61D" w:rsidR="000F21F8" w:rsidRDefault="000F21F8" w:rsidP="000F21F8"/>
    <w:p w14:paraId="38A534A7" w14:textId="1306E274" w:rsidR="000F21F8" w:rsidRDefault="000F21F8" w:rsidP="000F21F8"/>
    <w:p w14:paraId="0A2A468C" w14:textId="16A577BC" w:rsidR="000F21F8" w:rsidRDefault="000F21F8" w:rsidP="000F21F8"/>
    <w:p w14:paraId="64EF2F9A" w14:textId="09D489D7" w:rsidR="000F21F8" w:rsidRDefault="000F21F8" w:rsidP="000F21F8"/>
    <w:p w14:paraId="39B8B4EE" w14:textId="06D64259" w:rsidR="000F21F8" w:rsidRDefault="000F21F8" w:rsidP="000F21F8"/>
    <w:p w14:paraId="64BC169D" w14:textId="4442A98A" w:rsidR="000F21F8" w:rsidRDefault="000F21F8" w:rsidP="000F21F8"/>
    <w:p w14:paraId="4C6EDD50" w14:textId="4967EA16" w:rsidR="000F21F8" w:rsidRDefault="000F21F8" w:rsidP="000F21F8"/>
    <w:p w14:paraId="328C20DD" w14:textId="6FDE47E7" w:rsidR="000F21F8" w:rsidRDefault="000F21F8" w:rsidP="000F21F8"/>
    <w:p w14:paraId="3D794947" w14:textId="5F152EF6" w:rsidR="000F21F8" w:rsidRDefault="000F21F8" w:rsidP="000F21F8"/>
    <w:p w14:paraId="4AB76E54" w14:textId="493B78AD" w:rsidR="000F21F8" w:rsidRDefault="000F21F8" w:rsidP="000F21F8"/>
    <w:p w14:paraId="09916882" w14:textId="131A9F9A" w:rsidR="000F21F8" w:rsidRDefault="000F21F8" w:rsidP="000F21F8"/>
    <w:p w14:paraId="7F69A1B8" w14:textId="701D9EA3" w:rsidR="000F21F8" w:rsidRDefault="000F21F8" w:rsidP="000F21F8"/>
    <w:p w14:paraId="3B5BD285" w14:textId="7E20D44A" w:rsidR="000F21F8" w:rsidRDefault="000F21F8" w:rsidP="000F21F8"/>
    <w:p w14:paraId="4C7D0A3A" w14:textId="1A2DE5DF" w:rsidR="00BC669C" w:rsidRDefault="00BC669C" w:rsidP="00BC669C">
      <w:pPr>
        <w:pStyle w:val="Ttulo1"/>
      </w:pPr>
      <w:bookmarkStart w:id="77" w:name="_Toc235815399"/>
      <w:r>
        <w:lastRenderedPageBreak/>
        <w:t>Conclusiones</w:t>
      </w:r>
      <w:bookmarkEnd w:id="77"/>
    </w:p>
    <w:p w14:paraId="243E1864" w14:textId="77777777" w:rsidR="00BC669C" w:rsidRDefault="00BC669C" w:rsidP="00BC669C">
      <w:pPr>
        <w:numPr>
          <w:ilvl w:val="0"/>
          <w:numId w:val="2"/>
        </w:numPr>
      </w:pPr>
      <w:r>
        <w:t>Los estudios latinoamericanos sobre misoprostol para la prevención de la hemorragia posparto presentaron una amplia variabilidad en las vías de administración, dosis, comparadores, métodos de medición del sangrado y definiciones de HPP. Aunque se identificaron investigaciones con misoprostol sublingual y oral, solo un estudio comparó directamente ambas vías. Además, la evidencia se concentró en pocos países y no se identificaron estudios realizados en Nicaragua, lo que confirma que la información regional disponible continúa siendo limitada.</w:t>
      </w:r>
    </w:p>
    <w:p w14:paraId="7D3A779C" w14:textId="77777777" w:rsidR="00BC669C" w:rsidRDefault="00BC669C" w:rsidP="00BC669C">
      <w:pPr>
        <w:numPr>
          <w:ilvl w:val="0"/>
          <w:numId w:val="2"/>
        </w:numPr>
      </w:pPr>
      <w:r>
        <w:t>La calidad metodológica de los estudios fue variable. Los siete ensayos aleatorizados fueron clasificados globalmente con algunas preocupaciones de riesgo de sesgo, principalmente por información insuficiente sobre la generación y ocultamiento de la asignación, el cegamiento y la selección de los resultados informados. Los dos ensayos no aleatorizados presentaron mayores limitaciones relacionadas con confusión, selección de participantes y ausencia de cegamiento. En consecuencia, los resultados aportan información útil, pero deben interpretarse con cautela.</w:t>
      </w:r>
    </w:p>
    <w:p w14:paraId="470BA038" w14:textId="77777777" w:rsidR="00BC669C" w:rsidRDefault="00BC669C" w:rsidP="00BC669C">
      <w:pPr>
        <w:numPr>
          <w:ilvl w:val="0"/>
          <w:numId w:val="2"/>
        </w:numPr>
      </w:pPr>
      <w:r>
        <w:t>La evidencia disponible no permitió confirmar que el misoprostol sublingual sea más efectivo que el oral para prevenir la hemorragia posparto. La única comparación directa favoreció a la vía sublingual en el volumen medio de sangrado y la duración del alumbramiento, pero sus limitaciones metodológicas impiden establecer una conclusión definitiva. Cuando ambas vías se analizaron por separado, mostraron actividad profiláctica, aunque con resultados heterogéneos. Las proporciones combinadas obtenidas para misoprostol sublingual y oral no son directamente comparables y no permiten afirmar superioridad de una vía sobre la otra.</w:t>
      </w:r>
    </w:p>
    <w:p w14:paraId="6DD864D7" w14:textId="15E8BD1C" w:rsidR="00BC669C" w:rsidRDefault="00BC669C" w:rsidP="00BC669C">
      <w:pPr>
        <w:numPr>
          <w:ilvl w:val="0"/>
          <w:numId w:val="2"/>
        </w:numPr>
      </w:pPr>
      <w:r>
        <w:t>El perfil de seguridad fue diferente entre las vías. La administración sublingual se asoció con mayor frecuencia de fiebre, escalofríos y temblores en algunos estudios, mientras que la vía oral mostró una tolerabilidad aparentemente más favorable con dosis menores, aunque también presentó reacciones adversas, especialmente con dosis de 600 microgramos. No se reportaron de manera consistente complicaciones graves atribuibles al misoprostol.</w:t>
      </w:r>
    </w:p>
    <w:p w14:paraId="3CFE8BA6" w14:textId="77777777" w:rsidR="00F8145A" w:rsidRDefault="00F8145A" w:rsidP="00F8145A">
      <w:pPr>
        <w:ind w:left="360"/>
      </w:pPr>
    </w:p>
    <w:p w14:paraId="5C6F640B" w14:textId="678934B6" w:rsidR="00BC669C" w:rsidRDefault="00BC669C" w:rsidP="00BC669C">
      <w:pPr>
        <w:pStyle w:val="Ttulo1"/>
      </w:pPr>
      <w:bookmarkStart w:id="78" w:name="_Toc235815400"/>
      <w:r>
        <w:lastRenderedPageBreak/>
        <w:t>Recomendaciones</w:t>
      </w:r>
      <w:bookmarkEnd w:id="78"/>
    </w:p>
    <w:p w14:paraId="684934C0" w14:textId="77777777" w:rsidR="007D7DA7" w:rsidRDefault="007D7DA7" w:rsidP="007D7DA7">
      <w:pPr>
        <w:pStyle w:val="Ttulo2"/>
      </w:pPr>
      <w:bookmarkStart w:id="79" w:name="_Toc235815401"/>
      <w:r>
        <w:t>Para el personal asistencial</w:t>
      </w:r>
      <w:bookmarkEnd w:id="79"/>
    </w:p>
    <w:p w14:paraId="5B79A7DA" w14:textId="77777777" w:rsidR="007D7DA7" w:rsidRDefault="007D7DA7" w:rsidP="007D7DA7">
      <w:pPr>
        <w:numPr>
          <w:ilvl w:val="0"/>
          <w:numId w:val="3"/>
        </w:numPr>
      </w:pPr>
      <w:r>
        <w:t>No asumir que la vía sublingual es superior a la vía oral para la prevención de la hemorragia posparto, debido a que la evidencia latinoamericana disponible no permite confirmarlo. La elección de la vía debe ajustarse a los protocolos vigentes, la dosis utilizada, el perfil de reacciones adversas y las condiciones clínicas de cada paciente.</w:t>
      </w:r>
    </w:p>
    <w:p w14:paraId="65294AEF" w14:textId="77777777" w:rsidR="007D7DA7" w:rsidRDefault="007D7DA7" w:rsidP="007D7DA7">
      <w:pPr>
        <w:numPr>
          <w:ilvl w:val="0"/>
          <w:numId w:val="3"/>
        </w:numPr>
      </w:pPr>
      <w:r>
        <w:t>Vigilar de forma sistemática las reacciones adversas asociadas al misoprostol, especialmente fiebre, escalofríos, temblores y síntomas gastrointestinales, ya que algunos estudios mostraron una mayor frecuencia de estos eventos con la vía sublingual.</w:t>
      </w:r>
    </w:p>
    <w:p w14:paraId="7C2C8C83" w14:textId="77777777" w:rsidR="007D7DA7" w:rsidRDefault="007D7DA7" w:rsidP="007D7DA7">
      <w:pPr>
        <w:pStyle w:val="Ttulo2"/>
      </w:pPr>
      <w:bookmarkStart w:id="80" w:name="_Toc235815402"/>
      <w:r>
        <w:t>Para autoridades sanitarias e instituciones de salud</w:t>
      </w:r>
      <w:bookmarkEnd w:id="80"/>
    </w:p>
    <w:p w14:paraId="541767B0" w14:textId="77777777" w:rsidR="007D7DA7" w:rsidRDefault="007D7DA7" w:rsidP="007D7DA7">
      <w:pPr>
        <w:numPr>
          <w:ilvl w:val="0"/>
          <w:numId w:val="4"/>
        </w:numPr>
      </w:pPr>
      <w:r>
        <w:t>Evitar establecer recomendaciones institucionales que privilegien la vía sublingual sobre la oral mientras no exista evidencia comparativa regional suficiente. Los protocolos deben reconocer que la superioridad de una vía no ha sido demostrada y presentar ambas opciones con criterios claros de uso y vigilancia.</w:t>
      </w:r>
    </w:p>
    <w:p w14:paraId="20F1AC92" w14:textId="77777777" w:rsidR="007D7DA7" w:rsidRDefault="007D7DA7" w:rsidP="007D7DA7">
      <w:pPr>
        <w:numPr>
          <w:ilvl w:val="0"/>
          <w:numId w:val="4"/>
        </w:numPr>
      </w:pPr>
      <w:r>
        <w:t>Incorporar en los registros obstétricos la vía y dosis de misoprostol, la frecuencia de HPP, el volumen de sangrado y las reacciones adversas. Esta información permitiría evaluar el desempeño real de cada vía y generar evidencia aplicable al contexto local.</w:t>
      </w:r>
    </w:p>
    <w:p w14:paraId="72762A83" w14:textId="77777777" w:rsidR="007D7DA7" w:rsidRDefault="007D7DA7" w:rsidP="007D7DA7">
      <w:pPr>
        <w:pStyle w:val="Ttulo2"/>
      </w:pPr>
      <w:bookmarkStart w:id="81" w:name="_Toc235815403"/>
      <w:r>
        <w:t>Para la comunidad académica e investigadora</w:t>
      </w:r>
      <w:bookmarkEnd w:id="81"/>
    </w:p>
    <w:p w14:paraId="3A49DCC0" w14:textId="77777777" w:rsidR="007D7DA7" w:rsidRDefault="007D7DA7" w:rsidP="007D7DA7">
      <w:pPr>
        <w:numPr>
          <w:ilvl w:val="0"/>
          <w:numId w:val="5"/>
        </w:numPr>
      </w:pPr>
      <w:r>
        <w:t>Desarrollar ensayos clínicos aleatorizados que comparen directamente misoprostol sublingual y oral en mujeres con parto vaginal, utilizando dosis equivalentes, definiciones uniformes de HPP y métodos objetivos de cuantificación del sangrado.</w:t>
      </w:r>
    </w:p>
    <w:p w14:paraId="3EA680A6" w14:textId="77777777" w:rsidR="007D7DA7" w:rsidRDefault="007D7DA7" w:rsidP="007D7DA7">
      <w:pPr>
        <w:numPr>
          <w:ilvl w:val="0"/>
          <w:numId w:val="5"/>
        </w:numPr>
      </w:pPr>
      <w:r>
        <w:t>Diseñar estudios con tamaño muestral suficiente para determinar superioridad, equivalencia o no inferioridad entre ambas vías y con evaluación estandarizada de seguridad.</w:t>
      </w:r>
    </w:p>
    <w:p w14:paraId="15B81E55" w14:textId="7651F9B9" w:rsidR="00BC669C" w:rsidRDefault="007D7DA7" w:rsidP="007D7DA7">
      <w:pPr>
        <w:numPr>
          <w:ilvl w:val="0"/>
          <w:numId w:val="5"/>
        </w:numPr>
      </w:pPr>
      <w:r>
        <w:lastRenderedPageBreak/>
        <w:t>Promover investigaciones multicéntricas en América Latina y Nicaragua, donde no se identificaron estudios comparativos, para establecer si los resultados observados en otras regiones son aplicables a la población y a los servicios obstétricos locales.</w:t>
      </w:r>
    </w:p>
    <w:p w14:paraId="41E62D10" w14:textId="365B8638" w:rsidR="000C2519" w:rsidRDefault="000C2519" w:rsidP="000C2519"/>
    <w:p w14:paraId="7038F027" w14:textId="0D5B0B24" w:rsidR="000C2519" w:rsidRDefault="000C2519" w:rsidP="000C2519"/>
    <w:p w14:paraId="78C70AAA" w14:textId="17417E3E" w:rsidR="000C2519" w:rsidRDefault="000C2519" w:rsidP="000C2519"/>
    <w:p w14:paraId="4694CBF1" w14:textId="59CE4518" w:rsidR="000C2519" w:rsidRDefault="000C2519" w:rsidP="000C2519"/>
    <w:p w14:paraId="593D7FF6" w14:textId="27B67BAA" w:rsidR="000C2519" w:rsidRDefault="000C2519" w:rsidP="000C2519"/>
    <w:p w14:paraId="1EB2DDBC" w14:textId="4324ACD4" w:rsidR="000C2519" w:rsidRDefault="000C2519" w:rsidP="000C2519"/>
    <w:p w14:paraId="7107130F" w14:textId="27D20488" w:rsidR="000C2519" w:rsidRDefault="000C2519" w:rsidP="000C2519"/>
    <w:p w14:paraId="3F04ADE6" w14:textId="63BD3C2E" w:rsidR="000C2519" w:rsidRDefault="000C2519" w:rsidP="000C2519"/>
    <w:p w14:paraId="6DBA95A3" w14:textId="6D6B361A" w:rsidR="000C2519" w:rsidRDefault="000C2519" w:rsidP="000C2519"/>
    <w:p w14:paraId="45077D34" w14:textId="2AA1F64C" w:rsidR="000C2519" w:rsidRDefault="000C2519" w:rsidP="000C2519"/>
    <w:p w14:paraId="227289B2" w14:textId="36CE47CC" w:rsidR="000C2519" w:rsidRDefault="000C2519" w:rsidP="000C2519"/>
    <w:p w14:paraId="22A54111" w14:textId="01DC71B9" w:rsidR="000C2519" w:rsidRDefault="000C2519" w:rsidP="000C2519"/>
    <w:p w14:paraId="010382E7" w14:textId="2AA91BC9" w:rsidR="000C2519" w:rsidRDefault="000C2519" w:rsidP="000C2519"/>
    <w:p w14:paraId="349BC995" w14:textId="678B378F" w:rsidR="000C2519" w:rsidRDefault="000C2519" w:rsidP="000C2519"/>
    <w:p w14:paraId="62DF56DE" w14:textId="29194FE3" w:rsidR="000C2519" w:rsidRDefault="000C2519" w:rsidP="000C2519"/>
    <w:p w14:paraId="4B1A9281" w14:textId="2F46055F" w:rsidR="000C2519" w:rsidRDefault="000C2519" w:rsidP="000C2519"/>
    <w:p w14:paraId="2C48C748" w14:textId="0BEFF9A7" w:rsidR="000C2519" w:rsidRDefault="000C2519" w:rsidP="000C2519"/>
    <w:p w14:paraId="10493331" w14:textId="1E07FA46" w:rsidR="000C2519" w:rsidRDefault="000C2519" w:rsidP="000C2519"/>
    <w:p w14:paraId="33191CD5" w14:textId="77777777" w:rsidR="000C2519" w:rsidRDefault="000C2519" w:rsidP="000C2519"/>
    <w:p w14:paraId="127072F1" w14:textId="00F7C9C1" w:rsidR="009B4446" w:rsidRDefault="009B4446" w:rsidP="009B4446">
      <w:pPr>
        <w:pStyle w:val="Ttulo1"/>
      </w:pPr>
      <w:bookmarkStart w:id="82" w:name="_Toc235815404"/>
      <w:r>
        <w:lastRenderedPageBreak/>
        <w:t>Referencias</w:t>
      </w:r>
      <w:bookmarkEnd w:id="82"/>
    </w:p>
    <w:p w14:paraId="4BDB9661" w14:textId="77777777" w:rsidR="000C2519" w:rsidRDefault="000C2519" w:rsidP="000C2519">
      <w:pPr>
        <w:ind w:left="709" w:hanging="709"/>
      </w:pPr>
      <w:r>
        <w:t xml:space="preserve">Agarwal, S. N., &amp; </w:t>
      </w:r>
      <w:proofErr w:type="spellStart"/>
      <w:r>
        <w:t>Thakkar</w:t>
      </w:r>
      <w:proofErr w:type="spellEnd"/>
      <w:r>
        <w:t xml:space="preserve">, N. D. (2022). Sublingual misoprostol </w:t>
      </w:r>
      <w:proofErr w:type="spellStart"/>
      <w:r>
        <w:t>to</w:t>
      </w:r>
      <w:proofErr w:type="spellEnd"/>
      <w:r>
        <w:t xml:space="preserve"> reduce </w:t>
      </w:r>
      <w:proofErr w:type="spellStart"/>
      <w:r>
        <w:t>blood</w:t>
      </w:r>
      <w:proofErr w:type="spellEnd"/>
      <w:r>
        <w:t xml:space="preserve"> </w:t>
      </w:r>
      <w:proofErr w:type="spellStart"/>
      <w:r>
        <w:t>loss</w:t>
      </w:r>
      <w:proofErr w:type="spellEnd"/>
      <w:r>
        <w:t xml:space="preserve"> at </w:t>
      </w:r>
      <w:proofErr w:type="spellStart"/>
      <w:r>
        <w:t>caesarean</w:t>
      </w:r>
      <w:proofErr w:type="spellEnd"/>
      <w:r>
        <w:t xml:space="preserve"> </w:t>
      </w:r>
      <w:proofErr w:type="spellStart"/>
      <w:r>
        <w:t>delivery</w:t>
      </w:r>
      <w:proofErr w:type="spellEnd"/>
      <w:r>
        <w:t xml:space="preserve">. International </w:t>
      </w:r>
      <w:proofErr w:type="spellStart"/>
      <w:r>
        <w:t>Journal</w:t>
      </w:r>
      <w:proofErr w:type="spellEnd"/>
      <w:r>
        <w:t xml:space="preserve"> </w:t>
      </w:r>
      <w:proofErr w:type="spellStart"/>
      <w:r>
        <w:t>of</w:t>
      </w:r>
      <w:proofErr w:type="spellEnd"/>
      <w:r>
        <w:t xml:space="preserve"> </w:t>
      </w:r>
      <w:proofErr w:type="spellStart"/>
      <w:r>
        <w:t>Reproduction</w:t>
      </w:r>
      <w:proofErr w:type="spellEnd"/>
      <w:r>
        <w:t xml:space="preserve">, </w:t>
      </w:r>
      <w:proofErr w:type="spellStart"/>
      <w:r>
        <w:t>Contraception</w:t>
      </w:r>
      <w:proofErr w:type="spellEnd"/>
      <w:r>
        <w:t xml:space="preserve">, </w:t>
      </w:r>
      <w:proofErr w:type="spellStart"/>
      <w:r>
        <w:t>Obstetrics</w:t>
      </w:r>
      <w:proofErr w:type="spellEnd"/>
      <w:r>
        <w:t xml:space="preserve"> and </w:t>
      </w:r>
      <w:proofErr w:type="spellStart"/>
      <w:r>
        <w:t>Gynecology</w:t>
      </w:r>
      <w:proofErr w:type="spellEnd"/>
      <w:r>
        <w:t xml:space="preserve">, 11(1), 95–99. </w:t>
      </w:r>
      <w:hyperlink r:id="rId17" w:history="1">
        <w:r w:rsidRPr="00110B28">
          <w:rPr>
            <w:rStyle w:val="Hipervnculo"/>
          </w:rPr>
          <w:t>https://doi.org/10.18203/2320-1770.ijrcog20215082</w:t>
        </w:r>
      </w:hyperlink>
      <w:r>
        <w:t xml:space="preserve">  </w:t>
      </w:r>
    </w:p>
    <w:p w14:paraId="4224F59C" w14:textId="77777777" w:rsidR="000C2519" w:rsidRDefault="000C2519" w:rsidP="000C2519">
      <w:pPr>
        <w:ind w:left="709" w:hanging="709"/>
      </w:pPr>
      <w:r>
        <w:t xml:space="preserve">Aguirre, J. D. (2022.). Hemorragia </w:t>
      </w:r>
      <w:proofErr w:type="spellStart"/>
      <w:r>
        <w:t>post-parto</w:t>
      </w:r>
      <w:proofErr w:type="spellEnd"/>
      <w:r>
        <w:t xml:space="preserve">. En Salud de la mujer. </w:t>
      </w:r>
      <w:hyperlink r:id="rId18" w:history="1">
        <w:r w:rsidRPr="00110B28">
          <w:rPr>
            <w:rStyle w:val="Hipervnculo"/>
          </w:rPr>
          <w:t>https://sedici.unlp.edu.ar/bitstream/handle/10915/147984/Documento_completo.pdf?sequence=1m</w:t>
        </w:r>
      </w:hyperlink>
      <w:r>
        <w:t xml:space="preserve"> </w:t>
      </w:r>
    </w:p>
    <w:p w14:paraId="1EEF2A81" w14:textId="77777777" w:rsidR="000C2519" w:rsidRDefault="000C2519" w:rsidP="000C2519">
      <w:pPr>
        <w:ind w:left="709" w:hanging="709"/>
      </w:pPr>
      <w:r>
        <w:t xml:space="preserve">Alva, J., Alva, H., &amp; Canales, J. (2000). Eficacia del misoprostol vía sublingual comparado con vía oral en el tercer periodo del parto. Ginecología y Obstetricia, 46(1), 53–58. </w:t>
      </w:r>
      <w:hyperlink r:id="rId19" w:history="1">
        <w:r w:rsidRPr="00110B28">
          <w:rPr>
            <w:rStyle w:val="Hipervnculo"/>
          </w:rPr>
          <w:t>https://doi.org/10.31403/rpgo.v46i1387</w:t>
        </w:r>
      </w:hyperlink>
      <w:r>
        <w:t xml:space="preserve"> </w:t>
      </w:r>
    </w:p>
    <w:p w14:paraId="583E5F9E" w14:textId="03AC6B56" w:rsidR="000C2519" w:rsidRDefault="000C2519" w:rsidP="000C2519">
      <w:pPr>
        <w:ind w:left="709" w:hanging="709"/>
      </w:pPr>
      <w:r>
        <w:t xml:space="preserve">Angarita Peñaranda, W., Rodríguez </w:t>
      </w:r>
      <w:proofErr w:type="spellStart"/>
      <w:r>
        <w:t>Yances</w:t>
      </w:r>
      <w:proofErr w:type="spellEnd"/>
      <w:r>
        <w:t>, B., &amp; Borré Arrieta, O. (2003). Misoprostol sublingual en el tercer período del parto: Estudio clínico doble ciego, con asignación aleatoria, controlado con placebo en el Hospital de Maternidad Rafael Calvo de Cartagena. Revista Colombiana de Obstetricia y Ginecología, 54(2), 81–86.</w:t>
      </w:r>
      <w:r w:rsidR="00335D66">
        <w:t xml:space="preserve"> </w:t>
      </w:r>
      <w:hyperlink r:id="rId20" w:history="1">
        <w:r w:rsidR="00335D66" w:rsidRPr="007E48BD">
          <w:rPr>
            <w:rStyle w:val="Hipervnculo"/>
            <w:rFonts w:ascii="Arial" w:hAnsi="Arial" w:cs="Arial"/>
            <w:sz w:val="18"/>
            <w:szCs w:val="18"/>
          </w:rPr>
          <w:t>http://www.scielo.org.co/scielo.php?script=sci_arttext&amp;pid=S0034-74342003000200002&amp;lng=en&amp;tlng=es</w:t>
        </w:r>
      </w:hyperlink>
      <w:r w:rsidR="00335D66">
        <w:rPr>
          <w:rFonts w:ascii="Arial" w:hAnsi="Arial" w:cs="Arial"/>
          <w:color w:val="000000"/>
          <w:sz w:val="18"/>
          <w:szCs w:val="18"/>
        </w:rPr>
        <w:t xml:space="preserve">. </w:t>
      </w:r>
    </w:p>
    <w:p w14:paraId="6BE7188C" w14:textId="77777777" w:rsidR="000C2519" w:rsidRDefault="000C2519" w:rsidP="000C2519">
      <w:pPr>
        <w:ind w:left="709" w:hanging="709"/>
      </w:pPr>
      <w:proofErr w:type="spellStart"/>
      <w:r>
        <w:t>Atukunda</w:t>
      </w:r>
      <w:proofErr w:type="spellEnd"/>
      <w:r>
        <w:t xml:space="preserve">, E. C., </w:t>
      </w:r>
      <w:proofErr w:type="spellStart"/>
      <w:r>
        <w:t>Siedner</w:t>
      </w:r>
      <w:proofErr w:type="spellEnd"/>
      <w:r>
        <w:t xml:space="preserve">, M. J., </w:t>
      </w:r>
      <w:proofErr w:type="spellStart"/>
      <w:r>
        <w:t>Obua</w:t>
      </w:r>
      <w:proofErr w:type="spellEnd"/>
      <w:r>
        <w:t xml:space="preserve">, C., </w:t>
      </w:r>
      <w:proofErr w:type="spellStart"/>
      <w:r>
        <w:t>Mugyenyi</w:t>
      </w:r>
      <w:proofErr w:type="spellEnd"/>
      <w:r>
        <w:t xml:space="preserve">, G. R., </w:t>
      </w:r>
      <w:proofErr w:type="spellStart"/>
      <w:r>
        <w:t>Twagirumukiza</w:t>
      </w:r>
      <w:proofErr w:type="spellEnd"/>
      <w:r>
        <w:t xml:space="preserve">, M., &amp; </w:t>
      </w:r>
      <w:proofErr w:type="spellStart"/>
      <w:r>
        <w:t>Agaba</w:t>
      </w:r>
      <w:proofErr w:type="spellEnd"/>
      <w:r>
        <w:t xml:space="preserve">, A. G. (2014). Sublingual misoprostol versus intramuscular </w:t>
      </w:r>
      <w:proofErr w:type="spellStart"/>
      <w:r>
        <w:t>oxytocin</w:t>
      </w:r>
      <w:proofErr w:type="spellEnd"/>
      <w:r>
        <w:t xml:space="preserve"> </w:t>
      </w:r>
      <w:proofErr w:type="spellStart"/>
      <w:r>
        <w:t>for</w:t>
      </w:r>
      <w:proofErr w:type="spellEnd"/>
      <w:r>
        <w:t xml:space="preserve"> </w:t>
      </w:r>
      <w:proofErr w:type="spellStart"/>
      <w:r>
        <w:t>prevention</w:t>
      </w:r>
      <w:proofErr w:type="spellEnd"/>
      <w:r>
        <w:t xml:space="preserve"> </w:t>
      </w:r>
      <w:proofErr w:type="spellStart"/>
      <w:r>
        <w:t>of</w:t>
      </w:r>
      <w:proofErr w:type="spellEnd"/>
      <w:r>
        <w:t xml:space="preserve"> </w:t>
      </w:r>
      <w:proofErr w:type="spellStart"/>
      <w:r>
        <w:t>postpartum</w:t>
      </w:r>
      <w:proofErr w:type="spellEnd"/>
      <w:r>
        <w:t xml:space="preserve"> </w:t>
      </w:r>
      <w:proofErr w:type="spellStart"/>
      <w:r>
        <w:t>hemorrhage</w:t>
      </w:r>
      <w:proofErr w:type="spellEnd"/>
      <w:r>
        <w:t xml:space="preserve"> in Uganda: A </w:t>
      </w:r>
      <w:proofErr w:type="spellStart"/>
      <w:r>
        <w:t>double-blind</w:t>
      </w:r>
      <w:proofErr w:type="spellEnd"/>
      <w:r>
        <w:t xml:space="preserve"> </w:t>
      </w:r>
      <w:proofErr w:type="spellStart"/>
      <w:r>
        <w:t>randomized</w:t>
      </w:r>
      <w:proofErr w:type="spellEnd"/>
      <w:r>
        <w:t xml:space="preserve"> non-</w:t>
      </w:r>
      <w:proofErr w:type="spellStart"/>
      <w:r>
        <w:t>inferiority</w:t>
      </w:r>
      <w:proofErr w:type="spellEnd"/>
      <w:r>
        <w:t xml:space="preserve"> trial. </w:t>
      </w:r>
      <w:proofErr w:type="spellStart"/>
      <w:r>
        <w:t>PLoS</w:t>
      </w:r>
      <w:proofErr w:type="spellEnd"/>
      <w:r>
        <w:t xml:space="preserve"> Medicine, 11(11), e1001752. </w:t>
      </w:r>
      <w:hyperlink r:id="rId21" w:history="1">
        <w:r w:rsidRPr="00110B28">
          <w:rPr>
            <w:rStyle w:val="Hipervnculo"/>
          </w:rPr>
          <w:t>https://doi.org/10.1371/journal.pmed.1001752</w:t>
        </w:r>
      </w:hyperlink>
      <w:r>
        <w:t xml:space="preserve">  </w:t>
      </w:r>
    </w:p>
    <w:p w14:paraId="1BA59F22" w14:textId="77777777" w:rsidR="000C2519" w:rsidRDefault="000C2519" w:rsidP="000C2519">
      <w:pPr>
        <w:ind w:left="709" w:hanging="709"/>
      </w:pPr>
      <w:proofErr w:type="spellStart"/>
      <w:r>
        <w:t>Bilgin</w:t>
      </w:r>
      <w:proofErr w:type="spellEnd"/>
      <w:r>
        <w:t xml:space="preserve">, Z., &amp; </w:t>
      </w:r>
      <w:proofErr w:type="spellStart"/>
      <w:r>
        <w:t>Komürcü</w:t>
      </w:r>
      <w:proofErr w:type="spellEnd"/>
      <w:r>
        <w:t xml:space="preserve">, N. (2019). </w:t>
      </w:r>
      <w:proofErr w:type="spellStart"/>
      <w:r>
        <w:t>Comparison</w:t>
      </w:r>
      <w:proofErr w:type="spellEnd"/>
      <w:r>
        <w:t xml:space="preserve"> </w:t>
      </w:r>
      <w:proofErr w:type="spellStart"/>
      <w:r>
        <w:t>of</w:t>
      </w:r>
      <w:proofErr w:type="spellEnd"/>
      <w:r>
        <w:t xml:space="preserve"> </w:t>
      </w:r>
      <w:proofErr w:type="spellStart"/>
      <w:r>
        <w:t>the</w:t>
      </w:r>
      <w:proofErr w:type="spellEnd"/>
      <w:r>
        <w:t xml:space="preserve"> </w:t>
      </w:r>
      <w:proofErr w:type="spellStart"/>
      <w:r>
        <w:t>effects</w:t>
      </w:r>
      <w:proofErr w:type="spellEnd"/>
      <w:r>
        <w:t xml:space="preserve"> and </w:t>
      </w:r>
      <w:proofErr w:type="spellStart"/>
      <w:r>
        <w:t>side</w:t>
      </w:r>
      <w:proofErr w:type="spellEnd"/>
      <w:r>
        <w:t xml:space="preserve"> </w:t>
      </w:r>
      <w:proofErr w:type="spellStart"/>
      <w:r>
        <w:t>effects</w:t>
      </w:r>
      <w:proofErr w:type="spellEnd"/>
      <w:r>
        <w:t xml:space="preserve"> </w:t>
      </w:r>
      <w:proofErr w:type="spellStart"/>
      <w:r>
        <w:t>of</w:t>
      </w:r>
      <w:proofErr w:type="spellEnd"/>
      <w:r>
        <w:t xml:space="preserve"> misoprostol and </w:t>
      </w:r>
      <w:proofErr w:type="spellStart"/>
      <w:r>
        <w:t>oxytocin</w:t>
      </w:r>
      <w:proofErr w:type="spellEnd"/>
      <w:r>
        <w:t xml:space="preserve"> in </w:t>
      </w:r>
      <w:proofErr w:type="spellStart"/>
      <w:r>
        <w:t>the</w:t>
      </w:r>
      <w:proofErr w:type="spellEnd"/>
      <w:r>
        <w:t xml:space="preserve"> </w:t>
      </w:r>
      <w:proofErr w:type="spellStart"/>
      <w:r>
        <w:t>postpartum</w:t>
      </w:r>
      <w:proofErr w:type="spellEnd"/>
      <w:r>
        <w:t xml:space="preserve"> </w:t>
      </w:r>
      <w:proofErr w:type="spellStart"/>
      <w:r>
        <w:t>period</w:t>
      </w:r>
      <w:proofErr w:type="spellEnd"/>
      <w:r>
        <w:t xml:space="preserve">: A </w:t>
      </w:r>
      <w:proofErr w:type="spellStart"/>
      <w:r>
        <w:t>systematic</w:t>
      </w:r>
      <w:proofErr w:type="spellEnd"/>
      <w:r>
        <w:t xml:space="preserve"> </w:t>
      </w:r>
      <w:proofErr w:type="spellStart"/>
      <w:r>
        <w:t>review</w:t>
      </w:r>
      <w:proofErr w:type="spellEnd"/>
      <w:r>
        <w:t xml:space="preserve">. Taiwanese </w:t>
      </w:r>
      <w:proofErr w:type="spellStart"/>
      <w:r>
        <w:t>Journal</w:t>
      </w:r>
      <w:proofErr w:type="spellEnd"/>
      <w:r>
        <w:t xml:space="preserve"> </w:t>
      </w:r>
      <w:proofErr w:type="spellStart"/>
      <w:r>
        <w:t>of</w:t>
      </w:r>
      <w:proofErr w:type="spellEnd"/>
      <w:r>
        <w:t xml:space="preserve"> </w:t>
      </w:r>
      <w:proofErr w:type="spellStart"/>
      <w:r>
        <w:t>Obstetrics</w:t>
      </w:r>
      <w:proofErr w:type="spellEnd"/>
      <w:r>
        <w:t xml:space="preserve"> &amp; </w:t>
      </w:r>
      <w:proofErr w:type="spellStart"/>
      <w:r>
        <w:t>Gynecology</w:t>
      </w:r>
      <w:proofErr w:type="spellEnd"/>
      <w:r>
        <w:t xml:space="preserve">, 58(6), 748–756. </w:t>
      </w:r>
      <w:hyperlink r:id="rId22" w:history="1">
        <w:r w:rsidRPr="00110B28">
          <w:rPr>
            <w:rStyle w:val="Hipervnculo"/>
          </w:rPr>
          <w:t>https://doi.org/10.1016/j.tjog.2019.09.004</w:t>
        </w:r>
      </w:hyperlink>
      <w:r>
        <w:t xml:space="preserve"> </w:t>
      </w:r>
    </w:p>
    <w:p w14:paraId="3BD6A0F6" w14:textId="77777777" w:rsidR="000C2519" w:rsidRDefault="000C2519" w:rsidP="000C2519">
      <w:pPr>
        <w:ind w:left="709" w:hanging="709"/>
      </w:pPr>
      <w:proofErr w:type="spellStart"/>
      <w:r>
        <w:t>Çalışkan</w:t>
      </w:r>
      <w:proofErr w:type="spellEnd"/>
      <w:r>
        <w:t xml:space="preserve">, E., </w:t>
      </w:r>
      <w:proofErr w:type="spellStart"/>
      <w:r>
        <w:t>Dilbaz</w:t>
      </w:r>
      <w:proofErr w:type="spellEnd"/>
      <w:r>
        <w:t xml:space="preserve">, B., </w:t>
      </w:r>
      <w:proofErr w:type="spellStart"/>
      <w:r>
        <w:t>Meydanlı</w:t>
      </w:r>
      <w:proofErr w:type="spellEnd"/>
      <w:r>
        <w:t xml:space="preserve">, M. M., </w:t>
      </w:r>
      <w:proofErr w:type="spellStart"/>
      <w:r>
        <w:t>Öztürk</w:t>
      </w:r>
      <w:proofErr w:type="spellEnd"/>
      <w:r>
        <w:t xml:space="preserve">, N., </w:t>
      </w:r>
      <w:proofErr w:type="spellStart"/>
      <w:r>
        <w:t>Narin</w:t>
      </w:r>
      <w:proofErr w:type="spellEnd"/>
      <w:r>
        <w:t xml:space="preserve">, M. A., &amp; </w:t>
      </w:r>
      <w:proofErr w:type="spellStart"/>
      <w:r>
        <w:t>Haberal</w:t>
      </w:r>
      <w:proofErr w:type="spellEnd"/>
      <w:r>
        <w:t xml:space="preserve">, A. (2003). Oral misoprostol </w:t>
      </w:r>
      <w:proofErr w:type="spellStart"/>
      <w:r>
        <w:t>for</w:t>
      </w:r>
      <w:proofErr w:type="spellEnd"/>
      <w:r>
        <w:t xml:space="preserve"> </w:t>
      </w:r>
      <w:proofErr w:type="spellStart"/>
      <w:r>
        <w:t>the</w:t>
      </w:r>
      <w:proofErr w:type="spellEnd"/>
      <w:r>
        <w:t xml:space="preserve"> </w:t>
      </w:r>
      <w:proofErr w:type="spellStart"/>
      <w:r>
        <w:t>third</w:t>
      </w:r>
      <w:proofErr w:type="spellEnd"/>
      <w:r>
        <w:t xml:space="preserve"> </w:t>
      </w:r>
      <w:proofErr w:type="spellStart"/>
      <w:r>
        <w:t>stage</w:t>
      </w:r>
      <w:proofErr w:type="spellEnd"/>
      <w:r>
        <w:t xml:space="preserve"> </w:t>
      </w:r>
      <w:proofErr w:type="spellStart"/>
      <w:r>
        <w:t>of</w:t>
      </w:r>
      <w:proofErr w:type="spellEnd"/>
      <w:r>
        <w:t xml:space="preserve"> labor: A </w:t>
      </w:r>
      <w:proofErr w:type="spellStart"/>
      <w:r>
        <w:t>randomized</w:t>
      </w:r>
      <w:proofErr w:type="spellEnd"/>
      <w:r>
        <w:t xml:space="preserve"> </w:t>
      </w:r>
      <w:proofErr w:type="spellStart"/>
      <w:r>
        <w:t>controlled</w:t>
      </w:r>
      <w:proofErr w:type="spellEnd"/>
      <w:r>
        <w:t xml:space="preserve"> trial. </w:t>
      </w:r>
      <w:proofErr w:type="spellStart"/>
      <w:r>
        <w:t>Obstetrics</w:t>
      </w:r>
      <w:proofErr w:type="spellEnd"/>
      <w:r>
        <w:t xml:space="preserve"> &amp; </w:t>
      </w:r>
      <w:proofErr w:type="spellStart"/>
      <w:r>
        <w:t>Gynecology</w:t>
      </w:r>
      <w:proofErr w:type="spellEnd"/>
      <w:r>
        <w:t xml:space="preserve">, 101(5, Pt. 1), 921–928. </w:t>
      </w:r>
      <w:hyperlink r:id="rId23" w:history="1">
        <w:r w:rsidRPr="00110B28">
          <w:rPr>
            <w:rStyle w:val="Hipervnculo"/>
          </w:rPr>
          <w:t>https://doi.org/10.1097/00006250-200305000-00017</w:t>
        </w:r>
      </w:hyperlink>
      <w:r>
        <w:t xml:space="preserve"> </w:t>
      </w:r>
    </w:p>
    <w:p w14:paraId="33E9CD64" w14:textId="77777777" w:rsidR="000C2519" w:rsidRDefault="000C2519" w:rsidP="000C2519">
      <w:pPr>
        <w:ind w:left="709" w:hanging="709"/>
      </w:pPr>
      <w:proofErr w:type="spellStart"/>
      <w:r>
        <w:t>Caveda</w:t>
      </w:r>
      <w:proofErr w:type="spellEnd"/>
      <w:r>
        <w:t xml:space="preserve"> Gil, Á. E., Nápoles Méndez, D., &amp; Couto Núñez, D. (2011). Dos modalidades terapéuticas en el alumbramiento activo. MEDISAN, 15(8), 1040–1048.</w:t>
      </w:r>
    </w:p>
    <w:p w14:paraId="34015A73" w14:textId="71DF0AC8" w:rsidR="00335D66" w:rsidRDefault="000C2519" w:rsidP="00335D66">
      <w:pPr>
        <w:ind w:left="709" w:hanging="709"/>
      </w:pPr>
      <w:r>
        <w:lastRenderedPageBreak/>
        <w:t xml:space="preserve">Conde-Agudelo, A., Nieto, A., Rosas-Bermúdez, A., &amp; Romero, R. (2013). Misoprostol </w:t>
      </w:r>
      <w:proofErr w:type="spellStart"/>
      <w:r>
        <w:t>to</w:t>
      </w:r>
      <w:proofErr w:type="spellEnd"/>
      <w:r>
        <w:t xml:space="preserve"> reduce </w:t>
      </w:r>
      <w:proofErr w:type="spellStart"/>
      <w:r>
        <w:t>intraoperative</w:t>
      </w:r>
      <w:proofErr w:type="spellEnd"/>
      <w:r>
        <w:t xml:space="preserve"> and </w:t>
      </w:r>
      <w:proofErr w:type="spellStart"/>
      <w:r>
        <w:t>postoperative</w:t>
      </w:r>
      <w:proofErr w:type="spellEnd"/>
      <w:r>
        <w:t xml:space="preserve"> </w:t>
      </w:r>
      <w:proofErr w:type="spellStart"/>
      <w:r>
        <w:t>hemorrhage</w:t>
      </w:r>
      <w:proofErr w:type="spellEnd"/>
      <w:r>
        <w:t xml:space="preserve"> </w:t>
      </w:r>
      <w:proofErr w:type="spellStart"/>
      <w:r>
        <w:t>during</w:t>
      </w:r>
      <w:proofErr w:type="spellEnd"/>
      <w:r>
        <w:t xml:space="preserve"> </w:t>
      </w:r>
      <w:proofErr w:type="spellStart"/>
      <w:r>
        <w:t>cesarean</w:t>
      </w:r>
      <w:proofErr w:type="spellEnd"/>
      <w:r>
        <w:t xml:space="preserve"> </w:t>
      </w:r>
      <w:proofErr w:type="spellStart"/>
      <w:r>
        <w:t>delivery</w:t>
      </w:r>
      <w:proofErr w:type="spellEnd"/>
      <w:r>
        <w:t xml:space="preserve">: A </w:t>
      </w:r>
      <w:proofErr w:type="spellStart"/>
      <w:r>
        <w:t>systematic</w:t>
      </w:r>
      <w:proofErr w:type="spellEnd"/>
      <w:r>
        <w:t xml:space="preserve"> </w:t>
      </w:r>
      <w:proofErr w:type="spellStart"/>
      <w:r>
        <w:t>review</w:t>
      </w:r>
      <w:proofErr w:type="spellEnd"/>
      <w:r>
        <w:t xml:space="preserve"> and meta-</w:t>
      </w:r>
      <w:proofErr w:type="spellStart"/>
      <w:r>
        <w:t>analysis</w:t>
      </w:r>
      <w:proofErr w:type="spellEnd"/>
      <w:r>
        <w:t xml:space="preserve">. American </w:t>
      </w:r>
      <w:proofErr w:type="spellStart"/>
      <w:r>
        <w:t>Journal</w:t>
      </w:r>
      <w:proofErr w:type="spellEnd"/>
      <w:r>
        <w:t xml:space="preserve"> </w:t>
      </w:r>
      <w:proofErr w:type="spellStart"/>
      <w:r>
        <w:t>of</w:t>
      </w:r>
      <w:proofErr w:type="spellEnd"/>
      <w:r>
        <w:t xml:space="preserve"> </w:t>
      </w:r>
      <w:proofErr w:type="spellStart"/>
      <w:r>
        <w:t>Obstetrics</w:t>
      </w:r>
      <w:proofErr w:type="spellEnd"/>
      <w:r>
        <w:t xml:space="preserve"> and </w:t>
      </w:r>
      <w:proofErr w:type="spellStart"/>
      <w:r>
        <w:t>Gynecology</w:t>
      </w:r>
      <w:proofErr w:type="spellEnd"/>
      <w:r>
        <w:t xml:space="preserve">, 209(1), 40.e1–40.e17. </w:t>
      </w:r>
      <w:hyperlink r:id="rId24" w:history="1">
        <w:r w:rsidRPr="00110B28">
          <w:rPr>
            <w:rStyle w:val="Hipervnculo"/>
          </w:rPr>
          <w:t>https://doi.org/10.1016/j.ajog.2013.03.015</w:t>
        </w:r>
      </w:hyperlink>
      <w:r>
        <w:t xml:space="preserve"> </w:t>
      </w:r>
    </w:p>
    <w:p w14:paraId="61DE89E5" w14:textId="77777777" w:rsidR="00C40752" w:rsidRDefault="00C40752" w:rsidP="00C40752">
      <w:pPr>
        <w:ind w:left="567" w:hanging="720"/>
      </w:pPr>
      <w:proofErr w:type="spellStart"/>
      <w:r>
        <w:t>Cumpston</w:t>
      </w:r>
      <w:proofErr w:type="spellEnd"/>
      <w:r>
        <w:t xml:space="preserve">, M. S., McKenzie, J. E., Welch, V. A., &amp; Brennan, S. E. (2022). </w:t>
      </w:r>
      <w:proofErr w:type="spellStart"/>
      <w:r>
        <w:t>Strengthening</w:t>
      </w:r>
      <w:proofErr w:type="spellEnd"/>
      <w:r>
        <w:t xml:space="preserve"> </w:t>
      </w:r>
      <w:proofErr w:type="spellStart"/>
      <w:r>
        <w:t>systematic</w:t>
      </w:r>
      <w:proofErr w:type="spellEnd"/>
      <w:r>
        <w:t xml:space="preserve"> </w:t>
      </w:r>
      <w:proofErr w:type="spellStart"/>
      <w:r>
        <w:t>reviews</w:t>
      </w:r>
      <w:proofErr w:type="spellEnd"/>
      <w:r>
        <w:t xml:space="preserve"> in </w:t>
      </w:r>
      <w:proofErr w:type="spellStart"/>
      <w:r>
        <w:t>public</w:t>
      </w:r>
      <w:proofErr w:type="spellEnd"/>
      <w:r>
        <w:t xml:space="preserve"> </w:t>
      </w:r>
      <w:proofErr w:type="spellStart"/>
      <w:r>
        <w:t>health</w:t>
      </w:r>
      <w:proofErr w:type="spellEnd"/>
      <w:r>
        <w:t xml:space="preserve">: </w:t>
      </w:r>
      <w:proofErr w:type="spellStart"/>
      <w:r>
        <w:t>guidance</w:t>
      </w:r>
      <w:proofErr w:type="spellEnd"/>
      <w:r>
        <w:t xml:space="preserve"> in </w:t>
      </w:r>
      <w:proofErr w:type="spellStart"/>
      <w:r>
        <w:t>the</w:t>
      </w:r>
      <w:proofErr w:type="spellEnd"/>
      <w:r>
        <w:t xml:space="preserve"> Cochrane </w:t>
      </w:r>
      <w:proofErr w:type="spellStart"/>
      <w:r>
        <w:t>Handbook</w:t>
      </w:r>
      <w:proofErr w:type="spellEnd"/>
      <w:r>
        <w:t xml:space="preserve"> </w:t>
      </w:r>
      <w:proofErr w:type="spellStart"/>
      <w:r>
        <w:t>for</w:t>
      </w:r>
      <w:proofErr w:type="spellEnd"/>
      <w:r>
        <w:t xml:space="preserve"> </w:t>
      </w:r>
      <w:proofErr w:type="spellStart"/>
      <w:r>
        <w:t>Systematic</w:t>
      </w:r>
      <w:proofErr w:type="spellEnd"/>
      <w:r>
        <w:t xml:space="preserve"> </w:t>
      </w:r>
      <w:proofErr w:type="spellStart"/>
      <w:r>
        <w:t>Reviews</w:t>
      </w:r>
      <w:proofErr w:type="spellEnd"/>
      <w:r>
        <w:t xml:space="preserve"> </w:t>
      </w:r>
      <w:proofErr w:type="spellStart"/>
      <w:r>
        <w:t>of</w:t>
      </w:r>
      <w:proofErr w:type="spellEnd"/>
      <w:r>
        <w:t xml:space="preserve"> </w:t>
      </w:r>
      <w:proofErr w:type="spellStart"/>
      <w:r>
        <w:t>Interventions</w:t>
      </w:r>
      <w:proofErr w:type="spellEnd"/>
      <w:r>
        <w:t xml:space="preserve">, 2nd </w:t>
      </w:r>
      <w:proofErr w:type="spellStart"/>
      <w:r>
        <w:t>edition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public</w:t>
      </w:r>
      <w:proofErr w:type="spellEnd"/>
      <w:r>
        <w:t xml:space="preserve"> </w:t>
      </w:r>
      <w:proofErr w:type="spellStart"/>
      <w:r>
        <w:t>health</w:t>
      </w:r>
      <w:proofErr w:type="spellEnd"/>
      <w:r>
        <w:t xml:space="preserve"> (Oxford, </w:t>
      </w:r>
      <w:proofErr w:type="spellStart"/>
      <w:r>
        <w:t>England</w:t>
      </w:r>
      <w:proofErr w:type="spellEnd"/>
      <w:r>
        <w:t xml:space="preserve">), 44(4), e588–e592. </w:t>
      </w:r>
      <w:hyperlink r:id="rId25" w:history="1">
        <w:r w:rsidRPr="00482948">
          <w:rPr>
            <w:rStyle w:val="Hipervnculo"/>
          </w:rPr>
          <w:t>https://doi.org/10.1093/pubmed/fdac036</w:t>
        </w:r>
      </w:hyperlink>
      <w:r>
        <w:t xml:space="preserve"> </w:t>
      </w:r>
    </w:p>
    <w:p w14:paraId="4C21624E" w14:textId="51AEA51E" w:rsidR="00335D66" w:rsidRPr="00335D66" w:rsidRDefault="000C2519" w:rsidP="00335D66">
      <w:pPr>
        <w:ind w:left="709" w:hanging="709"/>
      </w:pPr>
      <w:r>
        <w:t>Falcón Condezo, H. F. (2015). Efecto de la oxitocina versus misoprostol en la disminución del sangrado y duración del alumbramiento, en gestantes atendidas en el Hospital Tingo María Minsa. Ágora Revista Científica, 2(2), 172–180.</w:t>
      </w:r>
      <w:r w:rsidR="00335D66">
        <w:t xml:space="preserve"> </w:t>
      </w:r>
      <w:hyperlink r:id="rId26" w:history="1">
        <w:r w:rsidR="00335D66" w:rsidRPr="00335D66">
          <w:rPr>
            <w:rStyle w:val="Hipervnculo"/>
          </w:rPr>
          <w:t>https://doi.org/10.21679/arc.v2i2.36</w:t>
        </w:r>
      </w:hyperlink>
    </w:p>
    <w:p w14:paraId="3681CD13" w14:textId="77777777" w:rsidR="000C2519" w:rsidRDefault="000C2519" w:rsidP="000C2519">
      <w:pPr>
        <w:ind w:left="709" w:hanging="709"/>
      </w:pPr>
      <w:r>
        <w:t xml:space="preserve">GBD 2019 Maternal </w:t>
      </w:r>
      <w:proofErr w:type="spellStart"/>
      <w:r>
        <w:t>Mortality</w:t>
      </w:r>
      <w:proofErr w:type="spellEnd"/>
      <w:r>
        <w:t xml:space="preserve"> </w:t>
      </w:r>
      <w:proofErr w:type="spellStart"/>
      <w:r>
        <w:t>Collaborators</w:t>
      </w:r>
      <w:proofErr w:type="spellEnd"/>
      <w:r>
        <w:t xml:space="preserve">. (2020). Global, regional, and </w:t>
      </w:r>
      <w:proofErr w:type="spellStart"/>
      <w:r>
        <w:t>national</w:t>
      </w:r>
      <w:proofErr w:type="spellEnd"/>
      <w:r>
        <w:t xml:space="preserve"> </w:t>
      </w:r>
      <w:proofErr w:type="spellStart"/>
      <w:r>
        <w:t>levels</w:t>
      </w:r>
      <w:proofErr w:type="spellEnd"/>
      <w:r>
        <w:t xml:space="preserve"> </w:t>
      </w:r>
      <w:proofErr w:type="spellStart"/>
      <w:r>
        <w:t>of</w:t>
      </w:r>
      <w:proofErr w:type="spellEnd"/>
      <w:r>
        <w:t xml:space="preserve"> maternal </w:t>
      </w:r>
      <w:proofErr w:type="spellStart"/>
      <w:r>
        <w:t>mortality</w:t>
      </w:r>
      <w:proofErr w:type="spellEnd"/>
      <w:r>
        <w:t xml:space="preserve">, 1990–2019: A </w:t>
      </w:r>
      <w:proofErr w:type="spellStart"/>
      <w:r>
        <w:t>systematic</w:t>
      </w:r>
      <w:proofErr w:type="spellEnd"/>
      <w:r>
        <w:t xml:space="preserve"> </w:t>
      </w:r>
      <w:proofErr w:type="spellStart"/>
      <w:r>
        <w:t>analysis</w:t>
      </w:r>
      <w:proofErr w:type="spellEnd"/>
      <w:r>
        <w:t xml:space="preserve"> </w:t>
      </w:r>
      <w:proofErr w:type="spellStart"/>
      <w:r>
        <w:t>for</w:t>
      </w:r>
      <w:proofErr w:type="spellEnd"/>
      <w:r>
        <w:t xml:space="preserve"> </w:t>
      </w:r>
      <w:proofErr w:type="spellStart"/>
      <w:r>
        <w:t>the</w:t>
      </w:r>
      <w:proofErr w:type="spellEnd"/>
      <w:r>
        <w:t xml:space="preserve"> Global </w:t>
      </w:r>
      <w:proofErr w:type="spellStart"/>
      <w:r>
        <w:t>Burden</w:t>
      </w:r>
      <w:proofErr w:type="spellEnd"/>
      <w:r>
        <w:t xml:space="preserve"> </w:t>
      </w:r>
      <w:proofErr w:type="spellStart"/>
      <w:r>
        <w:t>of</w:t>
      </w:r>
      <w:proofErr w:type="spellEnd"/>
      <w:r>
        <w:t xml:space="preserve"> </w:t>
      </w:r>
      <w:proofErr w:type="spellStart"/>
      <w:r>
        <w:t>Disease</w:t>
      </w:r>
      <w:proofErr w:type="spellEnd"/>
      <w:r>
        <w:t xml:space="preserve"> </w:t>
      </w:r>
      <w:proofErr w:type="spellStart"/>
      <w:r>
        <w:t>Study</w:t>
      </w:r>
      <w:proofErr w:type="spellEnd"/>
      <w:r>
        <w:t xml:space="preserve"> 2019. </w:t>
      </w:r>
      <w:proofErr w:type="spellStart"/>
      <w:r>
        <w:t>The</w:t>
      </w:r>
      <w:proofErr w:type="spellEnd"/>
      <w:r>
        <w:t xml:space="preserve"> Lancet, 396(10258), 1160–1203. </w:t>
      </w:r>
      <w:hyperlink r:id="rId27" w:history="1">
        <w:r w:rsidRPr="00110B28">
          <w:rPr>
            <w:rStyle w:val="Hipervnculo"/>
          </w:rPr>
          <w:t>https://doi.org/10.1016/S0140-6736(20)30925-9</w:t>
        </w:r>
      </w:hyperlink>
      <w:r>
        <w:t xml:space="preserve">  </w:t>
      </w:r>
    </w:p>
    <w:p w14:paraId="2CA51EA1" w14:textId="77777777" w:rsidR="000C2519" w:rsidRDefault="000C2519" w:rsidP="000C2519">
      <w:pPr>
        <w:ind w:left="709" w:hanging="709"/>
      </w:pPr>
      <w:r>
        <w:t xml:space="preserve">Goldberg, A. B., Greenberg, M. B., &amp; </w:t>
      </w:r>
      <w:proofErr w:type="spellStart"/>
      <w:r>
        <w:t>Darney</w:t>
      </w:r>
      <w:proofErr w:type="spellEnd"/>
      <w:r>
        <w:t xml:space="preserve">, P. D. (2001). Misoprostol and </w:t>
      </w:r>
      <w:proofErr w:type="spellStart"/>
      <w:r>
        <w:t>pregnancy</w:t>
      </w:r>
      <w:proofErr w:type="spellEnd"/>
      <w:r>
        <w:t xml:space="preserve">. </w:t>
      </w:r>
      <w:proofErr w:type="spellStart"/>
      <w:r>
        <w:t>The</w:t>
      </w:r>
      <w:proofErr w:type="spellEnd"/>
      <w:r>
        <w:t xml:space="preserve"> New </w:t>
      </w:r>
      <w:proofErr w:type="spellStart"/>
      <w:r>
        <w:t>England</w:t>
      </w:r>
      <w:proofErr w:type="spellEnd"/>
      <w:r>
        <w:t xml:space="preserve"> </w:t>
      </w:r>
      <w:proofErr w:type="spellStart"/>
      <w:r>
        <w:t>Journal</w:t>
      </w:r>
      <w:proofErr w:type="spellEnd"/>
      <w:r>
        <w:t xml:space="preserve"> </w:t>
      </w:r>
      <w:proofErr w:type="spellStart"/>
      <w:r>
        <w:t>of</w:t>
      </w:r>
      <w:proofErr w:type="spellEnd"/>
      <w:r>
        <w:t xml:space="preserve"> Medicine, 344(1), 38–47. </w:t>
      </w:r>
      <w:hyperlink r:id="rId28" w:history="1">
        <w:r w:rsidRPr="00110B28">
          <w:rPr>
            <w:rStyle w:val="Hipervnculo"/>
          </w:rPr>
          <w:t>https://doi.org/10.1056/NEJM200101043440107</w:t>
        </w:r>
      </w:hyperlink>
      <w:r>
        <w:t xml:space="preserve"> </w:t>
      </w:r>
    </w:p>
    <w:p w14:paraId="5594E054" w14:textId="12BB435B" w:rsidR="000C2519" w:rsidRDefault="000C2519" w:rsidP="000C2519">
      <w:pPr>
        <w:ind w:left="709" w:hanging="709"/>
      </w:pPr>
      <w:r>
        <w:t>González Caiza, C. M. (2025). Diferencias entre las distintas intervenciones realizadas entre países para controlar la hemorragia postparto: Revisión sistemática [Trabajo de fin de máster, Universidad Europea de Valencia].</w:t>
      </w:r>
      <w:r w:rsidR="000F2E47">
        <w:t xml:space="preserve"> </w:t>
      </w:r>
      <w:hyperlink r:id="rId29" w:history="1">
        <w:r w:rsidR="000F2E47" w:rsidRPr="007E48BD">
          <w:rPr>
            <w:rStyle w:val="Hipervnculo"/>
          </w:rPr>
          <w:t>https://titula.universidadeuropea.com/handle/20.500.12880/12194?show=full</w:t>
        </w:r>
      </w:hyperlink>
    </w:p>
    <w:p w14:paraId="4B6EC830" w14:textId="77777777" w:rsidR="000C2519" w:rsidRDefault="000C2519" w:rsidP="000C2519">
      <w:pPr>
        <w:ind w:left="709" w:hanging="709"/>
      </w:pPr>
      <w:proofErr w:type="spellStart"/>
      <w:r>
        <w:t>Gülmezoglu</w:t>
      </w:r>
      <w:proofErr w:type="spellEnd"/>
      <w:r>
        <w:t xml:space="preserve">, A. M., Villar, J., </w:t>
      </w:r>
      <w:proofErr w:type="spellStart"/>
      <w:r>
        <w:t>Ngoc</w:t>
      </w:r>
      <w:proofErr w:type="spellEnd"/>
      <w:r>
        <w:t xml:space="preserve">, N. T. N., Piaggio, G., </w:t>
      </w:r>
      <w:proofErr w:type="spellStart"/>
      <w:r>
        <w:t>Carroli</w:t>
      </w:r>
      <w:proofErr w:type="spellEnd"/>
      <w:r>
        <w:t xml:space="preserve">, G., </w:t>
      </w:r>
      <w:proofErr w:type="spellStart"/>
      <w:r>
        <w:t>Adetoro</w:t>
      </w:r>
      <w:proofErr w:type="spellEnd"/>
      <w:r>
        <w:t>, L., Abdel-</w:t>
      </w:r>
      <w:proofErr w:type="spellStart"/>
      <w:r>
        <w:t>Aleem</w:t>
      </w:r>
      <w:proofErr w:type="spellEnd"/>
      <w:r>
        <w:t xml:space="preserve">, H., Cheng, L., </w:t>
      </w:r>
      <w:proofErr w:type="spellStart"/>
      <w:r>
        <w:t>Hofmeyr</w:t>
      </w:r>
      <w:proofErr w:type="spellEnd"/>
      <w:r>
        <w:t xml:space="preserve">, G. J., </w:t>
      </w:r>
      <w:proofErr w:type="spellStart"/>
      <w:r>
        <w:t>Lumbiganon</w:t>
      </w:r>
      <w:proofErr w:type="spellEnd"/>
      <w:r>
        <w:t xml:space="preserve">, P., Unger, C., </w:t>
      </w:r>
      <w:proofErr w:type="spellStart"/>
      <w:r>
        <w:t>Prendiville</w:t>
      </w:r>
      <w:proofErr w:type="spellEnd"/>
      <w:r>
        <w:t xml:space="preserve">, W., Pinol, A., </w:t>
      </w:r>
      <w:proofErr w:type="spellStart"/>
      <w:r>
        <w:t>Elbourne</w:t>
      </w:r>
      <w:proofErr w:type="spellEnd"/>
      <w:r>
        <w:t>, D., El-</w:t>
      </w:r>
      <w:proofErr w:type="spellStart"/>
      <w:r>
        <w:t>Refaey</w:t>
      </w:r>
      <w:proofErr w:type="spellEnd"/>
      <w:r>
        <w:t xml:space="preserve">, H., &amp; Schulz, K. F. (2001). WHO </w:t>
      </w:r>
      <w:proofErr w:type="spellStart"/>
      <w:r>
        <w:t>multicentre</w:t>
      </w:r>
      <w:proofErr w:type="spellEnd"/>
      <w:r>
        <w:t xml:space="preserve"> </w:t>
      </w:r>
      <w:proofErr w:type="spellStart"/>
      <w:r>
        <w:t>randomised</w:t>
      </w:r>
      <w:proofErr w:type="spellEnd"/>
      <w:r>
        <w:t xml:space="preserve"> trial </w:t>
      </w:r>
      <w:proofErr w:type="spellStart"/>
      <w:r>
        <w:t>of</w:t>
      </w:r>
      <w:proofErr w:type="spellEnd"/>
      <w:r>
        <w:t xml:space="preserve"> misoprostol in </w:t>
      </w:r>
      <w:proofErr w:type="spellStart"/>
      <w:r>
        <w:t>the</w:t>
      </w:r>
      <w:proofErr w:type="spellEnd"/>
      <w:r>
        <w:t xml:space="preserve"> </w:t>
      </w:r>
      <w:proofErr w:type="spellStart"/>
      <w:r>
        <w:t>management</w:t>
      </w:r>
      <w:proofErr w:type="spellEnd"/>
      <w:r>
        <w:t xml:space="preserve"> </w:t>
      </w:r>
      <w:proofErr w:type="spellStart"/>
      <w:r>
        <w:t>of</w:t>
      </w:r>
      <w:proofErr w:type="spellEnd"/>
      <w:r>
        <w:t xml:space="preserve"> </w:t>
      </w:r>
      <w:proofErr w:type="spellStart"/>
      <w:r>
        <w:t>the</w:t>
      </w:r>
      <w:proofErr w:type="spellEnd"/>
      <w:r>
        <w:t xml:space="preserve"> </w:t>
      </w:r>
      <w:proofErr w:type="spellStart"/>
      <w:r>
        <w:t>third</w:t>
      </w:r>
      <w:proofErr w:type="spellEnd"/>
      <w:r>
        <w:t xml:space="preserve"> </w:t>
      </w:r>
      <w:proofErr w:type="spellStart"/>
      <w:r>
        <w:t>stage</w:t>
      </w:r>
      <w:proofErr w:type="spellEnd"/>
      <w:r>
        <w:t xml:space="preserve"> </w:t>
      </w:r>
      <w:proofErr w:type="spellStart"/>
      <w:r>
        <w:t>of</w:t>
      </w:r>
      <w:proofErr w:type="spellEnd"/>
      <w:r>
        <w:t xml:space="preserve"> </w:t>
      </w:r>
      <w:proofErr w:type="spellStart"/>
      <w:r>
        <w:t>labour</w:t>
      </w:r>
      <w:proofErr w:type="spellEnd"/>
      <w:r>
        <w:t xml:space="preserve">. </w:t>
      </w:r>
      <w:proofErr w:type="spellStart"/>
      <w:r>
        <w:t>The</w:t>
      </w:r>
      <w:proofErr w:type="spellEnd"/>
      <w:r>
        <w:t xml:space="preserve"> Lancet, 358(9283), 689–695. </w:t>
      </w:r>
      <w:hyperlink r:id="rId30" w:history="1">
        <w:r w:rsidRPr="00110B28">
          <w:rPr>
            <w:rStyle w:val="Hipervnculo"/>
          </w:rPr>
          <w:t>https://doi.org/10.1016/S0140-6736(01)05835-4</w:t>
        </w:r>
      </w:hyperlink>
      <w:r>
        <w:t xml:space="preserve"> </w:t>
      </w:r>
    </w:p>
    <w:p w14:paraId="7402B2D3" w14:textId="77777777" w:rsidR="000C2519" w:rsidRDefault="000C2519" w:rsidP="000C2519">
      <w:pPr>
        <w:ind w:left="709" w:hanging="709"/>
      </w:pPr>
      <w:r>
        <w:lastRenderedPageBreak/>
        <w:t xml:space="preserve">Higgins, J. P. T., Thomas, J., Chandler, J., </w:t>
      </w:r>
      <w:proofErr w:type="spellStart"/>
      <w:r>
        <w:t>Cumpston</w:t>
      </w:r>
      <w:proofErr w:type="spellEnd"/>
      <w:r>
        <w:t xml:space="preserve">, M., Li, T., Page, M. J., &amp; Welch, V. A. (2022). Cochrane </w:t>
      </w:r>
      <w:proofErr w:type="spellStart"/>
      <w:r>
        <w:t>handbook</w:t>
      </w:r>
      <w:proofErr w:type="spellEnd"/>
      <w:r>
        <w:t xml:space="preserve"> </w:t>
      </w:r>
      <w:proofErr w:type="spellStart"/>
      <w:r>
        <w:t>for</w:t>
      </w:r>
      <w:proofErr w:type="spellEnd"/>
      <w:r>
        <w:t xml:space="preserve"> </w:t>
      </w:r>
      <w:proofErr w:type="spellStart"/>
      <w:r>
        <w:t>systematic</w:t>
      </w:r>
      <w:proofErr w:type="spellEnd"/>
      <w:r>
        <w:t xml:space="preserve"> </w:t>
      </w:r>
      <w:proofErr w:type="spellStart"/>
      <w:r>
        <w:t>reviews</w:t>
      </w:r>
      <w:proofErr w:type="spellEnd"/>
      <w:r>
        <w:t xml:space="preserve"> </w:t>
      </w:r>
      <w:proofErr w:type="spellStart"/>
      <w:r>
        <w:t>of</w:t>
      </w:r>
      <w:proofErr w:type="spellEnd"/>
      <w:r>
        <w:t xml:space="preserve"> </w:t>
      </w:r>
      <w:proofErr w:type="spellStart"/>
      <w:r>
        <w:t>interventions</w:t>
      </w:r>
      <w:proofErr w:type="spellEnd"/>
      <w:r>
        <w:t xml:space="preserve"> (2nd ed.). Wiley. </w:t>
      </w:r>
      <w:hyperlink r:id="rId31" w:history="1">
        <w:r w:rsidRPr="00110B28">
          <w:rPr>
            <w:rStyle w:val="Hipervnculo"/>
          </w:rPr>
          <w:t>https://doi.org/10.1002/9781119536604</w:t>
        </w:r>
      </w:hyperlink>
      <w:r>
        <w:t xml:space="preserve">  </w:t>
      </w:r>
    </w:p>
    <w:p w14:paraId="26933D3E" w14:textId="77777777" w:rsidR="000C2519" w:rsidRDefault="000C2519" w:rsidP="000C2519">
      <w:pPr>
        <w:ind w:left="709" w:hanging="709"/>
      </w:pPr>
      <w:proofErr w:type="spellStart"/>
      <w:r>
        <w:t>Hofmeyr</w:t>
      </w:r>
      <w:proofErr w:type="spellEnd"/>
      <w:r>
        <w:t xml:space="preserve">, G. J., </w:t>
      </w:r>
      <w:proofErr w:type="spellStart"/>
      <w:r>
        <w:t>Gülmezoglu</w:t>
      </w:r>
      <w:proofErr w:type="spellEnd"/>
      <w:r>
        <w:t xml:space="preserve">, A. M., </w:t>
      </w:r>
      <w:proofErr w:type="spellStart"/>
      <w:r>
        <w:t>Novikova</w:t>
      </w:r>
      <w:proofErr w:type="spellEnd"/>
      <w:r>
        <w:t xml:space="preserve">, N., Linder, V., Ferreira, S., &amp; Piaggio, G. (2013). Misoprostol </w:t>
      </w:r>
      <w:proofErr w:type="spellStart"/>
      <w:r>
        <w:t>to</w:t>
      </w:r>
      <w:proofErr w:type="spellEnd"/>
      <w:r>
        <w:t xml:space="preserve"> </w:t>
      </w:r>
      <w:proofErr w:type="spellStart"/>
      <w:r>
        <w:t>prevent</w:t>
      </w:r>
      <w:proofErr w:type="spellEnd"/>
      <w:r>
        <w:t xml:space="preserve"> and </w:t>
      </w:r>
      <w:proofErr w:type="spellStart"/>
      <w:r>
        <w:t>treat</w:t>
      </w:r>
      <w:proofErr w:type="spellEnd"/>
      <w:r>
        <w:t xml:space="preserve"> </w:t>
      </w:r>
      <w:proofErr w:type="spellStart"/>
      <w:r>
        <w:t>postpartum</w:t>
      </w:r>
      <w:proofErr w:type="spellEnd"/>
      <w:r>
        <w:t xml:space="preserve"> </w:t>
      </w:r>
      <w:proofErr w:type="spellStart"/>
      <w:r>
        <w:t>haemorrhage</w:t>
      </w:r>
      <w:proofErr w:type="spellEnd"/>
      <w:r>
        <w:t xml:space="preserve">: A </w:t>
      </w:r>
      <w:proofErr w:type="spellStart"/>
      <w:r>
        <w:t>systematic</w:t>
      </w:r>
      <w:proofErr w:type="spellEnd"/>
      <w:r>
        <w:t xml:space="preserve"> </w:t>
      </w:r>
      <w:proofErr w:type="spellStart"/>
      <w:r>
        <w:t>review</w:t>
      </w:r>
      <w:proofErr w:type="spellEnd"/>
      <w:r>
        <w:t xml:space="preserve"> and meta-</w:t>
      </w:r>
      <w:proofErr w:type="spellStart"/>
      <w:r>
        <w:t>analysis</w:t>
      </w:r>
      <w:proofErr w:type="spellEnd"/>
      <w:r>
        <w:t xml:space="preserve">. Cochrane </w:t>
      </w:r>
      <w:proofErr w:type="spellStart"/>
      <w:r>
        <w:t>Database</w:t>
      </w:r>
      <w:proofErr w:type="spellEnd"/>
      <w:r>
        <w:t xml:space="preserve"> </w:t>
      </w:r>
      <w:proofErr w:type="spellStart"/>
      <w:r>
        <w:t>of</w:t>
      </w:r>
      <w:proofErr w:type="spellEnd"/>
      <w:r>
        <w:t xml:space="preserve"> </w:t>
      </w:r>
      <w:proofErr w:type="spellStart"/>
      <w:r>
        <w:t>Systematic</w:t>
      </w:r>
      <w:proofErr w:type="spellEnd"/>
      <w:r>
        <w:t xml:space="preserve"> </w:t>
      </w:r>
      <w:proofErr w:type="spellStart"/>
      <w:r>
        <w:t>Reviews</w:t>
      </w:r>
      <w:proofErr w:type="spellEnd"/>
      <w:r>
        <w:t xml:space="preserve">, (7), CD000941. </w:t>
      </w:r>
      <w:hyperlink r:id="rId32" w:history="1">
        <w:r w:rsidRPr="00110B28">
          <w:rPr>
            <w:rStyle w:val="Hipervnculo"/>
          </w:rPr>
          <w:t>https://doi.org/10.1002/14651858.CD000941.pub3</w:t>
        </w:r>
      </w:hyperlink>
      <w:r>
        <w:t xml:space="preserve">   </w:t>
      </w:r>
    </w:p>
    <w:p w14:paraId="79A13F46" w14:textId="77777777" w:rsidR="000C2519" w:rsidRDefault="000C2519" w:rsidP="000C2519">
      <w:pPr>
        <w:ind w:left="709" w:hanging="709"/>
      </w:pPr>
      <w:proofErr w:type="spellStart"/>
      <w:r>
        <w:t>Hofmeyr</w:t>
      </w:r>
      <w:proofErr w:type="spellEnd"/>
      <w:r>
        <w:t xml:space="preserve">, G. J., </w:t>
      </w:r>
      <w:proofErr w:type="spellStart"/>
      <w:r>
        <w:t>Gülmezoglu</w:t>
      </w:r>
      <w:proofErr w:type="spellEnd"/>
      <w:r>
        <w:t xml:space="preserve">, A. M., </w:t>
      </w:r>
      <w:proofErr w:type="spellStart"/>
      <w:r>
        <w:t>Novikova</w:t>
      </w:r>
      <w:proofErr w:type="spellEnd"/>
      <w:r>
        <w:t xml:space="preserve">, N., Linder, V., Ferreira, S., &amp; Piaggio, G. (2013). Misoprostol </w:t>
      </w:r>
      <w:proofErr w:type="spellStart"/>
      <w:r>
        <w:t>to</w:t>
      </w:r>
      <w:proofErr w:type="spellEnd"/>
      <w:r>
        <w:t xml:space="preserve"> </w:t>
      </w:r>
      <w:proofErr w:type="spellStart"/>
      <w:r>
        <w:t>prevent</w:t>
      </w:r>
      <w:proofErr w:type="spellEnd"/>
      <w:r>
        <w:t xml:space="preserve"> and </w:t>
      </w:r>
      <w:proofErr w:type="spellStart"/>
      <w:r>
        <w:t>treat</w:t>
      </w:r>
      <w:proofErr w:type="spellEnd"/>
      <w:r>
        <w:t xml:space="preserve"> </w:t>
      </w:r>
      <w:proofErr w:type="spellStart"/>
      <w:r>
        <w:t>postpartum</w:t>
      </w:r>
      <w:proofErr w:type="spellEnd"/>
      <w:r>
        <w:t xml:space="preserve"> </w:t>
      </w:r>
      <w:proofErr w:type="spellStart"/>
      <w:r>
        <w:t>haemorrhage</w:t>
      </w:r>
      <w:proofErr w:type="spellEnd"/>
      <w:r>
        <w:t xml:space="preserve">: A </w:t>
      </w:r>
      <w:proofErr w:type="spellStart"/>
      <w:r>
        <w:t>systematic</w:t>
      </w:r>
      <w:proofErr w:type="spellEnd"/>
      <w:r>
        <w:t xml:space="preserve"> </w:t>
      </w:r>
      <w:proofErr w:type="spellStart"/>
      <w:r>
        <w:t>review</w:t>
      </w:r>
      <w:proofErr w:type="spellEnd"/>
      <w:r>
        <w:t xml:space="preserve"> and meta-</w:t>
      </w:r>
      <w:proofErr w:type="spellStart"/>
      <w:r>
        <w:t>analysis</w:t>
      </w:r>
      <w:proofErr w:type="spellEnd"/>
      <w:r>
        <w:t xml:space="preserve">. Cochrane </w:t>
      </w:r>
      <w:proofErr w:type="spellStart"/>
      <w:r>
        <w:t>Database</w:t>
      </w:r>
      <w:proofErr w:type="spellEnd"/>
      <w:r>
        <w:t xml:space="preserve"> </w:t>
      </w:r>
      <w:proofErr w:type="spellStart"/>
      <w:r>
        <w:t>of</w:t>
      </w:r>
      <w:proofErr w:type="spellEnd"/>
      <w:r>
        <w:t xml:space="preserve"> </w:t>
      </w:r>
      <w:proofErr w:type="spellStart"/>
      <w:r>
        <w:t>Systematic</w:t>
      </w:r>
      <w:proofErr w:type="spellEnd"/>
      <w:r>
        <w:t xml:space="preserve"> </w:t>
      </w:r>
      <w:proofErr w:type="spellStart"/>
      <w:r>
        <w:t>Reviews</w:t>
      </w:r>
      <w:proofErr w:type="spellEnd"/>
      <w:r>
        <w:t xml:space="preserve">, (7), CD000941. </w:t>
      </w:r>
      <w:hyperlink r:id="rId33" w:history="1">
        <w:r w:rsidRPr="00110B28">
          <w:rPr>
            <w:rStyle w:val="Hipervnculo"/>
          </w:rPr>
          <w:t>https://doi.org/10.1002/14651858.CD000941.pub3</w:t>
        </w:r>
      </w:hyperlink>
      <w:r>
        <w:t xml:space="preserve"> </w:t>
      </w:r>
    </w:p>
    <w:p w14:paraId="3A0552C5" w14:textId="2AA0B997" w:rsidR="000C2519" w:rsidRDefault="00155636" w:rsidP="000C2519">
      <w:pPr>
        <w:ind w:left="709" w:hanging="709"/>
      </w:pPr>
      <w:proofErr w:type="spellStart"/>
      <w:r w:rsidRPr="00155636">
        <w:t>Mibi</w:t>
      </w:r>
      <w:proofErr w:type="spellEnd"/>
      <w:r w:rsidRPr="00155636">
        <w:t xml:space="preserve"> </w:t>
      </w:r>
      <w:proofErr w:type="spellStart"/>
      <w:r w:rsidRPr="00155636">
        <w:t>Kakisingi</w:t>
      </w:r>
      <w:proofErr w:type="spellEnd"/>
      <w:r w:rsidRPr="00155636">
        <w:t xml:space="preserve">, D.-J. (2024). Misoprostol, a Good Alternative </w:t>
      </w:r>
      <w:proofErr w:type="spellStart"/>
      <w:r w:rsidRPr="00155636">
        <w:t>for</w:t>
      </w:r>
      <w:proofErr w:type="spellEnd"/>
      <w:r w:rsidRPr="00155636">
        <w:t xml:space="preserve"> </w:t>
      </w:r>
      <w:proofErr w:type="spellStart"/>
      <w:r w:rsidRPr="00155636">
        <w:t>Preventing</w:t>
      </w:r>
      <w:proofErr w:type="spellEnd"/>
      <w:r w:rsidRPr="00155636">
        <w:t xml:space="preserve"> </w:t>
      </w:r>
      <w:proofErr w:type="spellStart"/>
      <w:r w:rsidRPr="00155636">
        <w:t>Postpartum</w:t>
      </w:r>
      <w:proofErr w:type="spellEnd"/>
      <w:r w:rsidRPr="00155636">
        <w:t xml:space="preserve"> </w:t>
      </w:r>
      <w:proofErr w:type="spellStart"/>
      <w:r w:rsidRPr="00155636">
        <w:t>Haemorrhage</w:t>
      </w:r>
      <w:proofErr w:type="spellEnd"/>
      <w:r w:rsidRPr="00155636">
        <w:t xml:space="preserve">. In </w:t>
      </w:r>
      <w:proofErr w:type="spellStart"/>
      <w:r w:rsidRPr="00155636">
        <w:t>Recent</w:t>
      </w:r>
      <w:proofErr w:type="spellEnd"/>
      <w:r w:rsidRPr="00155636">
        <w:t xml:space="preserve"> </w:t>
      </w:r>
      <w:proofErr w:type="spellStart"/>
      <w:r w:rsidRPr="00155636">
        <w:t>Updates</w:t>
      </w:r>
      <w:proofErr w:type="spellEnd"/>
      <w:r w:rsidRPr="00155636">
        <w:t xml:space="preserve"> in Intensive Care Medicine. </w:t>
      </w:r>
      <w:proofErr w:type="spellStart"/>
      <w:r w:rsidRPr="00155636">
        <w:t>IntechOpen</w:t>
      </w:r>
      <w:proofErr w:type="spellEnd"/>
      <w:r w:rsidRPr="00155636">
        <w:t xml:space="preserve">. </w:t>
      </w:r>
      <w:hyperlink r:id="rId34" w:history="1">
        <w:r w:rsidRPr="007E48BD">
          <w:rPr>
            <w:rStyle w:val="Hipervnculo"/>
          </w:rPr>
          <w:t>https://doi.org/10.5772/intechopen.1004726</w:t>
        </w:r>
      </w:hyperlink>
      <w:r w:rsidR="000C2519">
        <w:t>.</w:t>
      </w:r>
      <w:r>
        <w:t xml:space="preserve"> </w:t>
      </w:r>
    </w:p>
    <w:p w14:paraId="79453098" w14:textId="77777777" w:rsidR="000C2519" w:rsidRDefault="000C2519" w:rsidP="000C2519">
      <w:pPr>
        <w:ind w:left="709" w:hanging="709"/>
      </w:pPr>
      <w:r>
        <w:t xml:space="preserve">León, W., </w:t>
      </w:r>
      <w:proofErr w:type="spellStart"/>
      <w:r>
        <w:t>Durocher</w:t>
      </w:r>
      <w:proofErr w:type="spellEnd"/>
      <w:r>
        <w:t xml:space="preserve">, J., Barrera, G., Pinto, E., &amp; </w:t>
      </w:r>
      <w:proofErr w:type="spellStart"/>
      <w:r>
        <w:t>Winikoff</w:t>
      </w:r>
      <w:proofErr w:type="spellEnd"/>
      <w:r>
        <w:t xml:space="preserve">, B. (2012). </w:t>
      </w:r>
      <w:proofErr w:type="spellStart"/>
      <w:r>
        <w:t>Dose</w:t>
      </w:r>
      <w:proofErr w:type="spellEnd"/>
      <w:r>
        <w:t xml:space="preserve"> and </w:t>
      </w:r>
      <w:proofErr w:type="spellStart"/>
      <w:r>
        <w:t>side</w:t>
      </w:r>
      <w:proofErr w:type="spellEnd"/>
      <w:r>
        <w:t xml:space="preserve"> </w:t>
      </w:r>
      <w:proofErr w:type="spellStart"/>
      <w:r>
        <w:t>effects</w:t>
      </w:r>
      <w:proofErr w:type="spellEnd"/>
      <w:r>
        <w:t xml:space="preserve"> </w:t>
      </w:r>
      <w:proofErr w:type="spellStart"/>
      <w:r>
        <w:t>of</w:t>
      </w:r>
      <w:proofErr w:type="spellEnd"/>
      <w:r>
        <w:t xml:space="preserve"> sublingual misoprostol </w:t>
      </w:r>
      <w:proofErr w:type="spellStart"/>
      <w:r>
        <w:t>for</w:t>
      </w:r>
      <w:proofErr w:type="spellEnd"/>
      <w:r>
        <w:t xml:space="preserve"> </w:t>
      </w:r>
      <w:proofErr w:type="spellStart"/>
      <w:r>
        <w:t>treatment</w:t>
      </w:r>
      <w:proofErr w:type="spellEnd"/>
      <w:r>
        <w:t xml:space="preserve"> </w:t>
      </w:r>
      <w:proofErr w:type="spellStart"/>
      <w:r>
        <w:t>of</w:t>
      </w:r>
      <w:proofErr w:type="spellEnd"/>
      <w:r>
        <w:t xml:space="preserve"> </w:t>
      </w:r>
      <w:proofErr w:type="spellStart"/>
      <w:r>
        <w:t>postpartum</w:t>
      </w:r>
      <w:proofErr w:type="spellEnd"/>
      <w:r>
        <w:t xml:space="preserve"> </w:t>
      </w:r>
      <w:proofErr w:type="spellStart"/>
      <w:r>
        <w:t>hemorrhage</w:t>
      </w:r>
      <w:proofErr w:type="spellEnd"/>
      <w:r>
        <w:t xml:space="preserve">: </w:t>
      </w:r>
      <w:proofErr w:type="spellStart"/>
      <w:proofErr w:type="gramStart"/>
      <w:r>
        <w:t>What</w:t>
      </w:r>
      <w:proofErr w:type="spellEnd"/>
      <w:r>
        <w:t xml:space="preserve"> </w:t>
      </w:r>
      <w:proofErr w:type="spellStart"/>
      <w:r>
        <w:t>difference</w:t>
      </w:r>
      <w:proofErr w:type="spellEnd"/>
      <w:r>
        <w:t xml:space="preserve"> do </w:t>
      </w:r>
      <w:proofErr w:type="spellStart"/>
      <w:r>
        <w:t>they</w:t>
      </w:r>
      <w:proofErr w:type="spellEnd"/>
      <w:r>
        <w:t xml:space="preserve"> </w:t>
      </w:r>
      <w:proofErr w:type="spellStart"/>
      <w:r>
        <w:t>make</w:t>
      </w:r>
      <w:proofErr w:type="spellEnd"/>
      <w:r>
        <w:t>?</w:t>
      </w:r>
      <w:proofErr w:type="gramEnd"/>
      <w:r>
        <w:t xml:space="preserve"> BMC </w:t>
      </w:r>
      <w:proofErr w:type="spellStart"/>
      <w:r>
        <w:t>Pregnancy</w:t>
      </w:r>
      <w:proofErr w:type="spellEnd"/>
      <w:r>
        <w:t xml:space="preserve"> and </w:t>
      </w:r>
      <w:proofErr w:type="spellStart"/>
      <w:r>
        <w:t>Childbirth</w:t>
      </w:r>
      <w:proofErr w:type="spellEnd"/>
      <w:r>
        <w:t xml:space="preserve">, 12, 65. </w:t>
      </w:r>
      <w:hyperlink r:id="rId35" w:history="1">
        <w:r w:rsidRPr="00110B28">
          <w:rPr>
            <w:rStyle w:val="Hipervnculo"/>
          </w:rPr>
          <w:t>https://doi.org/10.1186/1471-2393-12-65</w:t>
        </w:r>
      </w:hyperlink>
      <w:r>
        <w:t xml:space="preserve"> </w:t>
      </w:r>
    </w:p>
    <w:p w14:paraId="6E664009" w14:textId="77777777" w:rsidR="000C2519" w:rsidRDefault="000C2519" w:rsidP="000C2519">
      <w:pPr>
        <w:ind w:left="709" w:hanging="709"/>
      </w:pPr>
      <w:proofErr w:type="spellStart"/>
      <w:r>
        <w:t>Lopes</w:t>
      </w:r>
      <w:proofErr w:type="spellEnd"/>
      <w:r>
        <w:t xml:space="preserve">, J. C., Farias, C. F., </w:t>
      </w:r>
      <w:proofErr w:type="spellStart"/>
      <w:r>
        <w:t>Fontinele</w:t>
      </w:r>
      <w:proofErr w:type="spellEnd"/>
      <w:r>
        <w:t xml:space="preserve">, L. F., &amp; </w:t>
      </w:r>
      <w:proofErr w:type="spellStart"/>
      <w:r>
        <w:t>Novellino</w:t>
      </w:r>
      <w:proofErr w:type="spellEnd"/>
      <w:r>
        <w:t xml:space="preserve">, A. M. M. (2025). </w:t>
      </w:r>
      <w:proofErr w:type="gramStart"/>
      <w:r>
        <w:t xml:space="preserve">Misoprostol sublingual </w:t>
      </w:r>
      <w:proofErr w:type="spellStart"/>
      <w:r>
        <w:t>is</w:t>
      </w:r>
      <w:proofErr w:type="spellEnd"/>
      <w:r>
        <w:t xml:space="preserve"> </w:t>
      </w:r>
      <w:proofErr w:type="spellStart"/>
      <w:r>
        <w:t>safer</w:t>
      </w:r>
      <w:proofErr w:type="spellEnd"/>
      <w:r>
        <w:t xml:space="preserve"> and more </w:t>
      </w:r>
      <w:proofErr w:type="spellStart"/>
      <w:r>
        <w:t>effective</w:t>
      </w:r>
      <w:proofErr w:type="spellEnd"/>
      <w:r>
        <w:t xml:space="preserve"> in </w:t>
      </w:r>
      <w:proofErr w:type="spellStart"/>
      <w:r>
        <w:t>the</w:t>
      </w:r>
      <w:proofErr w:type="spellEnd"/>
      <w:r>
        <w:t xml:space="preserve"> </w:t>
      </w:r>
      <w:proofErr w:type="spellStart"/>
      <w:r>
        <w:t>treatment</w:t>
      </w:r>
      <w:proofErr w:type="spellEnd"/>
      <w:r>
        <w:t xml:space="preserve"> </w:t>
      </w:r>
      <w:proofErr w:type="spellStart"/>
      <w:r>
        <w:t>of</w:t>
      </w:r>
      <w:proofErr w:type="spellEnd"/>
      <w:r>
        <w:t xml:space="preserve"> </w:t>
      </w:r>
      <w:proofErr w:type="spellStart"/>
      <w:r>
        <w:t>postpartum</w:t>
      </w:r>
      <w:proofErr w:type="spellEnd"/>
      <w:r>
        <w:t xml:space="preserve"> </w:t>
      </w:r>
      <w:proofErr w:type="spellStart"/>
      <w:r>
        <w:t>hemorrhage</w:t>
      </w:r>
      <w:proofErr w:type="spellEnd"/>
      <w:r>
        <w:t xml:space="preserve"> vaginal </w:t>
      </w:r>
      <w:proofErr w:type="spellStart"/>
      <w:r>
        <w:t>delivery</w:t>
      </w:r>
      <w:proofErr w:type="spellEnd"/>
      <w:r>
        <w:t>?</w:t>
      </w:r>
      <w:proofErr w:type="gramEnd"/>
      <w:r>
        <w:t xml:space="preserve"> A </w:t>
      </w:r>
      <w:proofErr w:type="spellStart"/>
      <w:r>
        <w:t>systematic</w:t>
      </w:r>
      <w:proofErr w:type="spellEnd"/>
      <w:r>
        <w:t xml:space="preserve"> </w:t>
      </w:r>
      <w:proofErr w:type="spellStart"/>
      <w:r>
        <w:t>review</w:t>
      </w:r>
      <w:proofErr w:type="spellEnd"/>
      <w:r>
        <w:t xml:space="preserve"> and meta-</w:t>
      </w:r>
      <w:proofErr w:type="spellStart"/>
      <w:r>
        <w:t>analysis</w:t>
      </w:r>
      <w:proofErr w:type="spellEnd"/>
      <w:r>
        <w:t xml:space="preserve">. Revista de Medicina (São Paulo), 104(3), e-230726. </w:t>
      </w:r>
      <w:hyperlink r:id="rId36" w:history="1">
        <w:r w:rsidRPr="00110B28">
          <w:rPr>
            <w:rStyle w:val="Hipervnculo"/>
          </w:rPr>
          <w:t>https://doi.org/10.11606/issn.1679-9836.v104i3e-230726</w:t>
        </w:r>
      </w:hyperlink>
      <w:r>
        <w:t xml:space="preserve"> </w:t>
      </w:r>
    </w:p>
    <w:p w14:paraId="63B38D2F" w14:textId="5E466B89" w:rsidR="000C2519" w:rsidRDefault="000C2519" w:rsidP="000C2519">
      <w:pPr>
        <w:ind w:left="709" w:hanging="709"/>
      </w:pPr>
      <w:r>
        <w:t>Méndez Cotrina, M. E. (2025). Uso de misoprostol en la prevención de hemorragia posparto en puérperas inmediatas atendidas en un hospital de nivel III en Lima, enero 2024 [Tesis de segunda especialidad, Universidad Privada Norbert Wiener].</w:t>
      </w:r>
      <w:r w:rsidR="000F2E47">
        <w:t xml:space="preserve"> </w:t>
      </w:r>
      <w:hyperlink r:id="rId37" w:history="1">
        <w:r w:rsidR="000F2E47" w:rsidRPr="007E48BD">
          <w:rPr>
            <w:rStyle w:val="Hipervnculo"/>
            <w:rFonts w:ascii="Lato" w:hAnsi="Lato"/>
            <w:shd w:val="clear" w:color="auto" w:fill="FFFFFF"/>
          </w:rPr>
          <w:t>https://hdl.handle.net/20.500.13053/15574</w:t>
        </w:r>
      </w:hyperlink>
      <w:r w:rsidR="000F2E47">
        <w:rPr>
          <w:rFonts w:ascii="Lato" w:hAnsi="Lato"/>
          <w:shd w:val="clear" w:color="auto" w:fill="FFFFFF"/>
        </w:rPr>
        <w:t xml:space="preserve"> </w:t>
      </w:r>
      <w:r w:rsidR="000F2E47">
        <w:t xml:space="preserve"> </w:t>
      </w:r>
    </w:p>
    <w:p w14:paraId="7A3C1DE9" w14:textId="61D72DFA" w:rsidR="000C2519" w:rsidRDefault="000C2519" w:rsidP="000C2519">
      <w:pPr>
        <w:ind w:left="709" w:hanging="709"/>
      </w:pPr>
      <w:r>
        <w:t xml:space="preserve">Morgan Ortiz, F., Cruz Castañeda, M., González Beltrán, A., Quevedo Castro, E., Reyes </w:t>
      </w:r>
      <w:proofErr w:type="spellStart"/>
      <w:r>
        <w:t>Bazúa</w:t>
      </w:r>
      <w:proofErr w:type="spellEnd"/>
      <w:r>
        <w:t xml:space="preserve">, J. T., Báez Barraza, J., &amp; Cuetos Martínez, C. B. (2004). Misoprostol y </w:t>
      </w:r>
      <w:r>
        <w:lastRenderedPageBreak/>
        <w:t>oxitocina para prevención de la hemorragia posparto. Boletín Médico de la Facultad de Medicina de la Universidad Autónoma de Sinaloa, 1(2), 3–8.</w:t>
      </w:r>
      <w:r w:rsidR="000F2E47">
        <w:t xml:space="preserve"> </w:t>
      </w:r>
      <w:hyperlink r:id="rId38" w:history="1">
        <w:r w:rsidR="000F2E47" w:rsidRPr="007E48BD">
          <w:rPr>
            <w:rStyle w:val="Hipervnculo"/>
          </w:rPr>
          <w:t>https://revistasanitariadeinvestigacion.com/protocolo-para-el-manejo-de-la-hemorragia-postparto/</w:t>
        </w:r>
      </w:hyperlink>
    </w:p>
    <w:p w14:paraId="059363D5" w14:textId="77777777" w:rsidR="000F2E47" w:rsidRDefault="000F2E47" w:rsidP="000C2519">
      <w:pPr>
        <w:ind w:left="709" w:hanging="709"/>
      </w:pPr>
    </w:p>
    <w:p w14:paraId="6F546BAD" w14:textId="77777777" w:rsidR="000C2519" w:rsidRDefault="000C2519" w:rsidP="000C2519">
      <w:pPr>
        <w:ind w:left="709" w:hanging="709"/>
      </w:pPr>
      <w:proofErr w:type="spellStart"/>
      <w:r>
        <w:t>Olefile</w:t>
      </w:r>
      <w:proofErr w:type="spellEnd"/>
      <w:r>
        <w:t xml:space="preserve">, K. M., </w:t>
      </w:r>
      <w:proofErr w:type="spellStart"/>
      <w:r>
        <w:t>Khondowe</w:t>
      </w:r>
      <w:proofErr w:type="spellEnd"/>
      <w:r>
        <w:t xml:space="preserve">, O., &amp; </w:t>
      </w:r>
      <w:proofErr w:type="spellStart"/>
      <w:r>
        <w:t>M’Rithaa</w:t>
      </w:r>
      <w:proofErr w:type="spellEnd"/>
      <w:r>
        <w:t xml:space="preserve">, D. (2013). Misoprostol </w:t>
      </w:r>
      <w:proofErr w:type="spellStart"/>
      <w:r>
        <w:t>for</w:t>
      </w:r>
      <w:proofErr w:type="spellEnd"/>
      <w:r>
        <w:t xml:space="preserve"> </w:t>
      </w:r>
      <w:proofErr w:type="spellStart"/>
      <w:r>
        <w:t>prevention</w:t>
      </w:r>
      <w:proofErr w:type="spellEnd"/>
      <w:r>
        <w:t xml:space="preserve"> and </w:t>
      </w:r>
      <w:proofErr w:type="spellStart"/>
      <w:r>
        <w:t>treatment</w:t>
      </w:r>
      <w:proofErr w:type="spellEnd"/>
      <w:r>
        <w:t xml:space="preserve"> </w:t>
      </w:r>
      <w:proofErr w:type="spellStart"/>
      <w:r>
        <w:t>of</w:t>
      </w:r>
      <w:proofErr w:type="spellEnd"/>
      <w:r>
        <w:t xml:space="preserve"> </w:t>
      </w:r>
      <w:proofErr w:type="spellStart"/>
      <w:r>
        <w:t>postpartum</w:t>
      </w:r>
      <w:proofErr w:type="spellEnd"/>
      <w:r>
        <w:t xml:space="preserve"> </w:t>
      </w:r>
      <w:proofErr w:type="spellStart"/>
      <w:r>
        <w:t>haemorrhage</w:t>
      </w:r>
      <w:proofErr w:type="spellEnd"/>
      <w:r>
        <w:t xml:space="preserve">: A </w:t>
      </w:r>
      <w:proofErr w:type="spellStart"/>
      <w:r>
        <w:t>systematic</w:t>
      </w:r>
      <w:proofErr w:type="spellEnd"/>
      <w:r>
        <w:t xml:space="preserve"> </w:t>
      </w:r>
      <w:proofErr w:type="spellStart"/>
      <w:r>
        <w:t>review</w:t>
      </w:r>
      <w:proofErr w:type="spellEnd"/>
      <w:r>
        <w:t xml:space="preserve">. </w:t>
      </w:r>
      <w:proofErr w:type="spellStart"/>
      <w:r>
        <w:t>Curationis</w:t>
      </w:r>
      <w:proofErr w:type="spellEnd"/>
      <w:r>
        <w:t xml:space="preserve">, 36(1), </w:t>
      </w:r>
      <w:proofErr w:type="spellStart"/>
      <w:r>
        <w:t>Article</w:t>
      </w:r>
      <w:proofErr w:type="spellEnd"/>
      <w:r>
        <w:t xml:space="preserve"> 57. </w:t>
      </w:r>
      <w:hyperlink r:id="rId39" w:history="1">
        <w:r w:rsidRPr="00110B28">
          <w:rPr>
            <w:rStyle w:val="Hipervnculo"/>
          </w:rPr>
          <w:t>https://doi.org/10.4102/curationis.v36i1.57</w:t>
        </w:r>
      </w:hyperlink>
      <w:r>
        <w:t xml:space="preserve"> </w:t>
      </w:r>
    </w:p>
    <w:p w14:paraId="14B3CBC1" w14:textId="708A4A22" w:rsidR="000C2519" w:rsidRDefault="000C2519" w:rsidP="000C2519">
      <w:pPr>
        <w:ind w:left="709" w:hanging="709"/>
      </w:pPr>
      <w:proofErr w:type="spellStart"/>
      <w:r>
        <w:t>Owonikoko</w:t>
      </w:r>
      <w:proofErr w:type="spellEnd"/>
      <w:r>
        <w:t xml:space="preserve">, K. M., </w:t>
      </w:r>
      <w:proofErr w:type="spellStart"/>
      <w:r>
        <w:t>Arowojolu</w:t>
      </w:r>
      <w:proofErr w:type="spellEnd"/>
      <w:r>
        <w:t xml:space="preserve">, A. O., &amp; </w:t>
      </w:r>
      <w:proofErr w:type="spellStart"/>
      <w:r>
        <w:t>Okunlola</w:t>
      </w:r>
      <w:proofErr w:type="spellEnd"/>
      <w:r>
        <w:t xml:space="preserve">, M. A. (2011). </w:t>
      </w:r>
      <w:proofErr w:type="spellStart"/>
      <w:r>
        <w:t>Effect</w:t>
      </w:r>
      <w:proofErr w:type="spellEnd"/>
      <w:r>
        <w:t xml:space="preserve"> </w:t>
      </w:r>
      <w:proofErr w:type="spellStart"/>
      <w:r>
        <w:t>of</w:t>
      </w:r>
      <w:proofErr w:type="spellEnd"/>
      <w:r>
        <w:t xml:space="preserve"> sublingual misoprostol versus </w:t>
      </w:r>
      <w:proofErr w:type="spellStart"/>
      <w:r>
        <w:t>intravenous</w:t>
      </w:r>
      <w:proofErr w:type="spellEnd"/>
      <w:r>
        <w:t xml:space="preserve"> </w:t>
      </w:r>
      <w:proofErr w:type="spellStart"/>
      <w:r>
        <w:t>oxytocin</w:t>
      </w:r>
      <w:proofErr w:type="spellEnd"/>
      <w:r>
        <w:t xml:space="preserve"> </w:t>
      </w:r>
      <w:proofErr w:type="spellStart"/>
      <w:r>
        <w:t>on</w:t>
      </w:r>
      <w:proofErr w:type="spellEnd"/>
      <w:r>
        <w:t xml:space="preserve"> </w:t>
      </w:r>
      <w:proofErr w:type="spellStart"/>
      <w:r>
        <w:t>reducing</w:t>
      </w:r>
      <w:proofErr w:type="spellEnd"/>
      <w:r>
        <w:t xml:space="preserve"> </w:t>
      </w:r>
      <w:proofErr w:type="spellStart"/>
      <w:r>
        <w:t>blood</w:t>
      </w:r>
      <w:proofErr w:type="spellEnd"/>
      <w:r>
        <w:t xml:space="preserve"> </w:t>
      </w:r>
      <w:proofErr w:type="spellStart"/>
      <w:r>
        <w:t>loss</w:t>
      </w:r>
      <w:proofErr w:type="spellEnd"/>
      <w:r>
        <w:t xml:space="preserve"> at </w:t>
      </w:r>
      <w:proofErr w:type="spellStart"/>
      <w:r>
        <w:t>cesarean</w:t>
      </w:r>
      <w:proofErr w:type="spellEnd"/>
      <w:r>
        <w:t xml:space="preserve"> </w:t>
      </w:r>
      <w:proofErr w:type="spellStart"/>
      <w:r>
        <w:t>section</w:t>
      </w:r>
      <w:proofErr w:type="spellEnd"/>
      <w:r>
        <w:t xml:space="preserve"> in Nigeria: A </w:t>
      </w:r>
      <w:proofErr w:type="spellStart"/>
      <w:r>
        <w:t>randomized</w:t>
      </w:r>
      <w:proofErr w:type="spellEnd"/>
      <w:r>
        <w:t xml:space="preserve"> </w:t>
      </w:r>
      <w:proofErr w:type="spellStart"/>
      <w:r>
        <w:t>controlled</w:t>
      </w:r>
      <w:proofErr w:type="spellEnd"/>
      <w:r>
        <w:t xml:space="preserve"> trial. </w:t>
      </w:r>
      <w:proofErr w:type="spellStart"/>
      <w:r>
        <w:t>Journal</w:t>
      </w:r>
      <w:proofErr w:type="spellEnd"/>
      <w:r>
        <w:t xml:space="preserve"> </w:t>
      </w:r>
      <w:proofErr w:type="spellStart"/>
      <w:r>
        <w:t>of</w:t>
      </w:r>
      <w:proofErr w:type="spellEnd"/>
      <w:r>
        <w:t xml:space="preserve"> </w:t>
      </w:r>
      <w:proofErr w:type="spellStart"/>
      <w:r>
        <w:t>Obstetrics</w:t>
      </w:r>
      <w:proofErr w:type="spellEnd"/>
      <w:r>
        <w:t xml:space="preserve"> and </w:t>
      </w:r>
      <w:proofErr w:type="spellStart"/>
      <w:r>
        <w:t>Gynaecology</w:t>
      </w:r>
      <w:proofErr w:type="spellEnd"/>
      <w:r>
        <w:t xml:space="preserve"> </w:t>
      </w:r>
      <w:proofErr w:type="spellStart"/>
      <w:r>
        <w:t>Research</w:t>
      </w:r>
      <w:proofErr w:type="spellEnd"/>
      <w:r>
        <w:t xml:space="preserve">, 37(7), 715–721. </w:t>
      </w:r>
      <w:hyperlink r:id="rId40" w:history="1">
        <w:r w:rsidRPr="00110B28">
          <w:rPr>
            <w:rStyle w:val="Hipervnculo"/>
          </w:rPr>
          <w:t>https://doi.org/10.1111/j.1447-0756.2010.01399.x</w:t>
        </w:r>
      </w:hyperlink>
      <w:r>
        <w:t xml:space="preserve"> </w:t>
      </w:r>
    </w:p>
    <w:p w14:paraId="044AFA2F" w14:textId="4B6C8C0E" w:rsidR="00C40752" w:rsidRPr="00C40752" w:rsidRDefault="00C40752" w:rsidP="000C2519">
      <w:pPr>
        <w:ind w:left="709" w:hanging="709"/>
        <w:rPr>
          <w:lang w:val="en-US"/>
        </w:rPr>
      </w:pPr>
      <w:r>
        <w:t xml:space="preserve">Page, M. J., McKenzie, J. E., </w:t>
      </w:r>
      <w:proofErr w:type="spellStart"/>
      <w:r>
        <w:t>Bossuyt</w:t>
      </w:r>
      <w:proofErr w:type="spellEnd"/>
      <w:r>
        <w:t xml:space="preserve">, P. M., </w:t>
      </w:r>
      <w:proofErr w:type="spellStart"/>
      <w:r>
        <w:t>Boutron</w:t>
      </w:r>
      <w:proofErr w:type="spellEnd"/>
      <w:r>
        <w:t xml:space="preserve">, I., Hoffmann, T. C., </w:t>
      </w:r>
      <w:proofErr w:type="spellStart"/>
      <w:r>
        <w:t>Mulrow</w:t>
      </w:r>
      <w:proofErr w:type="spellEnd"/>
      <w:r>
        <w:t xml:space="preserve">, C. D., </w:t>
      </w:r>
      <w:proofErr w:type="spellStart"/>
      <w:r>
        <w:t>Shamseer</w:t>
      </w:r>
      <w:proofErr w:type="spellEnd"/>
      <w:r>
        <w:t xml:space="preserve">, L., </w:t>
      </w:r>
      <w:proofErr w:type="spellStart"/>
      <w:r>
        <w:t>Tetzlaff</w:t>
      </w:r>
      <w:proofErr w:type="spellEnd"/>
      <w:r>
        <w:t xml:space="preserve">, J. M., </w:t>
      </w:r>
      <w:proofErr w:type="spellStart"/>
      <w:r>
        <w:t>Akl</w:t>
      </w:r>
      <w:proofErr w:type="spellEnd"/>
      <w:r>
        <w:t xml:space="preserve">, E. A., Brennan, S. E., Chou, R., </w:t>
      </w:r>
      <w:proofErr w:type="spellStart"/>
      <w:r>
        <w:t>Glanville</w:t>
      </w:r>
      <w:proofErr w:type="spellEnd"/>
      <w:r>
        <w:t xml:space="preserve">, J., </w:t>
      </w:r>
      <w:proofErr w:type="spellStart"/>
      <w:r>
        <w:t>Grimshaw</w:t>
      </w:r>
      <w:proofErr w:type="spellEnd"/>
      <w:r>
        <w:t xml:space="preserve">, J. M., </w:t>
      </w:r>
      <w:proofErr w:type="spellStart"/>
      <w:r>
        <w:t>Hróbjartsson</w:t>
      </w:r>
      <w:proofErr w:type="spellEnd"/>
      <w:r>
        <w:t xml:space="preserve">, A., </w:t>
      </w:r>
      <w:proofErr w:type="spellStart"/>
      <w:r>
        <w:t>Lalu</w:t>
      </w:r>
      <w:proofErr w:type="spellEnd"/>
      <w:r>
        <w:t xml:space="preserve">, M. M., Li, T., </w:t>
      </w:r>
      <w:proofErr w:type="spellStart"/>
      <w:r>
        <w:t>Loder</w:t>
      </w:r>
      <w:proofErr w:type="spellEnd"/>
      <w:r>
        <w:t xml:space="preserve">, E. W., </w:t>
      </w:r>
      <w:proofErr w:type="gramStart"/>
      <w:r>
        <w:t>Mayo</w:t>
      </w:r>
      <w:proofErr w:type="gramEnd"/>
      <w:r>
        <w:t xml:space="preserve">-Wilson, E., McDonald, S., McGuinness, L. A., … </w:t>
      </w:r>
      <w:proofErr w:type="spellStart"/>
      <w:r>
        <w:t>Moher</w:t>
      </w:r>
      <w:proofErr w:type="spellEnd"/>
      <w:r>
        <w:t xml:space="preserve">, D. (2021). </w:t>
      </w:r>
      <w:proofErr w:type="spellStart"/>
      <w:r>
        <w:t>The</w:t>
      </w:r>
      <w:proofErr w:type="spellEnd"/>
      <w:r>
        <w:t xml:space="preserve"> PRISMA 2020 </w:t>
      </w:r>
      <w:proofErr w:type="spellStart"/>
      <w:r>
        <w:t>statement</w:t>
      </w:r>
      <w:proofErr w:type="spellEnd"/>
      <w:r>
        <w:t xml:space="preserve">: </w:t>
      </w:r>
      <w:proofErr w:type="spellStart"/>
      <w:r>
        <w:t>an</w:t>
      </w:r>
      <w:proofErr w:type="spellEnd"/>
      <w:r>
        <w:t xml:space="preserve"> </w:t>
      </w:r>
      <w:proofErr w:type="spellStart"/>
      <w:r>
        <w:t>updated</w:t>
      </w:r>
      <w:proofErr w:type="spellEnd"/>
      <w:r>
        <w:t xml:space="preserve"> </w:t>
      </w:r>
      <w:proofErr w:type="spellStart"/>
      <w:r>
        <w:t>guideline</w:t>
      </w:r>
      <w:proofErr w:type="spellEnd"/>
      <w:r>
        <w:t xml:space="preserve"> </w:t>
      </w:r>
      <w:proofErr w:type="spellStart"/>
      <w:r>
        <w:t>for</w:t>
      </w:r>
      <w:proofErr w:type="spellEnd"/>
      <w:r>
        <w:t xml:space="preserve"> </w:t>
      </w:r>
      <w:proofErr w:type="spellStart"/>
      <w:r>
        <w:t>reporting</w:t>
      </w:r>
      <w:proofErr w:type="spellEnd"/>
      <w:r>
        <w:t xml:space="preserve"> </w:t>
      </w:r>
      <w:proofErr w:type="spellStart"/>
      <w:r>
        <w:t>systematic</w:t>
      </w:r>
      <w:proofErr w:type="spellEnd"/>
      <w:r>
        <w:t xml:space="preserve"> </w:t>
      </w:r>
      <w:proofErr w:type="spellStart"/>
      <w:r>
        <w:t>reviews</w:t>
      </w:r>
      <w:proofErr w:type="spellEnd"/>
      <w:r>
        <w:t>. BMJ (</w:t>
      </w:r>
      <w:proofErr w:type="spellStart"/>
      <w:r>
        <w:t>Clinical</w:t>
      </w:r>
      <w:proofErr w:type="spellEnd"/>
      <w:r>
        <w:t xml:space="preserve"> </w:t>
      </w:r>
      <w:proofErr w:type="spellStart"/>
      <w:r>
        <w:t>research</w:t>
      </w:r>
      <w:proofErr w:type="spellEnd"/>
      <w:r>
        <w:t xml:space="preserve"> ed.), 372, n71. </w:t>
      </w:r>
      <w:hyperlink r:id="rId41" w:history="1">
        <w:r w:rsidRPr="00482948">
          <w:rPr>
            <w:rStyle w:val="Hipervnculo"/>
          </w:rPr>
          <w:t>https://doi.org/10.1136/bmj.n71</w:t>
        </w:r>
      </w:hyperlink>
    </w:p>
    <w:p w14:paraId="509C60FC" w14:textId="77777777" w:rsidR="000C2519" w:rsidRDefault="000C2519" w:rsidP="000C2519">
      <w:pPr>
        <w:ind w:left="709" w:hanging="709"/>
      </w:pPr>
      <w:proofErr w:type="spellStart"/>
      <w:r>
        <w:t>Prata</w:t>
      </w:r>
      <w:proofErr w:type="spellEnd"/>
      <w:r>
        <w:t xml:space="preserve">, N., &amp; </w:t>
      </w:r>
      <w:proofErr w:type="spellStart"/>
      <w:r>
        <w:t>Weidert</w:t>
      </w:r>
      <w:proofErr w:type="spellEnd"/>
      <w:r>
        <w:t xml:space="preserve">, K. (2016). </w:t>
      </w:r>
      <w:proofErr w:type="spellStart"/>
      <w:r>
        <w:t>Efficacy</w:t>
      </w:r>
      <w:proofErr w:type="spellEnd"/>
      <w:r>
        <w:t xml:space="preserve"> </w:t>
      </w:r>
      <w:proofErr w:type="spellStart"/>
      <w:r>
        <w:t>of</w:t>
      </w:r>
      <w:proofErr w:type="spellEnd"/>
      <w:r>
        <w:t xml:space="preserve"> misoprostol </w:t>
      </w:r>
      <w:proofErr w:type="spellStart"/>
      <w:r>
        <w:t>for</w:t>
      </w:r>
      <w:proofErr w:type="spellEnd"/>
      <w:r>
        <w:t xml:space="preserve"> </w:t>
      </w:r>
      <w:proofErr w:type="spellStart"/>
      <w:r>
        <w:t>the</w:t>
      </w:r>
      <w:proofErr w:type="spellEnd"/>
      <w:r>
        <w:t xml:space="preserve"> </w:t>
      </w:r>
      <w:proofErr w:type="spellStart"/>
      <w:r>
        <w:t>treatment</w:t>
      </w:r>
      <w:proofErr w:type="spellEnd"/>
      <w:r>
        <w:t xml:space="preserve"> </w:t>
      </w:r>
      <w:proofErr w:type="spellStart"/>
      <w:r>
        <w:t>of</w:t>
      </w:r>
      <w:proofErr w:type="spellEnd"/>
      <w:r>
        <w:t xml:space="preserve"> </w:t>
      </w:r>
      <w:proofErr w:type="spellStart"/>
      <w:r>
        <w:t>postpartum</w:t>
      </w:r>
      <w:proofErr w:type="spellEnd"/>
      <w:r>
        <w:t xml:space="preserve"> </w:t>
      </w:r>
      <w:proofErr w:type="spellStart"/>
      <w:r>
        <w:t>hemorrhage</w:t>
      </w:r>
      <w:proofErr w:type="spellEnd"/>
      <w:r>
        <w:t xml:space="preserve">: </w:t>
      </w:r>
      <w:proofErr w:type="spellStart"/>
      <w:r>
        <w:t>Current</w:t>
      </w:r>
      <w:proofErr w:type="spellEnd"/>
      <w:r>
        <w:t xml:space="preserve"> </w:t>
      </w:r>
      <w:proofErr w:type="spellStart"/>
      <w:r>
        <w:t>knowledge</w:t>
      </w:r>
      <w:proofErr w:type="spellEnd"/>
      <w:r>
        <w:t xml:space="preserve"> and </w:t>
      </w:r>
      <w:proofErr w:type="spellStart"/>
      <w:r>
        <w:t>implications</w:t>
      </w:r>
      <w:proofErr w:type="spellEnd"/>
      <w:r>
        <w:t xml:space="preserve"> </w:t>
      </w:r>
      <w:proofErr w:type="spellStart"/>
      <w:r>
        <w:t>for</w:t>
      </w:r>
      <w:proofErr w:type="spellEnd"/>
      <w:r>
        <w:t xml:space="preserve"> </w:t>
      </w:r>
      <w:proofErr w:type="spellStart"/>
      <w:r>
        <w:t>health</w:t>
      </w:r>
      <w:proofErr w:type="spellEnd"/>
      <w:r>
        <w:t xml:space="preserve"> care </w:t>
      </w:r>
      <w:proofErr w:type="spellStart"/>
      <w:r>
        <w:t>planning</w:t>
      </w:r>
      <w:proofErr w:type="spellEnd"/>
      <w:r>
        <w:t xml:space="preserve">. International </w:t>
      </w:r>
      <w:proofErr w:type="spellStart"/>
      <w:r>
        <w:t>Journal</w:t>
      </w:r>
      <w:proofErr w:type="spellEnd"/>
      <w:r>
        <w:t xml:space="preserve"> </w:t>
      </w:r>
      <w:proofErr w:type="spellStart"/>
      <w:r>
        <w:t>of</w:t>
      </w:r>
      <w:proofErr w:type="spellEnd"/>
      <w:r>
        <w:t xml:space="preserve"> </w:t>
      </w:r>
      <w:proofErr w:type="spellStart"/>
      <w:r>
        <w:t>Women’s</w:t>
      </w:r>
      <w:proofErr w:type="spellEnd"/>
      <w:r>
        <w:t xml:space="preserve"> </w:t>
      </w:r>
      <w:proofErr w:type="spellStart"/>
      <w:r>
        <w:t>Health</w:t>
      </w:r>
      <w:proofErr w:type="spellEnd"/>
      <w:r>
        <w:t xml:space="preserve">, 8, 341–349. </w:t>
      </w:r>
      <w:hyperlink r:id="rId42" w:history="1">
        <w:r w:rsidRPr="00110B28">
          <w:rPr>
            <w:rStyle w:val="Hipervnculo"/>
          </w:rPr>
          <w:t>https://doi.org/10.2147/IJWH.S89315</w:t>
        </w:r>
      </w:hyperlink>
      <w:r>
        <w:t xml:space="preserve">     </w:t>
      </w:r>
    </w:p>
    <w:p w14:paraId="1A419464" w14:textId="236FEC95" w:rsidR="000C2519" w:rsidRDefault="000C2519" w:rsidP="000C2519">
      <w:pPr>
        <w:ind w:left="709" w:hanging="709"/>
      </w:pPr>
      <w:r>
        <w:t xml:space="preserve">Quiroga Díaz, R., Cantú Mata, R., Tello Gutiérrez, H. E., Puente Villalobos, M., Montemayor Garza, R., &amp; Martínez Mendoza, A. (2009). Misoprostol intrauterino para la prevención de la hemorragia </w:t>
      </w:r>
      <w:proofErr w:type="spellStart"/>
      <w:r>
        <w:t>postcesárea</w:t>
      </w:r>
      <w:proofErr w:type="spellEnd"/>
      <w:r>
        <w:t>. Ginecología y Obstetricia de México, 77(10), 469–474.</w:t>
      </w:r>
      <w:r w:rsidR="000F2E47">
        <w:t xml:space="preserve"> </w:t>
      </w:r>
      <w:hyperlink r:id="rId43" w:history="1">
        <w:r w:rsidR="000F2E47" w:rsidRPr="007E48BD">
          <w:rPr>
            <w:rStyle w:val="Hipervnculo"/>
          </w:rPr>
          <w:t>https://www.medigraphic.com/pdfs/ginobsmex/gom-2009/gom0910c.pdf</w:t>
        </w:r>
      </w:hyperlink>
      <w:r w:rsidR="000F2E47">
        <w:t xml:space="preserve"> </w:t>
      </w:r>
    </w:p>
    <w:p w14:paraId="60E688EF" w14:textId="640855C8" w:rsidR="000C2519" w:rsidRDefault="000C2519" w:rsidP="000C2519">
      <w:pPr>
        <w:ind w:left="709" w:hanging="709"/>
      </w:pPr>
      <w:r>
        <w:t xml:space="preserve">Rondón-Tapia, M., Reyna-Villasmil, E., Pérez-Rumbo, Á., Mejía-Montilla, J., Reyna-Villasmil, N., &amp; Torres-Cepeda, D. (2017). Misoprostol sublingual u oxitocina </w:t>
      </w:r>
      <w:r>
        <w:lastRenderedPageBreak/>
        <w:t xml:space="preserve">intramuscular en el manejo activo de la tercera etapa del parto. Avances en Biomedicina, 6(3), 188–199. </w:t>
      </w:r>
      <w:hyperlink r:id="rId44" w:history="1">
        <w:r w:rsidR="000F2E47" w:rsidRPr="007E48BD">
          <w:rPr>
            <w:rStyle w:val="Hipervnculo"/>
          </w:rPr>
          <w:t>https://www.redalyc.org/journal/3313/331355421002/html/</w:t>
        </w:r>
      </w:hyperlink>
      <w:r w:rsidR="000F2E47">
        <w:t xml:space="preserve"> </w:t>
      </w:r>
    </w:p>
    <w:p w14:paraId="0720130B" w14:textId="77777777" w:rsidR="000C2519" w:rsidRDefault="000C2519" w:rsidP="000C2519">
      <w:pPr>
        <w:ind w:left="709" w:hanging="709"/>
      </w:pPr>
      <w:r>
        <w:t>Rubio-</w:t>
      </w:r>
      <w:proofErr w:type="spellStart"/>
      <w:r>
        <w:t>Esperano</w:t>
      </w:r>
      <w:proofErr w:type="spellEnd"/>
      <w:r>
        <w:t>, F., Morgan-Ortiz, F., Morgan-Ruiz, F. V., Corona-</w:t>
      </w:r>
      <w:proofErr w:type="spellStart"/>
      <w:r>
        <w:t>Sapien</w:t>
      </w:r>
      <w:proofErr w:type="spellEnd"/>
      <w:r>
        <w:t xml:space="preserve">, C. F., Quevedo-Castro, E., Báez-Barraza, J., López-Manjarrez, G., Esquivel-Leyva, B. I., &amp; Peraza-Garay, F. de J. (2018). Eficacia del misoprostol intrauterino como coadyuvante en la prevención de hemorragia postparto durante la operación cesárea en embarazo a término. Revista Médica de la Universidad Autónoma de Sinaloa, 8(3), 109–117. </w:t>
      </w:r>
      <w:hyperlink r:id="rId45" w:history="1">
        <w:r w:rsidRPr="00110B28">
          <w:rPr>
            <w:rStyle w:val="Hipervnculo"/>
          </w:rPr>
          <w:t>https://doi.org/10.28960/revmeduas.2007-8013.v8.n3.001</w:t>
        </w:r>
      </w:hyperlink>
      <w:r>
        <w:t xml:space="preserve"> </w:t>
      </w:r>
    </w:p>
    <w:p w14:paraId="748734C8" w14:textId="77777777" w:rsidR="000C2519" w:rsidRDefault="000C2519" w:rsidP="000C2519">
      <w:pPr>
        <w:ind w:left="709" w:hanging="709"/>
      </w:pPr>
      <w:r>
        <w:t xml:space="preserve">Sandoval Paredes, J., Fuentes, V., &amp; Urrutia, K. (2004). Misoprostol sublingual comparado con oxitocina intramuscular en la prevención de la hemorragia posparto. Revista Peruana de Ginecología y Obstetricia, 50(4), 212–216. </w:t>
      </w:r>
      <w:hyperlink r:id="rId46" w:history="1">
        <w:r w:rsidRPr="00110B28">
          <w:rPr>
            <w:rStyle w:val="Hipervnculo"/>
          </w:rPr>
          <w:t>https://doi.org/10.31403/rpgo.v50i419</w:t>
        </w:r>
      </w:hyperlink>
      <w:r>
        <w:t xml:space="preserve"> </w:t>
      </w:r>
    </w:p>
    <w:p w14:paraId="0200C7CF" w14:textId="11022E0A" w:rsidR="000C2519" w:rsidRDefault="000C2519" w:rsidP="000C2519">
      <w:pPr>
        <w:ind w:left="709" w:hanging="709"/>
      </w:pPr>
      <w:r>
        <w:t>Sarabia Salazar, D., Olivar, F. Á., Peña Carpio, I. E., &amp; González Blanco, M. (2015). Misoprostol en la conducta activa en el tercer período del parto: Dosis mínima efectiva. Revista de Obstetricia y Ginecología de Venezuela, 75(3), 155–163.</w:t>
      </w:r>
      <w:r w:rsidR="001749F8">
        <w:t xml:space="preserve"> </w:t>
      </w:r>
      <w:hyperlink r:id="rId47" w:history="1">
        <w:r w:rsidR="001749F8" w:rsidRPr="007E48BD">
          <w:rPr>
            <w:rStyle w:val="Hipervnculo"/>
          </w:rPr>
          <w:t>https://ve.scielo.org/scielo.php?pid=S0048-77322015000300003&amp;script=sci_abstract</w:t>
        </w:r>
      </w:hyperlink>
      <w:r w:rsidR="001749F8">
        <w:t xml:space="preserve"> </w:t>
      </w:r>
    </w:p>
    <w:p w14:paraId="72FDFA15" w14:textId="77777777" w:rsidR="000C2519" w:rsidRDefault="000C2519" w:rsidP="000C2519">
      <w:pPr>
        <w:ind w:left="709" w:hanging="709"/>
      </w:pPr>
      <w:proofErr w:type="spellStart"/>
      <w:r>
        <w:t>Say</w:t>
      </w:r>
      <w:proofErr w:type="spellEnd"/>
      <w:r>
        <w:t xml:space="preserve">, L., Chou, D., </w:t>
      </w:r>
      <w:proofErr w:type="spellStart"/>
      <w:r>
        <w:t>Gemmill</w:t>
      </w:r>
      <w:proofErr w:type="spellEnd"/>
      <w:r>
        <w:t xml:space="preserve">, A., </w:t>
      </w:r>
      <w:proofErr w:type="spellStart"/>
      <w:r>
        <w:t>Tunçalp</w:t>
      </w:r>
      <w:proofErr w:type="spellEnd"/>
      <w:r>
        <w:t xml:space="preserve">, Ö., </w:t>
      </w:r>
      <w:proofErr w:type="spellStart"/>
      <w:r>
        <w:t>Moller</w:t>
      </w:r>
      <w:proofErr w:type="spellEnd"/>
      <w:r>
        <w:t xml:space="preserve">, A.-B., Daniels, J., </w:t>
      </w:r>
      <w:proofErr w:type="spellStart"/>
      <w:r>
        <w:t>Gülmezoglu</w:t>
      </w:r>
      <w:proofErr w:type="spellEnd"/>
      <w:r>
        <w:t xml:space="preserve">, A. M., </w:t>
      </w:r>
      <w:proofErr w:type="spellStart"/>
      <w:r>
        <w:t>Temmerman</w:t>
      </w:r>
      <w:proofErr w:type="spellEnd"/>
      <w:r>
        <w:t xml:space="preserve">, M., &amp; </w:t>
      </w:r>
      <w:proofErr w:type="spellStart"/>
      <w:r>
        <w:t>Alkema</w:t>
      </w:r>
      <w:proofErr w:type="spellEnd"/>
      <w:r>
        <w:t xml:space="preserve">, L. (2014). Global causes </w:t>
      </w:r>
      <w:proofErr w:type="spellStart"/>
      <w:r>
        <w:t>of</w:t>
      </w:r>
      <w:proofErr w:type="spellEnd"/>
      <w:r>
        <w:t xml:space="preserve"> maternal </w:t>
      </w:r>
      <w:proofErr w:type="spellStart"/>
      <w:r>
        <w:t>death</w:t>
      </w:r>
      <w:proofErr w:type="spellEnd"/>
      <w:r>
        <w:t xml:space="preserve">: A WHO </w:t>
      </w:r>
      <w:proofErr w:type="spellStart"/>
      <w:r>
        <w:t>systematic</w:t>
      </w:r>
      <w:proofErr w:type="spellEnd"/>
      <w:r>
        <w:t xml:space="preserve"> </w:t>
      </w:r>
      <w:proofErr w:type="spellStart"/>
      <w:r>
        <w:t>analysis</w:t>
      </w:r>
      <w:proofErr w:type="spellEnd"/>
      <w:r>
        <w:t xml:space="preserve">. </w:t>
      </w:r>
      <w:proofErr w:type="spellStart"/>
      <w:r>
        <w:t>The</w:t>
      </w:r>
      <w:proofErr w:type="spellEnd"/>
      <w:r>
        <w:t xml:space="preserve"> Lancet Global </w:t>
      </w:r>
      <w:proofErr w:type="spellStart"/>
      <w:r>
        <w:t>Health</w:t>
      </w:r>
      <w:proofErr w:type="spellEnd"/>
      <w:r>
        <w:t xml:space="preserve">, 2(6), e323–e333. </w:t>
      </w:r>
      <w:hyperlink r:id="rId48" w:history="1">
        <w:r w:rsidRPr="00110B28">
          <w:rPr>
            <w:rStyle w:val="Hipervnculo"/>
          </w:rPr>
          <w:t>https://doi.org/10.1016/S2214-109X(14)70227-X</w:t>
        </w:r>
      </w:hyperlink>
      <w:r>
        <w:t xml:space="preserve">  </w:t>
      </w:r>
    </w:p>
    <w:p w14:paraId="146FE614" w14:textId="77777777" w:rsidR="000C2519" w:rsidRDefault="000C2519" w:rsidP="000C2519">
      <w:pPr>
        <w:ind w:left="709" w:hanging="709"/>
      </w:pPr>
      <w:r>
        <w:t xml:space="preserve">Serna-Muñoz, R., Ramírez-Valencia, M. F., Gómez-Santillán, J. A., Figueroa-Caballero, M. F., &amp; Alarcón-Trejo, M. F. (2025). Estrategias en la prevención y manejo de la hemorragia posparto: Uso de uterotónicos. Anales Médicos, 70(4), 307–318. </w:t>
      </w:r>
      <w:hyperlink r:id="rId49" w:history="1">
        <w:r w:rsidRPr="00110B28">
          <w:rPr>
            <w:rStyle w:val="Hipervnculo"/>
          </w:rPr>
          <w:t>https://doi.org/10.24875/AMH.25000008</w:t>
        </w:r>
      </w:hyperlink>
      <w:r>
        <w:t xml:space="preserve"> </w:t>
      </w:r>
    </w:p>
    <w:p w14:paraId="23DA4DC8" w14:textId="77777777" w:rsidR="000C2519" w:rsidRDefault="000C2519" w:rsidP="000C2519">
      <w:pPr>
        <w:ind w:left="709" w:hanging="709"/>
      </w:pPr>
      <w:r>
        <w:t xml:space="preserve">Tang, O. S., </w:t>
      </w:r>
      <w:proofErr w:type="spellStart"/>
      <w:r>
        <w:t>Schweer</w:t>
      </w:r>
      <w:proofErr w:type="spellEnd"/>
      <w:r>
        <w:t xml:space="preserve">, H., </w:t>
      </w:r>
      <w:proofErr w:type="spellStart"/>
      <w:r>
        <w:t>Seyberth</w:t>
      </w:r>
      <w:proofErr w:type="spellEnd"/>
      <w:r>
        <w:t xml:space="preserve">, H. W., Lee, S. W. H., &amp; Ho, P. C. (2002). </w:t>
      </w:r>
      <w:proofErr w:type="spellStart"/>
      <w:r>
        <w:t>Pharmacokinetics</w:t>
      </w:r>
      <w:proofErr w:type="spellEnd"/>
      <w:r>
        <w:t xml:space="preserve"> </w:t>
      </w:r>
      <w:proofErr w:type="spellStart"/>
      <w:r>
        <w:t>of</w:t>
      </w:r>
      <w:proofErr w:type="spellEnd"/>
      <w:r>
        <w:t xml:space="preserve"> </w:t>
      </w:r>
      <w:proofErr w:type="spellStart"/>
      <w:r>
        <w:t>different</w:t>
      </w:r>
      <w:proofErr w:type="spellEnd"/>
      <w:r>
        <w:t xml:space="preserve"> </w:t>
      </w:r>
      <w:proofErr w:type="spellStart"/>
      <w:r>
        <w:t>routes</w:t>
      </w:r>
      <w:proofErr w:type="spellEnd"/>
      <w:r>
        <w:t xml:space="preserve"> </w:t>
      </w:r>
      <w:proofErr w:type="spellStart"/>
      <w:r>
        <w:t>of</w:t>
      </w:r>
      <w:proofErr w:type="spellEnd"/>
      <w:r>
        <w:t xml:space="preserve"> </w:t>
      </w:r>
      <w:proofErr w:type="spellStart"/>
      <w:r>
        <w:t>administration</w:t>
      </w:r>
      <w:proofErr w:type="spellEnd"/>
      <w:r>
        <w:t xml:space="preserve"> </w:t>
      </w:r>
      <w:proofErr w:type="spellStart"/>
      <w:r>
        <w:t>of</w:t>
      </w:r>
      <w:proofErr w:type="spellEnd"/>
      <w:r>
        <w:t xml:space="preserve"> misoprostol. Human </w:t>
      </w:r>
      <w:proofErr w:type="spellStart"/>
      <w:r>
        <w:t>Reproduction</w:t>
      </w:r>
      <w:proofErr w:type="spellEnd"/>
      <w:r>
        <w:t xml:space="preserve">, 17(2), 332–336. </w:t>
      </w:r>
      <w:hyperlink r:id="rId50" w:history="1">
        <w:r w:rsidRPr="00110B28">
          <w:rPr>
            <w:rStyle w:val="Hipervnculo"/>
          </w:rPr>
          <w:t>https://doi.org/10.1093/humrep/17.2.332</w:t>
        </w:r>
      </w:hyperlink>
      <w:r>
        <w:t xml:space="preserve">  </w:t>
      </w:r>
    </w:p>
    <w:p w14:paraId="08E6B432" w14:textId="77777777" w:rsidR="000C2519" w:rsidRDefault="000C2519" w:rsidP="000C2519">
      <w:pPr>
        <w:ind w:left="709" w:hanging="709"/>
      </w:pPr>
      <w:r>
        <w:lastRenderedPageBreak/>
        <w:t xml:space="preserve">WHO. (2018). WHO </w:t>
      </w:r>
      <w:proofErr w:type="spellStart"/>
      <w:r>
        <w:t>recommendations</w:t>
      </w:r>
      <w:proofErr w:type="spellEnd"/>
      <w:r>
        <w:t xml:space="preserve">: </w:t>
      </w:r>
      <w:proofErr w:type="spellStart"/>
      <w:r>
        <w:t>Uterotonics</w:t>
      </w:r>
      <w:proofErr w:type="spellEnd"/>
      <w:r>
        <w:t xml:space="preserve"> </w:t>
      </w:r>
      <w:proofErr w:type="spellStart"/>
      <w:r>
        <w:t>for</w:t>
      </w:r>
      <w:proofErr w:type="spellEnd"/>
      <w:r>
        <w:t xml:space="preserve"> </w:t>
      </w:r>
      <w:proofErr w:type="spellStart"/>
      <w:r>
        <w:t>the</w:t>
      </w:r>
      <w:proofErr w:type="spellEnd"/>
      <w:r>
        <w:t xml:space="preserve"> </w:t>
      </w:r>
      <w:proofErr w:type="spellStart"/>
      <w:r>
        <w:t>prevention</w:t>
      </w:r>
      <w:proofErr w:type="spellEnd"/>
      <w:r>
        <w:t xml:space="preserve"> </w:t>
      </w:r>
      <w:proofErr w:type="spellStart"/>
      <w:r>
        <w:t>of</w:t>
      </w:r>
      <w:proofErr w:type="spellEnd"/>
      <w:r>
        <w:t xml:space="preserve"> </w:t>
      </w:r>
      <w:proofErr w:type="spellStart"/>
      <w:r>
        <w:t>postpartum</w:t>
      </w:r>
      <w:proofErr w:type="spellEnd"/>
      <w:r>
        <w:t xml:space="preserve"> </w:t>
      </w:r>
      <w:proofErr w:type="spellStart"/>
      <w:r>
        <w:t>haemorrhage</w:t>
      </w:r>
      <w:proofErr w:type="spellEnd"/>
      <w:r>
        <w:t xml:space="preserve">. </w:t>
      </w:r>
      <w:proofErr w:type="spellStart"/>
      <w:r>
        <w:t>World</w:t>
      </w:r>
      <w:proofErr w:type="spellEnd"/>
      <w:r>
        <w:t xml:space="preserve"> </w:t>
      </w:r>
      <w:proofErr w:type="spellStart"/>
      <w:r>
        <w:t>Health</w:t>
      </w:r>
      <w:proofErr w:type="spellEnd"/>
      <w:r>
        <w:t xml:space="preserve"> </w:t>
      </w:r>
      <w:proofErr w:type="spellStart"/>
      <w:r>
        <w:t>Organization</w:t>
      </w:r>
      <w:proofErr w:type="spellEnd"/>
      <w:r>
        <w:t xml:space="preserve">. </w:t>
      </w:r>
      <w:hyperlink r:id="rId51" w:history="1">
        <w:r w:rsidRPr="00110B28">
          <w:rPr>
            <w:rStyle w:val="Hipervnculo"/>
          </w:rPr>
          <w:t>https://doi.org/10.15557/9789241550420</w:t>
        </w:r>
      </w:hyperlink>
      <w:r>
        <w:t xml:space="preserve">  </w:t>
      </w:r>
    </w:p>
    <w:p w14:paraId="159BA108" w14:textId="77777777" w:rsidR="000C2519" w:rsidRDefault="000C2519" w:rsidP="000C2519">
      <w:pPr>
        <w:ind w:left="709" w:hanging="709"/>
      </w:pPr>
      <w:proofErr w:type="spellStart"/>
      <w:r>
        <w:t>Winikoff</w:t>
      </w:r>
      <w:proofErr w:type="spellEnd"/>
      <w:r>
        <w:t xml:space="preserve">, B., </w:t>
      </w:r>
      <w:proofErr w:type="spellStart"/>
      <w:r>
        <w:t>Dabash</w:t>
      </w:r>
      <w:proofErr w:type="spellEnd"/>
      <w:r>
        <w:t xml:space="preserve">, R., </w:t>
      </w:r>
      <w:proofErr w:type="spellStart"/>
      <w:r>
        <w:t>Durocher</w:t>
      </w:r>
      <w:proofErr w:type="spellEnd"/>
      <w:r>
        <w:t xml:space="preserve">, J., </w:t>
      </w:r>
      <w:proofErr w:type="spellStart"/>
      <w:r>
        <w:t>Darwish</w:t>
      </w:r>
      <w:proofErr w:type="spellEnd"/>
      <w:r>
        <w:t xml:space="preserve">, E., Nguyen, T. N., León, W., Barrera, G., </w:t>
      </w:r>
      <w:proofErr w:type="spellStart"/>
      <w:r>
        <w:t>Faúndes</w:t>
      </w:r>
      <w:proofErr w:type="spellEnd"/>
      <w:r>
        <w:t xml:space="preserve">, A., &amp; </w:t>
      </w:r>
      <w:proofErr w:type="spellStart"/>
      <w:r>
        <w:t>Shochet</w:t>
      </w:r>
      <w:proofErr w:type="spellEnd"/>
      <w:r>
        <w:t xml:space="preserve">, T. (2010). </w:t>
      </w:r>
      <w:proofErr w:type="spellStart"/>
      <w:r>
        <w:t>Treatment</w:t>
      </w:r>
      <w:proofErr w:type="spellEnd"/>
      <w:r>
        <w:t xml:space="preserve"> </w:t>
      </w:r>
      <w:proofErr w:type="spellStart"/>
      <w:r>
        <w:t>of</w:t>
      </w:r>
      <w:proofErr w:type="spellEnd"/>
      <w:r>
        <w:t xml:space="preserve"> </w:t>
      </w:r>
      <w:proofErr w:type="spellStart"/>
      <w:r>
        <w:t>postpartum</w:t>
      </w:r>
      <w:proofErr w:type="spellEnd"/>
      <w:r>
        <w:t xml:space="preserve"> </w:t>
      </w:r>
      <w:proofErr w:type="spellStart"/>
      <w:r>
        <w:t>haemorrhage</w:t>
      </w:r>
      <w:proofErr w:type="spellEnd"/>
      <w:r>
        <w:t xml:space="preserve"> </w:t>
      </w:r>
      <w:proofErr w:type="spellStart"/>
      <w:r>
        <w:t>with</w:t>
      </w:r>
      <w:proofErr w:type="spellEnd"/>
      <w:r>
        <w:t xml:space="preserve"> sublingual misoprostol versus </w:t>
      </w:r>
      <w:proofErr w:type="spellStart"/>
      <w:r>
        <w:t>oxytocin</w:t>
      </w:r>
      <w:proofErr w:type="spellEnd"/>
      <w:r>
        <w:t xml:space="preserve"> in </w:t>
      </w:r>
      <w:proofErr w:type="spellStart"/>
      <w:r>
        <w:t>women</w:t>
      </w:r>
      <w:proofErr w:type="spellEnd"/>
      <w:r>
        <w:t xml:space="preserve"> </w:t>
      </w:r>
      <w:proofErr w:type="spellStart"/>
      <w:r>
        <w:t>not</w:t>
      </w:r>
      <w:proofErr w:type="spellEnd"/>
      <w:r>
        <w:t xml:space="preserve"> </w:t>
      </w:r>
      <w:proofErr w:type="spellStart"/>
      <w:r>
        <w:t>exposed</w:t>
      </w:r>
      <w:proofErr w:type="spellEnd"/>
      <w:r>
        <w:t xml:space="preserve"> </w:t>
      </w:r>
      <w:proofErr w:type="spellStart"/>
      <w:r>
        <w:t>to</w:t>
      </w:r>
      <w:proofErr w:type="spellEnd"/>
      <w:r>
        <w:t xml:space="preserve"> </w:t>
      </w:r>
      <w:proofErr w:type="spellStart"/>
      <w:r>
        <w:t>oxytocin</w:t>
      </w:r>
      <w:proofErr w:type="spellEnd"/>
      <w:r>
        <w:t xml:space="preserve"> </w:t>
      </w:r>
      <w:proofErr w:type="spellStart"/>
      <w:r>
        <w:t>during</w:t>
      </w:r>
      <w:proofErr w:type="spellEnd"/>
      <w:r>
        <w:t xml:space="preserve"> </w:t>
      </w:r>
      <w:proofErr w:type="spellStart"/>
      <w:r>
        <w:t>labour</w:t>
      </w:r>
      <w:proofErr w:type="spellEnd"/>
      <w:r>
        <w:t xml:space="preserve">: A </w:t>
      </w:r>
      <w:proofErr w:type="spellStart"/>
      <w:r>
        <w:t>double-blind</w:t>
      </w:r>
      <w:proofErr w:type="spellEnd"/>
      <w:r>
        <w:t xml:space="preserve">, </w:t>
      </w:r>
      <w:proofErr w:type="spellStart"/>
      <w:r>
        <w:t>randomised</w:t>
      </w:r>
      <w:proofErr w:type="spellEnd"/>
      <w:r>
        <w:t xml:space="preserve"> non-</w:t>
      </w:r>
      <w:proofErr w:type="spellStart"/>
      <w:r>
        <w:t>inferiority</w:t>
      </w:r>
      <w:proofErr w:type="spellEnd"/>
      <w:r>
        <w:t xml:space="preserve"> trial. </w:t>
      </w:r>
      <w:proofErr w:type="spellStart"/>
      <w:r>
        <w:t>The</w:t>
      </w:r>
      <w:proofErr w:type="spellEnd"/>
      <w:r>
        <w:t xml:space="preserve"> Lancet, 375(9710), 210–216. </w:t>
      </w:r>
      <w:hyperlink r:id="rId52" w:history="1">
        <w:r w:rsidRPr="00110B28">
          <w:rPr>
            <w:rStyle w:val="Hipervnculo"/>
          </w:rPr>
          <w:t>https://doi.org/10.1016/S0140-6736(10)60395-3</w:t>
        </w:r>
      </w:hyperlink>
      <w:r>
        <w:t xml:space="preserve">   </w:t>
      </w:r>
    </w:p>
    <w:p w14:paraId="0E7D7299" w14:textId="77777777" w:rsidR="000C2519" w:rsidRDefault="000C2519" w:rsidP="000C2519">
      <w:pPr>
        <w:ind w:left="709" w:hanging="709"/>
      </w:pPr>
      <w:proofErr w:type="spellStart"/>
      <w:r>
        <w:t>World</w:t>
      </w:r>
      <w:proofErr w:type="spellEnd"/>
      <w:r>
        <w:t xml:space="preserve"> </w:t>
      </w:r>
      <w:proofErr w:type="spellStart"/>
      <w:r>
        <w:t>Health</w:t>
      </w:r>
      <w:proofErr w:type="spellEnd"/>
      <w:r>
        <w:t xml:space="preserve"> </w:t>
      </w:r>
      <w:proofErr w:type="spellStart"/>
      <w:r>
        <w:t>Organization</w:t>
      </w:r>
      <w:proofErr w:type="spellEnd"/>
      <w:r>
        <w:t xml:space="preserve">. (2025). </w:t>
      </w:r>
      <w:proofErr w:type="spellStart"/>
      <w:r>
        <w:t>Consolidated</w:t>
      </w:r>
      <w:proofErr w:type="spellEnd"/>
      <w:r>
        <w:t xml:space="preserve"> </w:t>
      </w:r>
      <w:proofErr w:type="spellStart"/>
      <w:r>
        <w:t>guidelines</w:t>
      </w:r>
      <w:proofErr w:type="spellEnd"/>
      <w:r>
        <w:t xml:space="preserve"> </w:t>
      </w:r>
      <w:proofErr w:type="spellStart"/>
      <w:r>
        <w:t>for</w:t>
      </w:r>
      <w:proofErr w:type="spellEnd"/>
      <w:r>
        <w:t xml:space="preserve"> </w:t>
      </w:r>
      <w:proofErr w:type="spellStart"/>
      <w:r>
        <w:t>the</w:t>
      </w:r>
      <w:proofErr w:type="spellEnd"/>
      <w:r>
        <w:t xml:space="preserve"> </w:t>
      </w:r>
      <w:proofErr w:type="spellStart"/>
      <w:r>
        <w:t>prevention</w:t>
      </w:r>
      <w:proofErr w:type="spellEnd"/>
      <w:r>
        <w:t xml:space="preserve">, diagnosis and </w:t>
      </w:r>
      <w:proofErr w:type="spellStart"/>
      <w:r>
        <w:t>treatment</w:t>
      </w:r>
      <w:proofErr w:type="spellEnd"/>
      <w:r>
        <w:t xml:space="preserve"> </w:t>
      </w:r>
      <w:proofErr w:type="spellStart"/>
      <w:r>
        <w:t>of</w:t>
      </w:r>
      <w:proofErr w:type="spellEnd"/>
      <w:r>
        <w:t xml:space="preserve"> </w:t>
      </w:r>
      <w:proofErr w:type="spellStart"/>
      <w:r>
        <w:t>postpartum</w:t>
      </w:r>
      <w:proofErr w:type="spellEnd"/>
      <w:r>
        <w:t xml:space="preserve"> </w:t>
      </w:r>
      <w:proofErr w:type="spellStart"/>
      <w:r>
        <w:t>haemorrhage</w:t>
      </w:r>
      <w:proofErr w:type="spellEnd"/>
      <w:r>
        <w:t xml:space="preserve">. </w:t>
      </w:r>
      <w:proofErr w:type="spellStart"/>
      <w:r>
        <w:t>World</w:t>
      </w:r>
      <w:proofErr w:type="spellEnd"/>
      <w:r>
        <w:t xml:space="preserve"> </w:t>
      </w:r>
      <w:proofErr w:type="spellStart"/>
      <w:r>
        <w:t>Health</w:t>
      </w:r>
      <w:proofErr w:type="spellEnd"/>
      <w:r>
        <w:t xml:space="preserve"> </w:t>
      </w:r>
      <w:proofErr w:type="spellStart"/>
      <w:r>
        <w:t>Organization</w:t>
      </w:r>
      <w:proofErr w:type="spellEnd"/>
      <w:r>
        <w:t xml:space="preserve">. </w:t>
      </w:r>
      <w:hyperlink r:id="rId53" w:history="1">
        <w:r w:rsidRPr="00110B28">
          <w:rPr>
            <w:rStyle w:val="Hipervnculo"/>
          </w:rPr>
          <w:t>https://iris.who.int/</w:t>
        </w:r>
      </w:hyperlink>
      <w:r>
        <w:t xml:space="preserve">    </w:t>
      </w:r>
    </w:p>
    <w:p w14:paraId="7704C145" w14:textId="2AA405E8" w:rsidR="00B03194" w:rsidRDefault="00B03194" w:rsidP="00B03194"/>
    <w:p w14:paraId="718356B1" w14:textId="13ED7D1B" w:rsidR="00BC669C" w:rsidRDefault="00BC669C" w:rsidP="00B03194"/>
    <w:p w14:paraId="18E53DB7" w14:textId="2D7D6535" w:rsidR="00BC669C" w:rsidRDefault="00BC669C" w:rsidP="00B03194"/>
    <w:p w14:paraId="3EA05FEC" w14:textId="298CA705" w:rsidR="00BC669C" w:rsidRDefault="00BC669C" w:rsidP="00B03194"/>
    <w:p w14:paraId="13F02CD5" w14:textId="7FF49BD3" w:rsidR="00BC669C" w:rsidRDefault="00BC669C" w:rsidP="00B03194"/>
    <w:p w14:paraId="651A38E1" w14:textId="77777777" w:rsidR="001F1DE3" w:rsidRDefault="001F1DE3" w:rsidP="00BC669C">
      <w:pPr>
        <w:pStyle w:val="Ttulo1"/>
        <w:sectPr w:rsidR="001F1DE3" w:rsidSect="006F5322">
          <w:pgSz w:w="12240" w:h="15840"/>
          <w:pgMar w:top="1418" w:right="1701" w:bottom="1418" w:left="1701" w:header="709" w:footer="709" w:gutter="0"/>
          <w:cols w:space="708"/>
          <w:docGrid w:linePitch="360"/>
        </w:sectPr>
      </w:pPr>
    </w:p>
    <w:p w14:paraId="44409DF3" w14:textId="45197DCB" w:rsidR="00BC669C" w:rsidRDefault="00BC669C" w:rsidP="00BC669C">
      <w:pPr>
        <w:pStyle w:val="Ttulo1"/>
      </w:pPr>
      <w:bookmarkStart w:id="83" w:name="_Toc235815405"/>
      <w:r>
        <w:lastRenderedPageBreak/>
        <w:t>Anexos</w:t>
      </w:r>
      <w:bookmarkEnd w:id="83"/>
    </w:p>
    <w:p w14:paraId="7DFBB5B3" w14:textId="77777777" w:rsidR="005A62E0" w:rsidRPr="005A62E0" w:rsidRDefault="005A62E0" w:rsidP="005A62E0"/>
    <w:p w14:paraId="6D3A9371" w14:textId="62828AF3" w:rsidR="00BC669C" w:rsidRDefault="00BC669C" w:rsidP="00BC669C">
      <w:pPr>
        <w:pStyle w:val="Ttulo2"/>
      </w:pPr>
      <w:bookmarkStart w:id="84" w:name="_Toc235815406"/>
      <w:r>
        <w:t xml:space="preserve">Anexo </w:t>
      </w:r>
      <w:r w:rsidR="005A62E0">
        <w:t>1</w:t>
      </w:r>
      <w:r>
        <w:t>. Estrategia de búsqueda</w:t>
      </w:r>
      <w:bookmarkEnd w:id="84"/>
    </w:p>
    <w:p w14:paraId="686DC4EA" w14:textId="77777777" w:rsidR="00BC669C" w:rsidRPr="00BC669C" w:rsidRDefault="00BC669C" w:rsidP="00BC669C">
      <w:pPr>
        <w:rPr>
          <w:b/>
          <w:bCs/>
          <w:u w:val="single"/>
        </w:rPr>
      </w:pPr>
      <w:r w:rsidRPr="00BC669C">
        <w:rPr>
          <w:b/>
          <w:bCs/>
          <w:u w:val="single"/>
        </w:rPr>
        <w:t xml:space="preserve">Base 1. </w:t>
      </w:r>
      <w:proofErr w:type="spellStart"/>
      <w:r w:rsidRPr="00BC669C">
        <w:rPr>
          <w:b/>
          <w:bCs/>
          <w:u w:val="single"/>
        </w:rPr>
        <w:t>Pubmed</w:t>
      </w:r>
      <w:proofErr w:type="spellEnd"/>
    </w:p>
    <w:p w14:paraId="5628316E" w14:textId="3C7695E1" w:rsidR="00BC669C" w:rsidRDefault="00BC669C" w:rsidP="00BC669C">
      <w:r w:rsidRPr="00F52DEF">
        <w:t>(misoprostol) AND (</w:t>
      </w:r>
      <w:proofErr w:type="spellStart"/>
      <w:r w:rsidRPr="00F52DEF">
        <w:t>postpartum</w:t>
      </w:r>
      <w:proofErr w:type="spellEnd"/>
      <w:r w:rsidRPr="00F52DEF">
        <w:t xml:space="preserve"> </w:t>
      </w:r>
      <w:proofErr w:type="spellStart"/>
      <w:r w:rsidRPr="00F52DEF">
        <w:t>hemorrhage</w:t>
      </w:r>
      <w:proofErr w:type="spellEnd"/>
      <w:r w:rsidRPr="00F52DEF">
        <w:t xml:space="preserve"> OR "</w:t>
      </w:r>
      <w:proofErr w:type="spellStart"/>
      <w:r w:rsidRPr="00F52DEF">
        <w:t>bleeding</w:t>
      </w:r>
      <w:proofErr w:type="spellEnd"/>
      <w:r w:rsidRPr="00F52DEF">
        <w:t>") AND ("</w:t>
      </w:r>
      <w:proofErr w:type="spellStart"/>
      <w:r w:rsidRPr="00F52DEF">
        <w:t>clinical</w:t>
      </w:r>
      <w:proofErr w:type="spellEnd"/>
      <w:r w:rsidRPr="00F52DEF">
        <w:t xml:space="preserve"> trial" OR "trial") AND ("</w:t>
      </w:r>
      <w:proofErr w:type="spellStart"/>
      <w:r w:rsidRPr="00F52DEF">
        <w:t>Latin</w:t>
      </w:r>
      <w:proofErr w:type="spellEnd"/>
      <w:r w:rsidRPr="00F52DEF">
        <w:t xml:space="preserve"> </w:t>
      </w:r>
      <w:proofErr w:type="spellStart"/>
      <w:r w:rsidRPr="00F52DEF">
        <w:t>America</w:t>
      </w:r>
      <w:proofErr w:type="spellEnd"/>
      <w:r w:rsidRPr="00F52DEF">
        <w:t xml:space="preserve">" OR "South </w:t>
      </w:r>
      <w:proofErr w:type="spellStart"/>
      <w:r w:rsidRPr="00F52DEF">
        <w:t>America</w:t>
      </w:r>
      <w:proofErr w:type="spellEnd"/>
      <w:r w:rsidRPr="00F52DEF">
        <w:t xml:space="preserve">" OR "Central </w:t>
      </w:r>
      <w:proofErr w:type="spellStart"/>
      <w:r w:rsidRPr="00F52DEF">
        <w:t>America</w:t>
      </w:r>
      <w:proofErr w:type="spellEnd"/>
      <w:r w:rsidRPr="00F52DEF">
        <w:t>" OR "</w:t>
      </w:r>
      <w:proofErr w:type="spellStart"/>
      <w:r w:rsidRPr="00F52DEF">
        <w:t>Caribbean</w:t>
      </w:r>
      <w:proofErr w:type="spellEnd"/>
      <w:r w:rsidRPr="00F52DEF">
        <w:t xml:space="preserve">" OR </w:t>
      </w:r>
      <w:proofErr w:type="spellStart"/>
      <w:r w:rsidRPr="00F52DEF">
        <w:t>Mexico</w:t>
      </w:r>
      <w:proofErr w:type="spellEnd"/>
      <w:r w:rsidRPr="00F52DEF">
        <w:t xml:space="preserve"> OR </w:t>
      </w:r>
      <w:proofErr w:type="spellStart"/>
      <w:r w:rsidRPr="00F52DEF">
        <w:t>Brazil</w:t>
      </w:r>
      <w:proofErr w:type="spellEnd"/>
      <w:r w:rsidRPr="00F52DEF">
        <w:t xml:space="preserve"> OR Argentina OR Colombia OR </w:t>
      </w:r>
      <w:proofErr w:type="spellStart"/>
      <w:r w:rsidRPr="00F52DEF">
        <w:t>Peru</w:t>
      </w:r>
      <w:proofErr w:type="spellEnd"/>
      <w:r w:rsidRPr="00F52DEF">
        <w:t xml:space="preserve"> OR Chile OR Ecuador OR Guatemala OR Cuba OR Bolivia OR "</w:t>
      </w:r>
      <w:proofErr w:type="spellStart"/>
      <w:r w:rsidRPr="00F52DEF">
        <w:t>Dominican</w:t>
      </w:r>
      <w:proofErr w:type="spellEnd"/>
      <w:r w:rsidRPr="00F52DEF">
        <w:t xml:space="preserve"> </w:t>
      </w:r>
      <w:proofErr w:type="spellStart"/>
      <w:r w:rsidRPr="00F52DEF">
        <w:t>Republic</w:t>
      </w:r>
      <w:proofErr w:type="spellEnd"/>
      <w:r w:rsidRPr="00F52DEF">
        <w:t xml:space="preserve">" OR Honduras OR Paraguay OR "El Salvador" OR Nicaragua OR "Costa Rica" OR </w:t>
      </w:r>
      <w:proofErr w:type="spellStart"/>
      <w:r w:rsidRPr="00F52DEF">
        <w:t>Panama</w:t>
      </w:r>
      <w:proofErr w:type="spellEnd"/>
      <w:r w:rsidRPr="00F52DEF">
        <w:t xml:space="preserve">  OR Uruguay OR Venezuela OR Puerto Rico OR Jamaica OR Trinidad OR Guyana OR </w:t>
      </w:r>
      <w:proofErr w:type="spellStart"/>
      <w:r w:rsidRPr="00F52DEF">
        <w:t>Suriname</w:t>
      </w:r>
      <w:proofErr w:type="spellEnd"/>
      <w:r w:rsidRPr="00F52DEF">
        <w:t xml:space="preserve"> OR </w:t>
      </w:r>
      <w:proofErr w:type="spellStart"/>
      <w:r w:rsidRPr="00F52DEF">
        <w:t>Guadeloupe</w:t>
      </w:r>
      <w:proofErr w:type="spellEnd"/>
      <w:r w:rsidRPr="00F52DEF">
        <w:t xml:space="preserve"> OR </w:t>
      </w:r>
      <w:proofErr w:type="spellStart"/>
      <w:r w:rsidRPr="00F52DEF">
        <w:t>Martinique</w:t>
      </w:r>
      <w:proofErr w:type="spellEnd"/>
      <w:r w:rsidRPr="00F52DEF">
        <w:t xml:space="preserve"> OR Bahamas OR </w:t>
      </w:r>
      <w:proofErr w:type="spellStart"/>
      <w:r w:rsidRPr="00F52DEF">
        <w:t>Belize</w:t>
      </w:r>
      <w:proofErr w:type="spellEnd"/>
      <w:r w:rsidRPr="00F52DEF">
        <w:t xml:space="preserve"> OR Barbados)</w:t>
      </w:r>
    </w:p>
    <w:p w14:paraId="2C60AA56" w14:textId="77777777" w:rsidR="005A62E0" w:rsidRDefault="005A62E0" w:rsidP="00BC669C"/>
    <w:p w14:paraId="2F388F23" w14:textId="77777777" w:rsidR="00BC669C" w:rsidRPr="00BC669C" w:rsidRDefault="00BC669C" w:rsidP="00BC669C">
      <w:pPr>
        <w:rPr>
          <w:b/>
          <w:bCs/>
          <w:u w:val="single"/>
        </w:rPr>
      </w:pPr>
      <w:r w:rsidRPr="00BC669C">
        <w:rPr>
          <w:b/>
          <w:bCs/>
          <w:u w:val="single"/>
        </w:rPr>
        <w:t>Base 2. LILACS</w:t>
      </w:r>
    </w:p>
    <w:p w14:paraId="27D81020" w14:textId="74C5E22F" w:rsidR="00BC669C" w:rsidRDefault="00BC669C" w:rsidP="00BC669C">
      <w:r w:rsidRPr="00F52DEF">
        <w:t>"misoprostol" AND ("hemorragia postparto" OR "hemorragia posparto") AND ("</w:t>
      </w:r>
      <w:proofErr w:type="spellStart"/>
      <w:r w:rsidRPr="00F52DEF">
        <w:t>cesarea</w:t>
      </w:r>
      <w:proofErr w:type="spellEnd"/>
      <w:r w:rsidRPr="00F52DEF">
        <w:t>" OR "parto")</w:t>
      </w:r>
    </w:p>
    <w:p w14:paraId="66831AEF" w14:textId="77777777" w:rsidR="005A62E0" w:rsidRDefault="005A62E0" w:rsidP="00BC669C"/>
    <w:p w14:paraId="4AB6B0B2" w14:textId="77777777" w:rsidR="00BC669C" w:rsidRPr="00BC669C" w:rsidRDefault="00BC669C" w:rsidP="00BC669C">
      <w:pPr>
        <w:rPr>
          <w:b/>
          <w:bCs/>
          <w:u w:val="single"/>
        </w:rPr>
      </w:pPr>
      <w:r w:rsidRPr="00BC669C">
        <w:rPr>
          <w:b/>
          <w:bCs/>
          <w:u w:val="single"/>
        </w:rPr>
        <w:t>Base 3. SCIELO</w:t>
      </w:r>
    </w:p>
    <w:p w14:paraId="5DA581BE" w14:textId="4EAD3863" w:rsidR="00BC669C" w:rsidRDefault="00BC669C" w:rsidP="00BC669C">
      <w:r w:rsidRPr="00F52DEF">
        <w:t>"misoprostol" AND ("hemorragia postparto" OR "hemorragia posparto") AND ("</w:t>
      </w:r>
      <w:proofErr w:type="spellStart"/>
      <w:r w:rsidRPr="00F52DEF">
        <w:t>cesarea</w:t>
      </w:r>
      <w:proofErr w:type="spellEnd"/>
      <w:r w:rsidRPr="00F52DEF">
        <w:t>" OR "parto")</w:t>
      </w:r>
    </w:p>
    <w:p w14:paraId="66590794" w14:textId="77777777" w:rsidR="005A62E0" w:rsidRDefault="005A62E0" w:rsidP="00BC669C"/>
    <w:p w14:paraId="11BCE0C3" w14:textId="77777777" w:rsidR="00BC669C" w:rsidRPr="00BC669C" w:rsidRDefault="00BC669C" w:rsidP="00BC669C">
      <w:pPr>
        <w:rPr>
          <w:b/>
          <w:bCs/>
          <w:u w:val="single"/>
        </w:rPr>
      </w:pPr>
      <w:r w:rsidRPr="00BC669C">
        <w:rPr>
          <w:b/>
          <w:bCs/>
          <w:u w:val="single"/>
        </w:rPr>
        <w:t>Base 4. REDALYCS</w:t>
      </w:r>
    </w:p>
    <w:p w14:paraId="1607528A" w14:textId="00849BE6" w:rsidR="00BC669C" w:rsidRDefault="00BC669C" w:rsidP="00BC669C">
      <w:r w:rsidRPr="00F52DEF">
        <w:t>"misoprostol" AND ("hemorragia postparto" OR "hemorragia posparto") AND ("</w:t>
      </w:r>
      <w:proofErr w:type="spellStart"/>
      <w:r w:rsidRPr="00F52DEF">
        <w:t>cesarea</w:t>
      </w:r>
      <w:proofErr w:type="spellEnd"/>
      <w:r w:rsidRPr="00F52DEF">
        <w:t>" OR "parto")</w:t>
      </w:r>
    </w:p>
    <w:p w14:paraId="7A5D85F1" w14:textId="70E86204" w:rsidR="005A62E0" w:rsidRDefault="005A62E0" w:rsidP="00BC669C"/>
    <w:p w14:paraId="1E051563" w14:textId="77777777" w:rsidR="005A62E0" w:rsidRDefault="005A62E0" w:rsidP="00BC669C"/>
    <w:p w14:paraId="4B2A9A65" w14:textId="77777777" w:rsidR="00BC669C" w:rsidRPr="00BC669C" w:rsidRDefault="00BC669C" w:rsidP="00BC669C">
      <w:pPr>
        <w:rPr>
          <w:b/>
          <w:bCs/>
          <w:u w:val="single"/>
        </w:rPr>
      </w:pPr>
      <w:r w:rsidRPr="00BC669C">
        <w:rPr>
          <w:b/>
          <w:bCs/>
          <w:u w:val="single"/>
        </w:rPr>
        <w:lastRenderedPageBreak/>
        <w:t>Resultados de la búsqueda</w:t>
      </w:r>
    </w:p>
    <w:p w14:paraId="3C720203" w14:textId="77777777" w:rsidR="00BC669C" w:rsidRDefault="00BC669C" w:rsidP="00BC669C">
      <w:r>
        <w:t>La búsqueda bibliográfica se realizó en cuatro bases de datos: PubMed, donde se identificaron 24 registros; SciELO, con 6 registros; LILACS, con 53 registros; y Redalyc, con 57 registros. En conjunto, se obtuvieron 140 registros. Después de eliminar 51 duplicados, quedaron 89 registros para la revisión de títulos y resúmenes.</w:t>
      </w:r>
    </w:p>
    <w:p w14:paraId="7CC40773" w14:textId="77777777" w:rsidR="00BC669C" w:rsidRDefault="00BC669C" w:rsidP="00BC669C">
      <w:r>
        <w:t>A partir de esta etapa de cribado, se seleccionaron 32 publicaciones para su evaluación a texto completo. No fue posible acceder al texto completo de una de ellas, por lo que se evaluaron 31 publicaciones. De estas, 9 estudios cumplieron los criterios de elegibilidad y fueron incluidos en la revisión, mientras que 22 fueron excluidos después de la lectura completa.</w:t>
      </w:r>
    </w:p>
    <w:p w14:paraId="6056E951" w14:textId="77777777" w:rsidR="000F5B15" w:rsidRDefault="000F5B15" w:rsidP="00BC669C">
      <w:pPr>
        <w:pStyle w:val="Ttulo2"/>
        <w:sectPr w:rsidR="000F5B15" w:rsidSect="001F1DE3">
          <w:pgSz w:w="12240" w:h="15840"/>
          <w:pgMar w:top="1417" w:right="1701" w:bottom="1417" w:left="1701" w:header="708" w:footer="708" w:gutter="0"/>
          <w:cols w:space="708"/>
          <w:docGrid w:linePitch="360"/>
        </w:sectPr>
      </w:pPr>
    </w:p>
    <w:p w14:paraId="6C439402" w14:textId="0A48E7D4" w:rsidR="00BC669C" w:rsidRDefault="00BC669C" w:rsidP="00BC669C">
      <w:pPr>
        <w:pStyle w:val="Ttulo2"/>
      </w:pPr>
      <w:bookmarkStart w:id="85" w:name="_Toc235815407"/>
      <w:r>
        <w:lastRenderedPageBreak/>
        <w:t xml:space="preserve">Anexo </w:t>
      </w:r>
      <w:r w:rsidR="005A62E0">
        <w:t>2</w:t>
      </w:r>
      <w:r>
        <w:t>. Matrices de extracción de datos</w:t>
      </w:r>
      <w:bookmarkEnd w:id="85"/>
    </w:p>
    <w:p w14:paraId="04813C17" w14:textId="366CAEB0" w:rsidR="000F5B15" w:rsidRDefault="000F5B15" w:rsidP="000F5B15">
      <w:pPr>
        <w:pStyle w:val="Descripcin"/>
      </w:pPr>
      <w:bookmarkStart w:id="86" w:name="_Toc235815417"/>
      <w:r>
        <w:t xml:space="preserve">Matriz </w:t>
      </w:r>
      <w:r>
        <w:fldChar w:fldCharType="begin"/>
      </w:r>
      <w:r>
        <w:instrText xml:space="preserve"> SEQ Matriz \* ARABIC </w:instrText>
      </w:r>
      <w:r>
        <w:fldChar w:fldCharType="separate"/>
      </w:r>
      <w:r w:rsidR="00092CB5">
        <w:rPr>
          <w:noProof/>
        </w:rPr>
        <w:t>1</w:t>
      </w:r>
      <w:r>
        <w:fldChar w:fldCharType="end"/>
      </w:r>
      <w:r>
        <w:t xml:space="preserve">. </w:t>
      </w:r>
      <w:r w:rsidRPr="000F5B15">
        <w:t>Plantilla para la extracción de información de los estudios incluidos</w:t>
      </w:r>
      <w:bookmarkEnd w:id="86"/>
    </w:p>
    <w:tbl>
      <w:tblPr>
        <w:tblStyle w:val="Tablaconcuadrcula"/>
        <w:tblW w:w="0" w:type="auto"/>
        <w:tblLook w:val="04A0" w:firstRow="1" w:lastRow="0" w:firstColumn="1" w:lastColumn="0" w:noHBand="0" w:noVBand="1"/>
      </w:tblPr>
      <w:tblGrid>
        <w:gridCol w:w="1114"/>
        <w:gridCol w:w="1069"/>
        <w:gridCol w:w="1093"/>
        <w:gridCol w:w="951"/>
        <w:gridCol w:w="718"/>
        <w:gridCol w:w="1447"/>
        <w:gridCol w:w="997"/>
        <w:gridCol w:w="1185"/>
        <w:gridCol w:w="1215"/>
        <w:gridCol w:w="1066"/>
        <w:gridCol w:w="1048"/>
        <w:gridCol w:w="1091"/>
      </w:tblGrid>
      <w:tr w:rsidR="000F5B15" w:rsidRPr="000F5B15" w14:paraId="13E97E34" w14:textId="77777777" w:rsidTr="000F5B15">
        <w:tc>
          <w:tcPr>
            <w:tcW w:w="0" w:type="auto"/>
            <w:shd w:val="clear" w:color="auto" w:fill="D9D9D9" w:themeFill="background1" w:themeFillShade="D9"/>
            <w:hideMark/>
          </w:tcPr>
          <w:p w14:paraId="7F0146E8"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Autor y año de publicación</w:t>
            </w:r>
          </w:p>
        </w:tc>
        <w:tc>
          <w:tcPr>
            <w:tcW w:w="0" w:type="auto"/>
            <w:shd w:val="clear" w:color="auto" w:fill="D9D9D9" w:themeFill="background1" w:themeFillShade="D9"/>
            <w:hideMark/>
          </w:tcPr>
          <w:p w14:paraId="6F0A1F00"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País y centro de realización</w:t>
            </w:r>
          </w:p>
        </w:tc>
        <w:tc>
          <w:tcPr>
            <w:tcW w:w="0" w:type="auto"/>
            <w:shd w:val="clear" w:color="auto" w:fill="D9D9D9" w:themeFill="background1" w:themeFillShade="D9"/>
            <w:hideMark/>
          </w:tcPr>
          <w:p w14:paraId="7254326A"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Período de realización del estudio</w:t>
            </w:r>
          </w:p>
        </w:tc>
        <w:tc>
          <w:tcPr>
            <w:tcW w:w="0" w:type="auto"/>
            <w:shd w:val="clear" w:color="auto" w:fill="D9D9D9" w:themeFill="background1" w:themeFillShade="D9"/>
            <w:hideMark/>
          </w:tcPr>
          <w:p w14:paraId="231F109C"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Propósito del estudio</w:t>
            </w:r>
          </w:p>
        </w:tc>
        <w:tc>
          <w:tcPr>
            <w:tcW w:w="0" w:type="auto"/>
            <w:shd w:val="clear" w:color="auto" w:fill="D9D9D9" w:themeFill="background1" w:themeFillShade="D9"/>
            <w:hideMark/>
          </w:tcPr>
          <w:p w14:paraId="79CCED23"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Tipo de diseño</w:t>
            </w:r>
          </w:p>
        </w:tc>
        <w:tc>
          <w:tcPr>
            <w:tcW w:w="0" w:type="auto"/>
            <w:shd w:val="clear" w:color="auto" w:fill="D9D9D9" w:themeFill="background1" w:themeFillShade="D9"/>
            <w:hideMark/>
          </w:tcPr>
          <w:p w14:paraId="45B247F5"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Características de la población estudiada y tamaño muestral</w:t>
            </w:r>
          </w:p>
        </w:tc>
        <w:tc>
          <w:tcPr>
            <w:tcW w:w="0" w:type="auto"/>
            <w:shd w:val="clear" w:color="auto" w:fill="D9D9D9" w:themeFill="background1" w:themeFillShade="D9"/>
            <w:hideMark/>
          </w:tcPr>
          <w:p w14:paraId="637F5FBD"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Criterios de inclusión y exclusión</w:t>
            </w:r>
          </w:p>
        </w:tc>
        <w:tc>
          <w:tcPr>
            <w:tcW w:w="0" w:type="auto"/>
            <w:shd w:val="clear" w:color="auto" w:fill="D9D9D9" w:themeFill="background1" w:themeFillShade="D9"/>
            <w:hideMark/>
          </w:tcPr>
          <w:p w14:paraId="2888B86B"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Descripción de la intervención</w:t>
            </w:r>
          </w:p>
        </w:tc>
        <w:tc>
          <w:tcPr>
            <w:tcW w:w="0" w:type="auto"/>
            <w:shd w:val="clear" w:color="auto" w:fill="D9D9D9" w:themeFill="background1" w:themeFillShade="D9"/>
            <w:hideMark/>
          </w:tcPr>
          <w:p w14:paraId="2017A3C9"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Descripción de la comparación</w:t>
            </w:r>
          </w:p>
        </w:tc>
        <w:tc>
          <w:tcPr>
            <w:tcW w:w="0" w:type="auto"/>
            <w:shd w:val="clear" w:color="auto" w:fill="D9D9D9" w:themeFill="background1" w:themeFillShade="D9"/>
            <w:hideMark/>
          </w:tcPr>
          <w:p w14:paraId="45F3115D"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Desenlaces evaluados</w:t>
            </w:r>
          </w:p>
        </w:tc>
        <w:tc>
          <w:tcPr>
            <w:tcW w:w="0" w:type="auto"/>
            <w:shd w:val="clear" w:color="auto" w:fill="D9D9D9" w:themeFill="background1" w:themeFillShade="D9"/>
            <w:hideMark/>
          </w:tcPr>
          <w:p w14:paraId="18EDF13B"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Resultados reportados</w:t>
            </w:r>
          </w:p>
        </w:tc>
        <w:tc>
          <w:tcPr>
            <w:tcW w:w="0" w:type="auto"/>
            <w:shd w:val="clear" w:color="auto" w:fill="D9D9D9" w:themeFill="background1" w:themeFillShade="D9"/>
            <w:hideMark/>
          </w:tcPr>
          <w:p w14:paraId="7B4C331B"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Conclusión de los autores</w:t>
            </w:r>
          </w:p>
        </w:tc>
      </w:tr>
      <w:tr w:rsidR="000F5B15" w:rsidRPr="000F5B15" w14:paraId="32195DFA" w14:textId="77777777" w:rsidTr="000F5B15">
        <w:tc>
          <w:tcPr>
            <w:tcW w:w="0" w:type="auto"/>
            <w:hideMark/>
          </w:tcPr>
          <w:p w14:paraId="7F9B549F" w14:textId="77777777" w:rsidR="000F5B15" w:rsidRPr="000F5B15" w:rsidRDefault="000F5B15" w:rsidP="000F5B15">
            <w:pPr>
              <w:spacing w:line="480" w:lineRule="auto"/>
              <w:jc w:val="center"/>
              <w:rPr>
                <w:rFonts w:eastAsia="Times New Roman" w:cs="Times New Roman"/>
                <w:b/>
                <w:bCs/>
                <w:kern w:val="0"/>
                <w:sz w:val="18"/>
                <w:szCs w:val="18"/>
                <w:lang w:val="es-ES" w:eastAsia="es-ES"/>
                <w14:ligatures w14:val="none"/>
              </w:rPr>
            </w:pPr>
          </w:p>
        </w:tc>
        <w:tc>
          <w:tcPr>
            <w:tcW w:w="0" w:type="auto"/>
            <w:hideMark/>
          </w:tcPr>
          <w:p w14:paraId="050A5FC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A08630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ECBDD4F"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DF5EA8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E340EA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E23A21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80E42B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6234C9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33D0C7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81467D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1E0231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087B4DF1" w14:textId="77777777" w:rsidTr="000F5B15">
        <w:tc>
          <w:tcPr>
            <w:tcW w:w="0" w:type="auto"/>
            <w:hideMark/>
          </w:tcPr>
          <w:p w14:paraId="1237195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6D4BA9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A06D00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266831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1BFE33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97BC6D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C87D94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2A77B5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E32BC4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B6EA2B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E6486D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196C45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45F65479" w14:textId="77777777" w:rsidTr="000F5B15">
        <w:tc>
          <w:tcPr>
            <w:tcW w:w="0" w:type="auto"/>
            <w:hideMark/>
          </w:tcPr>
          <w:p w14:paraId="7D69BBF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C5BD88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A8E941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AD37F5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EC9B9D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BEA9F7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2F504A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CBF714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768792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DFC529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3F83B2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501FCA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15B7CF42" w14:textId="77777777" w:rsidTr="000F5B15">
        <w:tc>
          <w:tcPr>
            <w:tcW w:w="0" w:type="auto"/>
            <w:hideMark/>
          </w:tcPr>
          <w:p w14:paraId="16137E4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4E1095F"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8313A3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393D68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999E4D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FEDDAB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2ED403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2C5DA6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B59238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5B5993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2C28C6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C91D7B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1C332AD3" w14:textId="77777777" w:rsidTr="000F5B15">
        <w:tc>
          <w:tcPr>
            <w:tcW w:w="0" w:type="auto"/>
            <w:hideMark/>
          </w:tcPr>
          <w:p w14:paraId="4796C8E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EA5388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376764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2A33B9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B3298A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F17155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39B4A5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77F6589"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D671DA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7E8495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5522349"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B20867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6E7C0070" w14:textId="77777777" w:rsidTr="000F5B15">
        <w:tc>
          <w:tcPr>
            <w:tcW w:w="0" w:type="auto"/>
            <w:hideMark/>
          </w:tcPr>
          <w:p w14:paraId="71FEAFE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2AFF7A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3BDAD4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EAE035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4C30C6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9C09A0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CE2A024"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D26607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4508C54"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124421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708427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2EA044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00F1B431" w14:textId="77777777" w:rsidTr="000F5B15">
        <w:tc>
          <w:tcPr>
            <w:tcW w:w="0" w:type="auto"/>
            <w:hideMark/>
          </w:tcPr>
          <w:p w14:paraId="2629AB3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79A57C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726AF0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216A1A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94436E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8FBB88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BE1EC4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53146B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E72B0C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0F5658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1453A6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7DE17A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0E0E9C5E" w14:textId="77777777" w:rsidTr="000F5B15">
        <w:tc>
          <w:tcPr>
            <w:tcW w:w="0" w:type="auto"/>
            <w:hideMark/>
          </w:tcPr>
          <w:p w14:paraId="539A66E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569D6F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8680E5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AFA957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A45C89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22DC73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1413C5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EB48C8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F7FF659"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B1AB65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AD1BA69"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AE93EC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5EEFD770" w14:textId="77777777" w:rsidTr="000F5B15">
        <w:tc>
          <w:tcPr>
            <w:tcW w:w="0" w:type="auto"/>
            <w:hideMark/>
          </w:tcPr>
          <w:p w14:paraId="61918B0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79067D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9EB543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40B21B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A1951D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866195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FE8310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9AE639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230582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3B37D8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7E3935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0974AC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bl>
    <w:p w14:paraId="0E19C3F0" w14:textId="77777777" w:rsidR="000F5B15" w:rsidRDefault="000F5B15" w:rsidP="00BC669C"/>
    <w:p w14:paraId="49834574" w14:textId="77777777" w:rsidR="000F5B15" w:rsidRDefault="000F5B15" w:rsidP="00BC669C"/>
    <w:p w14:paraId="11EBC896" w14:textId="77777777" w:rsidR="000F5B15" w:rsidRDefault="000F5B15" w:rsidP="00BC669C"/>
    <w:p w14:paraId="0F6EDA3D" w14:textId="77777777" w:rsidR="000F5B15" w:rsidRDefault="000F5B15" w:rsidP="00BC669C"/>
    <w:p w14:paraId="4CBCCF95" w14:textId="77777777" w:rsidR="000F5B15" w:rsidRDefault="000F5B15" w:rsidP="00BC669C"/>
    <w:p w14:paraId="466DF39E" w14:textId="52554181" w:rsidR="000F5B15" w:rsidRDefault="000F5B15" w:rsidP="000F5B15">
      <w:pPr>
        <w:pStyle w:val="Descripcin"/>
      </w:pPr>
      <w:bookmarkStart w:id="87" w:name="_Toc235815418"/>
      <w:r>
        <w:t xml:space="preserve">Matriz </w:t>
      </w:r>
      <w:r>
        <w:fldChar w:fldCharType="begin"/>
      </w:r>
      <w:r>
        <w:instrText xml:space="preserve"> SEQ Matriz \* ARABIC </w:instrText>
      </w:r>
      <w:r>
        <w:fldChar w:fldCharType="separate"/>
      </w:r>
      <w:r w:rsidR="00092CB5">
        <w:rPr>
          <w:noProof/>
        </w:rPr>
        <w:t>2</w:t>
      </w:r>
      <w:r>
        <w:fldChar w:fldCharType="end"/>
      </w:r>
      <w:r>
        <w:t xml:space="preserve">. </w:t>
      </w:r>
      <w:r w:rsidRPr="000F5B15">
        <w:t>Plantilla específica para la extracción de resultados de eficacia y seguridad</w:t>
      </w:r>
      <w:bookmarkEnd w:id="87"/>
    </w:p>
    <w:tbl>
      <w:tblPr>
        <w:tblStyle w:val="Tablaconcuadrcula"/>
        <w:tblW w:w="0" w:type="auto"/>
        <w:tblLook w:val="04A0" w:firstRow="1" w:lastRow="0" w:firstColumn="1" w:lastColumn="0" w:noHBand="0" w:noVBand="1"/>
      </w:tblPr>
      <w:tblGrid>
        <w:gridCol w:w="645"/>
        <w:gridCol w:w="1090"/>
        <w:gridCol w:w="1116"/>
        <w:gridCol w:w="1073"/>
        <w:gridCol w:w="1104"/>
        <w:gridCol w:w="1115"/>
        <w:gridCol w:w="1110"/>
        <w:gridCol w:w="1121"/>
        <w:gridCol w:w="974"/>
        <w:gridCol w:w="1108"/>
        <w:gridCol w:w="1119"/>
        <w:gridCol w:w="1419"/>
      </w:tblGrid>
      <w:tr w:rsidR="000F5B15" w:rsidRPr="000F5B15" w14:paraId="4A086A1F" w14:textId="77777777" w:rsidTr="000F5B15">
        <w:tc>
          <w:tcPr>
            <w:tcW w:w="0" w:type="auto"/>
            <w:shd w:val="clear" w:color="auto" w:fill="D9D9D9" w:themeFill="background1" w:themeFillShade="D9"/>
            <w:hideMark/>
          </w:tcPr>
          <w:p w14:paraId="107D754D"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Autor y año</w:t>
            </w:r>
          </w:p>
        </w:tc>
        <w:tc>
          <w:tcPr>
            <w:tcW w:w="0" w:type="auto"/>
            <w:shd w:val="clear" w:color="auto" w:fill="D9D9D9" w:themeFill="background1" w:themeFillShade="D9"/>
            <w:hideMark/>
          </w:tcPr>
          <w:p w14:paraId="3809C98A"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Vía y dosis de misoprostol</w:t>
            </w:r>
          </w:p>
        </w:tc>
        <w:tc>
          <w:tcPr>
            <w:tcW w:w="0" w:type="auto"/>
            <w:shd w:val="clear" w:color="auto" w:fill="D9D9D9" w:themeFill="background1" w:themeFillShade="D9"/>
            <w:hideMark/>
          </w:tcPr>
          <w:p w14:paraId="6A85804F"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Comparador</w:t>
            </w:r>
          </w:p>
        </w:tc>
        <w:tc>
          <w:tcPr>
            <w:tcW w:w="0" w:type="auto"/>
            <w:shd w:val="clear" w:color="auto" w:fill="D9D9D9" w:themeFill="background1" w:themeFillShade="D9"/>
            <w:hideMark/>
          </w:tcPr>
          <w:p w14:paraId="1E9833FD"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Definición de hemorragia posparto</w:t>
            </w:r>
          </w:p>
        </w:tc>
        <w:tc>
          <w:tcPr>
            <w:tcW w:w="0" w:type="auto"/>
            <w:shd w:val="clear" w:color="auto" w:fill="D9D9D9" w:themeFill="background1" w:themeFillShade="D9"/>
            <w:hideMark/>
          </w:tcPr>
          <w:p w14:paraId="500F29DB"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Resultado de HPP con misoprostol</w:t>
            </w:r>
          </w:p>
        </w:tc>
        <w:tc>
          <w:tcPr>
            <w:tcW w:w="0" w:type="auto"/>
            <w:shd w:val="clear" w:color="auto" w:fill="D9D9D9" w:themeFill="background1" w:themeFillShade="D9"/>
            <w:hideMark/>
          </w:tcPr>
          <w:p w14:paraId="70C59231"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Resultado de HPP en el comparador</w:t>
            </w:r>
          </w:p>
        </w:tc>
        <w:tc>
          <w:tcPr>
            <w:tcW w:w="0" w:type="auto"/>
            <w:shd w:val="clear" w:color="auto" w:fill="D9D9D9" w:themeFill="background1" w:themeFillShade="D9"/>
            <w:hideMark/>
          </w:tcPr>
          <w:p w14:paraId="6686679F"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Volumen de sangrado con misoprostol</w:t>
            </w:r>
          </w:p>
        </w:tc>
        <w:tc>
          <w:tcPr>
            <w:tcW w:w="0" w:type="auto"/>
            <w:shd w:val="clear" w:color="auto" w:fill="D9D9D9" w:themeFill="background1" w:themeFillShade="D9"/>
            <w:hideMark/>
          </w:tcPr>
          <w:p w14:paraId="4D42287C"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Volumen de sangrado en el comparador</w:t>
            </w:r>
          </w:p>
        </w:tc>
        <w:tc>
          <w:tcPr>
            <w:tcW w:w="0" w:type="auto"/>
            <w:shd w:val="clear" w:color="auto" w:fill="D9D9D9" w:themeFill="background1" w:themeFillShade="D9"/>
            <w:hideMark/>
          </w:tcPr>
          <w:p w14:paraId="7E180232"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Otros resultados de eficacia</w:t>
            </w:r>
          </w:p>
        </w:tc>
        <w:tc>
          <w:tcPr>
            <w:tcW w:w="0" w:type="auto"/>
            <w:shd w:val="clear" w:color="auto" w:fill="D9D9D9" w:themeFill="background1" w:themeFillShade="D9"/>
            <w:hideMark/>
          </w:tcPr>
          <w:p w14:paraId="7A19409B"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Reacciones adversas con misoprostol</w:t>
            </w:r>
          </w:p>
        </w:tc>
        <w:tc>
          <w:tcPr>
            <w:tcW w:w="0" w:type="auto"/>
            <w:shd w:val="clear" w:color="auto" w:fill="D9D9D9" w:themeFill="background1" w:themeFillShade="D9"/>
            <w:hideMark/>
          </w:tcPr>
          <w:p w14:paraId="35D071AC"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Reacciones adversas en el comparador</w:t>
            </w:r>
          </w:p>
        </w:tc>
        <w:tc>
          <w:tcPr>
            <w:tcW w:w="0" w:type="auto"/>
            <w:shd w:val="clear" w:color="auto" w:fill="D9D9D9" w:themeFill="background1" w:themeFillShade="D9"/>
            <w:hideMark/>
          </w:tcPr>
          <w:p w14:paraId="18A5949A" w14:textId="77777777" w:rsidR="000F5B15" w:rsidRPr="000F5B15" w:rsidRDefault="000F5B15" w:rsidP="000F5B15">
            <w:pPr>
              <w:spacing w:line="240" w:lineRule="auto"/>
              <w:jc w:val="center"/>
              <w:rPr>
                <w:rFonts w:eastAsia="Times New Roman" w:cs="Times New Roman"/>
                <w:kern w:val="0"/>
                <w:sz w:val="18"/>
                <w:szCs w:val="18"/>
                <w:lang w:val="es-ES" w:eastAsia="es-ES"/>
                <w14:ligatures w14:val="none"/>
              </w:rPr>
            </w:pPr>
            <w:r w:rsidRPr="000F5B15">
              <w:rPr>
                <w:rFonts w:eastAsia="Times New Roman" w:cs="Times New Roman"/>
                <w:kern w:val="0"/>
                <w:sz w:val="18"/>
                <w:szCs w:val="18"/>
                <w:lang w:val="es-ES" w:eastAsia="es-ES"/>
                <w14:ligatures w14:val="none"/>
              </w:rPr>
              <w:t>Complicaciones atribuidas al medicamento</w:t>
            </w:r>
          </w:p>
        </w:tc>
      </w:tr>
      <w:tr w:rsidR="000F5B15" w:rsidRPr="000F5B15" w14:paraId="72FBA992" w14:textId="77777777" w:rsidTr="000F5B15">
        <w:tc>
          <w:tcPr>
            <w:tcW w:w="0" w:type="auto"/>
            <w:hideMark/>
          </w:tcPr>
          <w:p w14:paraId="3FDC134F" w14:textId="77777777" w:rsidR="000F5B15" w:rsidRPr="000F5B15" w:rsidRDefault="000F5B15" w:rsidP="000F5B15">
            <w:pPr>
              <w:spacing w:line="480" w:lineRule="auto"/>
              <w:jc w:val="center"/>
              <w:rPr>
                <w:rFonts w:eastAsia="Times New Roman" w:cs="Times New Roman"/>
                <w:b/>
                <w:bCs/>
                <w:kern w:val="0"/>
                <w:sz w:val="18"/>
                <w:szCs w:val="18"/>
                <w:lang w:val="es-ES" w:eastAsia="es-ES"/>
                <w14:ligatures w14:val="none"/>
              </w:rPr>
            </w:pPr>
          </w:p>
        </w:tc>
        <w:tc>
          <w:tcPr>
            <w:tcW w:w="0" w:type="auto"/>
            <w:hideMark/>
          </w:tcPr>
          <w:p w14:paraId="78DD94B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79E1FB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833B26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24F199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F95945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868A95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2346ED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08D86A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073660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61EA8B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13C0DF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33D3D20C" w14:textId="77777777" w:rsidTr="000F5B15">
        <w:tc>
          <w:tcPr>
            <w:tcW w:w="0" w:type="auto"/>
            <w:hideMark/>
          </w:tcPr>
          <w:p w14:paraId="3BA539E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CAA3FAF"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A59F95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8BF2D2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93369D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4701394"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AABF0A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13B1E7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40D7E9F"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4BF721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F892F34"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CE4BCF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74A245A1" w14:textId="77777777" w:rsidTr="000F5B15">
        <w:tc>
          <w:tcPr>
            <w:tcW w:w="0" w:type="auto"/>
            <w:hideMark/>
          </w:tcPr>
          <w:p w14:paraId="602DD87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9D56F3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C17AC9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344745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42F3D7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354CEC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78C662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037CE2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7ED25F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FD5F5C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E42C1F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217DF1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209C3A7F" w14:textId="77777777" w:rsidTr="000F5B15">
        <w:tc>
          <w:tcPr>
            <w:tcW w:w="0" w:type="auto"/>
            <w:hideMark/>
          </w:tcPr>
          <w:p w14:paraId="1056360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663DD8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0371B6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D2211B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F0E32C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EBFF1F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4B23E2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506A18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A707A1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8086BF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623CC9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66B694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7AA0BC12" w14:textId="77777777" w:rsidTr="000F5B15">
        <w:tc>
          <w:tcPr>
            <w:tcW w:w="0" w:type="auto"/>
            <w:hideMark/>
          </w:tcPr>
          <w:p w14:paraId="247CDD5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5448D8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1F73B7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4B1AEA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F87309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060C3F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B4B894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BDEC78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C9A6D1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B58421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3ECE079"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16C538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00E46C15" w14:textId="77777777" w:rsidTr="000F5B15">
        <w:tc>
          <w:tcPr>
            <w:tcW w:w="0" w:type="auto"/>
            <w:hideMark/>
          </w:tcPr>
          <w:p w14:paraId="035BF049"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91DC9C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6D3C0E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49C021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009BBB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074647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C3F914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DB565C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30D547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16EFBCD"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9BED0E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860D0D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2E2DF0FC" w14:textId="77777777" w:rsidTr="000F5B15">
        <w:tc>
          <w:tcPr>
            <w:tcW w:w="0" w:type="auto"/>
            <w:hideMark/>
          </w:tcPr>
          <w:p w14:paraId="5613218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6FAA904"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932C36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B7E8B0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0A7574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ECBA47F"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57258F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ECC670C"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299E8A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57F892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8BDEE1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962EBE5"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5CCF2E97" w14:textId="77777777" w:rsidTr="000F5B15">
        <w:tc>
          <w:tcPr>
            <w:tcW w:w="0" w:type="auto"/>
            <w:hideMark/>
          </w:tcPr>
          <w:p w14:paraId="3382D26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CCEB7F9"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1749D47"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1C2941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0B92F3F"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B56506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956D14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2A6D56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75549C23"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9F6E9D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076CCE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8A093CA"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r w:rsidR="000F5B15" w:rsidRPr="000F5B15" w14:paraId="380D59EF" w14:textId="77777777" w:rsidTr="000F5B15">
        <w:tc>
          <w:tcPr>
            <w:tcW w:w="0" w:type="auto"/>
            <w:hideMark/>
          </w:tcPr>
          <w:p w14:paraId="133B333F"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6129A9F0"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66942EB"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5F38E5F8"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4DB489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B7BA49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166EEE2"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04E71166"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2F93197F"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3945F3C1"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4BA50C0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c>
          <w:tcPr>
            <w:tcW w:w="0" w:type="auto"/>
            <w:hideMark/>
          </w:tcPr>
          <w:p w14:paraId="15CC3FDE" w14:textId="77777777" w:rsidR="000F5B15" w:rsidRPr="000F5B15" w:rsidRDefault="000F5B15" w:rsidP="000F5B15">
            <w:pPr>
              <w:spacing w:line="480" w:lineRule="auto"/>
              <w:jc w:val="left"/>
              <w:rPr>
                <w:rFonts w:eastAsia="Times New Roman" w:cs="Times New Roman"/>
                <w:kern w:val="0"/>
                <w:sz w:val="18"/>
                <w:szCs w:val="18"/>
                <w:lang w:val="es-ES" w:eastAsia="es-ES"/>
                <w14:ligatures w14:val="none"/>
              </w:rPr>
            </w:pPr>
          </w:p>
        </w:tc>
      </w:tr>
    </w:tbl>
    <w:p w14:paraId="2A64B439" w14:textId="77777777" w:rsidR="000F5B15" w:rsidRDefault="000F5B15" w:rsidP="00BC669C"/>
    <w:p w14:paraId="0A7B6525" w14:textId="77777777" w:rsidR="000F5B15" w:rsidRDefault="000F5B15" w:rsidP="00BC669C"/>
    <w:p w14:paraId="559A5A7D" w14:textId="77777777" w:rsidR="000F5B15" w:rsidRDefault="000F5B15" w:rsidP="00BC669C"/>
    <w:p w14:paraId="7A55459F" w14:textId="77777777" w:rsidR="000F5B15" w:rsidRDefault="000F5B15" w:rsidP="00BC669C"/>
    <w:p w14:paraId="6816C883" w14:textId="77777777" w:rsidR="000F5B15" w:rsidRDefault="000F5B15" w:rsidP="00BC669C"/>
    <w:p w14:paraId="112EE5A7" w14:textId="77777777" w:rsidR="000F5B15" w:rsidRDefault="000F5B15" w:rsidP="00BC669C"/>
    <w:p w14:paraId="0D256F80" w14:textId="77777777" w:rsidR="000F5B15" w:rsidRDefault="000F5B15" w:rsidP="00BC669C"/>
    <w:p w14:paraId="44ADF02E" w14:textId="77777777" w:rsidR="000F5B15" w:rsidRDefault="000F5B15" w:rsidP="000F5B15">
      <w:pPr>
        <w:pStyle w:val="Descripcin"/>
        <w:sectPr w:rsidR="000F5B15" w:rsidSect="001F1DE3">
          <w:pgSz w:w="15840" w:h="12240" w:orient="landscape"/>
          <w:pgMar w:top="1701" w:right="1418" w:bottom="1701" w:left="1418" w:header="709" w:footer="709" w:gutter="0"/>
          <w:cols w:space="708"/>
          <w:docGrid w:linePitch="360"/>
        </w:sectPr>
      </w:pPr>
    </w:p>
    <w:p w14:paraId="7719D146" w14:textId="151C91FF" w:rsidR="000F5B15" w:rsidRDefault="000F5B15" w:rsidP="000F5B15">
      <w:pPr>
        <w:pStyle w:val="Descripcin"/>
      </w:pPr>
      <w:bookmarkStart w:id="88" w:name="_Toc235815419"/>
      <w:r>
        <w:lastRenderedPageBreak/>
        <w:t xml:space="preserve">Matriz </w:t>
      </w:r>
      <w:r>
        <w:fldChar w:fldCharType="begin"/>
      </w:r>
      <w:r>
        <w:instrText xml:space="preserve"> SEQ Matriz \* ARABIC </w:instrText>
      </w:r>
      <w:r>
        <w:fldChar w:fldCharType="separate"/>
      </w:r>
      <w:r w:rsidR="00092CB5">
        <w:rPr>
          <w:noProof/>
        </w:rPr>
        <w:t>3</w:t>
      </w:r>
      <w:r>
        <w:fldChar w:fldCharType="end"/>
      </w:r>
      <w:r>
        <w:t xml:space="preserve">. Plantilla para la aplicación de la herramienta </w:t>
      </w:r>
      <w:proofErr w:type="spellStart"/>
      <w:r>
        <w:t>RoB</w:t>
      </w:r>
      <w:proofErr w:type="spellEnd"/>
      <w:r>
        <w:t xml:space="preserve"> 2</w:t>
      </w:r>
      <w:bookmarkEnd w:id="88"/>
    </w:p>
    <w:tbl>
      <w:tblPr>
        <w:tblStyle w:val="Tablaconcuadrcula"/>
        <w:tblW w:w="0" w:type="auto"/>
        <w:tblLook w:val="04A0" w:firstRow="1" w:lastRow="0" w:firstColumn="1" w:lastColumn="0" w:noHBand="0" w:noVBand="1"/>
      </w:tblPr>
      <w:tblGrid>
        <w:gridCol w:w="7312"/>
        <w:gridCol w:w="5682"/>
      </w:tblGrid>
      <w:tr w:rsidR="001F1DE3" w:rsidRPr="001F1DE3" w14:paraId="4138B42B" w14:textId="77777777" w:rsidTr="001F1DE3">
        <w:tc>
          <w:tcPr>
            <w:tcW w:w="0" w:type="auto"/>
            <w:shd w:val="clear" w:color="auto" w:fill="D9D9D9" w:themeFill="background1" w:themeFillShade="D9"/>
            <w:hideMark/>
          </w:tcPr>
          <w:p w14:paraId="47CCA9EC" w14:textId="6CD4C0D6" w:rsidR="001F1DE3" w:rsidRPr="000F5B15" w:rsidRDefault="001F1DE3" w:rsidP="000F5B15">
            <w:pPr>
              <w:spacing w:line="240" w:lineRule="auto"/>
              <w:jc w:val="center"/>
              <w:rPr>
                <w:rFonts w:eastAsia="Times New Roman" w:cs="Times New Roman"/>
                <w:b/>
                <w:bCs/>
                <w:kern w:val="0"/>
                <w:sz w:val="20"/>
                <w:szCs w:val="20"/>
                <w:lang w:val="es-ES" w:eastAsia="es-ES"/>
                <w14:ligatures w14:val="none"/>
              </w:rPr>
            </w:pPr>
          </w:p>
        </w:tc>
        <w:tc>
          <w:tcPr>
            <w:tcW w:w="0" w:type="auto"/>
            <w:shd w:val="clear" w:color="auto" w:fill="D9D9D9" w:themeFill="background1" w:themeFillShade="D9"/>
            <w:hideMark/>
          </w:tcPr>
          <w:p w14:paraId="119F9BFA" w14:textId="77777777" w:rsidR="001F1DE3" w:rsidRPr="000F5B15" w:rsidRDefault="001F1DE3" w:rsidP="000F5B15">
            <w:pPr>
              <w:spacing w:line="240" w:lineRule="auto"/>
              <w:jc w:val="center"/>
              <w:rPr>
                <w:rFonts w:eastAsia="Times New Roman" w:cs="Times New Roman"/>
                <w:b/>
                <w:bCs/>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Registro</w:t>
            </w:r>
          </w:p>
        </w:tc>
      </w:tr>
      <w:tr w:rsidR="001F1DE3" w:rsidRPr="001F1DE3" w14:paraId="3759C15E" w14:textId="77777777" w:rsidTr="001F1DE3">
        <w:tc>
          <w:tcPr>
            <w:tcW w:w="0" w:type="auto"/>
            <w:hideMark/>
          </w:tcPr>
          <w:p w14:paraId="3764A0DA"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Autor y año de publicación</w:t>
            </w:r>
          </w:p>
        </w:tc>
        <w:tc>
          <w:tcPr>
            <w:tcW w:w="0" w:type="auto"/>
            <w:hideMark/>
          </w:tcPr>
          <w:p w14:paraId="2A7B8CC2"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p>
        </w:tc>
      </w:tr>
      <w:tr w:rsidR="001F1DE3" w:rsidRPr="001F1DE3" w14:paraId="6B674414" w14:textId="77777777" w:rsidTr="001F1DE3">
        <w:tc>
          <w:tcPr>
            <w:tcW w:w="0" w:type="auto"/>
            <w:hideMark/>
          </w:tcPr>
          <w:p w14:paraId="095BFB15"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D1. Sesgo derivado del proceso de aleatorización</w:t>
            </w:r>
          </w:p>
        </w:tc>
        <w:tc>
          <w:tcPr>
            <w:tcW w:w="0" w:type="auto"/>
            <w:hideMark/>
          </w:tcPr>
          <w:p w14:paraId="28BC167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p>
        </w:tc>
      </w:tr>
      <w:tr w:rsidR="001F1DE3" w:rsidRPr="001F1DE3" w14:paraId="765FC068" w14:textId="77777777" w:rsidTr="001F1DE3">
        <w:tc>
          <w:tcPr>
            <w:tcW w:w="0" w:type="auto"/>
            <w:hideMark/>
          </w:tcPr>
          <w:p w14:paraId="73ABA30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¿La secuencia de asignación fue aleatoria?</w:t>
            </w:r>
          </w:p>
        </w:tc>
        <w:tc>
          <w:tcPr>
            <w:tcW w:w="0" w:type="auto"/>
            <w:hideMark/>
          </w:tcPr>
          <w:p w14:paraId="1A9B509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47ABACE3" w14:textId="77777777" w:rsidTr="001F1DE3">
        <w:tc>
          <w:tcPr>
            <w:tcW w:w="0" w:type="auto"/>
            <w:hideMark/>
          </w:tcPr>
          <w:p w14:paraId="526547BF"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¿La secuencia de asignación permaneció oculta hasta que las participantes fueron incluidas y asignadas?</w:t>
            </w:r>
          </w:p>
        </w:tc>
        <w:tc>
          <w:tcPr>
            <w:tcW w:w="0" w:type="auto"/>
            <w:hideMark/>
          </w:tcPr>
          <w:p w14:paraId="127E4ED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013B67D9" w14:textId="77777777" w:rsidTr="001F1DE3">
        <w:tc>
          <w:tcPr>
            <w:tcW w:w="0" w:type="auto"/>
            <w:hideMark/>
          </w:tcPr>
          <w:p w14:paraId="20145D8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¿Las diferencias basales entre los grupos sugieren problemas en el proceso de aleatorización?</w:t>
            </w:r>
          </w:p>
        </w:tc>
        <w:tc>
          <w:tcPr>
            <w:tcW w:w="0" w:type="auto"/>
            <w:hideMark/>
          </w:tcPr>
          <w:p w14:paraId="4854CE72"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091FCFEB" w14:textId="77777777" w:rsidTr="001F1DE3">
        <w:tc>
          <w:tcPr>
            <w:tcW w:w="0" w:type="auto"/>
            <w:hideMark/>
          </w:tcPr>
          <w:p w14:paraId="5F0B9751"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Juicio del dominio D1</w:t>
            </w:r>
          </w:p>
        </w:tc>
        <w:tc>
          <w:tcPr>
            <w:tcW w:w="0" w:type="auto"/>
            <w:hideMark/>
          </w:tcPr>
          <w:p w14:paraId="5AB8F410"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Bajo riesgo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Algunas preocupaciones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Alto riesgo</w:t>
            </w:r>
          </w:p>
        </w:tc>
      </w:tr>
      <w:tr w:rsidR="001F1DE3" w:rsidRPr="001F1DE3" w14:paraId="671BDCE0" w14:textId="77777777" w:rsidTr="001F1DE3">
        <w:tc>
          <w:tcPr>
            <w:tcW w:w="0" w:type="auto"/>
            <w:hideMark/>
          </w:tcPr>
          <w:p w14:paraId="2478196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D2. Sesgo debido a desviaciones de las intervenciones previstas</w:t>
            </w:r>
          </w:p>
        </w:tc>
        <w:tc>
          <w:tcPr>
            <w:tcW w:w="0" w:type="auto"/>
            <w:hideMark/>
          </w:tcPr>
          <w:p w14:paraId="2E744723"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p>
        </w:tc>
      </w:tr>
      <w:tr w:rsidR="001F1DE3" w:rsidRPr="001F1DE3" w14:paraId="49E3BCBE" w14:textId="77777777" w:rsidTr="001F1DE3">
        <w:tc>
          <w:tcPr>
            <w:tcW w:w="0" w:type="auto"/>
            <w:hideMark/>
          </w:tcPr>
          <w:p w14:paraId="32F5591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¿Las participantes conocían la intervención que les fue asignada durante el ensayo?</w:t>
            </w:r>
          </w:p>
        </w:tc>
        <w:tc>
          <w:tcPr>
            <w:tcW w:w="0" w:type="auto"/>
            <w:hideMark/>
          </w:tcPr>
          <w:p w14:paraId="0967876C"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7D0230FE" w14:textId="77777777" w:rsidTr="001F1DE3">
        <w:tc>
          <w:tcPr>
            <w:tcW w:w="0" w:type="auto"/>
            <w:hideMark/>
          </w:tcPr>
          <w:p w14:paraId="40CCABD3"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¿El personal que proporcionó la intervención conocía la asignación de las participantes?</w:t>
            </w:r>
          </w:p>
        </w:tc>
        <w:tc>
          <w:tcPr>
            <w:tcW w:w="0" w:type="auto"/>
            <w:hideMark/>
          </w:tcPr>
          <w:p w14:paraId="06E89F96"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5CD7443B" w14:textId="77777777" w:rsidTr="001F1DE3">
        <w:tc>
          <w:tcPr>
            <w:tcW w:w="0" w:type="auto"/>
            <w:hideMark/>
          </w:tcPr>
          <w:p w14:paraId="581E76F5"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¿Existieron desviaciones de las intervenciones previstas debido al contexto del ensayo?</w:t>
            </w:r>
          </w:p>
        </w:tc>
        <w:tc>
          <w:tcPr>
            <w:tcW w:w="0" w:type="auto"/>
            <w:hideMark/>
          </w:tcPr>
          <w:p w14:paraId="23C68A6B"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084F942F" w14:textId="77777777" w:rsidTr="001F1DE3">
        <w:tc>
          <w:tcPr>
            <w:tcW w:w="0" w:type="auto"/>
            <w:hideMark/>
          </w:tcPr>
          <w:p w14:paraId="49617070"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¿Es probable que estas desviaciones hayan afectado el desenlace?</w:t>
            </w:r>
          </w:p>
        </w:tc>
        <w:tc>
          <w:tcPr>
            <w:tcW w:w="0" w:type="auto"/>
            <w:hideMark/>
          </w:tcPr>
          <w:p w14:paraId="3A234CD5"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aplica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799A0BE4" w14:textId="77777777" w:rsidTr="001F1DE3">
        <w:tc>
          <w:tcPr>
            <w:tcW w:w="0" w:type="auto"/>
            <w:hideMark/>
          </w:tcPr>
          <w:p w14:paraId="6FF480E6"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¿Las desviaciones estuvieron equilibradas entre los grupos?</w:t>
            </w:r>
          </w:p>
        </w:tc>
        <w:tc>
          <w:tcPr>
            <w:tcW w:w="0" w:type="auto"/>
            <w:hideMark/>
          </w:tcPr>
          <w:p w14:paraId="1201EFB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aplica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5A4E93F5" w14:textId="77777777" w:rsidTr="001F1DE3">
        <w:tc>
          <w:tcPr>
            <w:tcW w:w="0" w:type="auto"/>
            <w:hideMark/>
          </w:tcPr>
          <w:p w14:paraId="25C71CD8"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¿Se utilizó un análisis apropiado para estimar el efecto de la asignación a la intervención?</w:t>
            </w:r>
          </w:p>
        </w:tc>
        <w:tc>
          <w:tcPr>
            <w:tcW w:w="0" w:type="auto"/>
            <w:hideMark/>
          </w:tcPr>
          <w:p w14:paraId="62AA5D6A"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158CF5E7" w14:textId="77777777" w:rsidTr="001F1DE3">
        <w:tc>
          <w:tcPr>
            <w:tcW w:w="0" w:type="auto"/>
            <w:hideMark/>
          </w:tcPr>
          <w:p w14:paraId="138F167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¿La falta de análisis de las participantes en el grupo al que fueron asignadas pudo afectar sustancialmente el resultado?</w:t>
            </w:r>
          </w:p>
        </w:tc>
        <w:tc>
          <w:tcPr>
            <w:tcW w:w="0" w:type="auto"/>
            <w:hideMark/>
          </w:tcPr>
          <w:p w14:paraId="735E963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aplica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10731E6A" w14:textId="77777777" w:rsidTr="001F1DE3">
        <w:tc>
          <w:tcPr>
            <w:tcW w:w="0" w:type="auto"/>
            <w:hideMark/>
          </w:tcPr>
          <w:p w14:paraId="5BC263B3"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Juicio del dominio D2</w:t>
            </w:r>
          </w:p>
        </w:tc>
        <w:tc>
          <w:tcPr>
            <w:tcW w:w="0" w:type="auto"/>
            <w:hideMark/>
          </w:tcPr>
          <w:p w14:paraId="4B77C07D"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Bajo riesgo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Algunas preocupaciones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Alto riesgo</w:t>
            </w:r>
          </w:p>
        </w:tc>
      </w:tr>
      <w:tr w:rsidR="001F1DE3" w:rsidRPr="001F1DE3" w14:paraId="72F323ED" w14:textId="77777777" w:rsidTr="001F1DE3">
        <w:tc>
          <w:tcPr>
            <w:tcW w:w="0" w:type="auto"/>
            <w:hideMark/>
          </w:tcPr>
          <w:p w14:paraId="2B628C65"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D3. Sesgo debido a datos faltantes del desenlace</w:t>
            </w:r>
          </w:p>
        </w:tc>
        <w:tc>
          <w:tcPr>
            <w:tcW w:w="0" w:type="auto"/>
            <w:hideMark/>
          </w:tcPr>
          <w:p w14:paraId="7EB0C7E5"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p>
        </w:tc>
      </w:tr>
      <w:tr w:rsidR="001F1DE3" w:rsidRPr="001F1DE3" w14:paraId="3A3FBEE4" w14:textId="77777777" w:rsidTr="001F1DE3">
        <w:tc>
          <w:tcPr>
            <w:tcW w:w="0" w:type="auto"/>
            <w:hideMark/>
          </w:tcPr>
          <w:p w14:paraId="74B6293D"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¿Se dispuso de datos del desenlace para todas o casi todas las participantes aleatorizadas?</w:t>
            </w:r>
          </w:p>
        </w:tc>
        <w:tc>
          <w:tcPr>
            <w:tcW w:w="0" w:type="auto"/>
            <w:hideMark/>
          </w:tcPr>
          <w:p w14:paraId="0B5909F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401666E0" w14:textId="77777777" w:rsidTr="001F1DE3">
        <w:tc>
          <w:tcPr>
            <w:tcW w:w="0" w:type="auto"/>
            <w:hideMark/>
          </w:tcPr>
          <w:p w14:paraId="3A8AFE14"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¿Existe evidencia de que el resultado no estuvo sesgado por los datos faltantes?</w:t>
            </w:r>
          </w:p>
        </w:tc>
        <w:tc>
          <w:tcPr>
            <w:tcW w:w="0" w:type="auto"/>
            <w:hideMark/>
          </w:tcPr>
          <w:p w14:paraId="01422986"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aplica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7E75465F" w14:textId="77777777" w:rsidTr="001F1DE3">
        <w:tc>
          <w:tcPr>
            <w:tcW w:w="0" w:type="auto"/>
            <w:hideMark/>
          </w:tcPr>
          <w:p w14:paraId="367586C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lastRenderedPageBreak/>
              <w:t>¿La ausencia de datos del desenlace podría depender de su verdadero valor?</w:t>
            </w:r>
          </w:p>
        </w:tc>
        <w:tc>
          <w:tcPr>
            <w:tcW w:w="0" w:type="auto"/>
            <w:hideMark/>
          </w:tcPr>
          <w:p w14:paraId="55C04D3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aplica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0E933AE0" w14:textId="77777777" w:rsidTr="001F1DE3">
        <w:tc>
          <w:tcPr>
            <w:tcW w:w="0" w:type="auto"/>
            <w:hideMark/>
          </w:tcPr>
          <w:p w14:paraId="7419AB63"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¿Es probable que la ausencia de datos dependiera del verdadero valor del desenlace?</w:t>
            </w:r>
          </w:p>
        </w:tc>
        <w:tc>
          <w:tcPr>
            <w:tcW w:w="0" w:type="auto"/>
            <w:hideMark/>
          </w:tcPr>
          <w:p w14:paraId="17D0DEF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aplica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622CFEA1" w14:textId="77777777" w:rsidTr="001F1DE3">
        <w:tc>
          <w:tcPr>
            <w:tcW w:w="0" w:type="auto"/>
            <w:hideMark/>
          </w:tcPr>
          <w:p w14:paraId="41464B50"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Juicio del dominio D3</w:t>
            </w:r>
          </w:p>
        </w:tc>
        <w:tc>
          <w:tcPr>
            <w:tcW w:w="0" w:type="auto"/>
            <w:hideMark/>
          </w:tcPr>
          <w:p w14:paraId="40C40EC9"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Bajo riesgo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Algunas preocupaciones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Alto riesgo</w:t>
            </w:r>
          </w:p>
        </w:tc>
      </w:tr>
      <w:tr w:rsidR="001F1DE3" w:rsidRPr="001F1DE3" w14:paraId="19148D22" w14:textId="77777777" w:rsidTr="001F1DE3">
        <w:tc>
          <w:tcPr>
            <w:tcW w:w="0" w:type="auto"/>
            <w:hideMark/>
          </w:tcPr>
          <w:p w14:paraId="73315DD9"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D4. Sesgo en la medición del desenlace</w:t>
            </w:r>
          </w:p>
        </w:tc>
        <w:tc>
          <w:tcPr>
            <w:tcW w:w="0" w:type="auto"/>
            <w:hideMark/>
          </w:tcPr>
          <w:p w14:paraId="47EA353C"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p>
        </w:tc>
      </w:tr>
      <w:tr w:rsidR="001F1DE3" w:rsidRPr="001F1DE3" w14:paraId="2A8D2468" w14:textId="77777777" w:rsidTr="001F1DE3">
        <w:tc>
          <w:tcPr>
            <w:tcW w:w="0" w:type="auto"/>
            <w:hideMark/>
          </w:tcPr>
          <w:p w14:paraId="447716CF"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¿El método utilizado para medir el desenlace fue inadecuado?</w:t>
            </w:r>
          </w:p>
        </w:tc>
        <w:tc>
          <w:tcPr>
            <w:tcW w:w="0" w:type="auto"/>
            <w:hideMark/>
          </w:tcPr>
          <w:p w14:paraId="27B2EBA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6EE31C57" w14:textId="77777777" w:rsidTr="001F1DE3">
        <w:tc>
          <w:tcPr>
            <w:tcW w:w="0" w:type="auto"/>
            <w:hideMark/>
          </w:tcPr>
          <w:p w14:paraId="03BA745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¿La medición o determinación del desenlace pudo diferir entre los grupos?</w:t>
            </w:r>
          </w:p>
        </w:tc>
        <w:tc>
          <w:tcPr>
            <w:tcW w:w="0" w:type="auto"/>
            <w:hideMark/>
          </w:tcPr>
          <w:p w14:paraId="230DD6D1"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1B23A82E" w14:textId="77777777" w:rsidTr="001F1DE3">
        <w:tc>
          <w:tcPr>
            <w:tcW w:w="0" w:type="auto"/>
            <w:hideMark/>
          </w:tcPr>
          <w:p w14:paraId="19C31D3C"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¿Los evaluadores del desenlace conocían la intervención recibida por las participantes?</w:t>
            </w:r>
          </w:p>
        </w:tc>
        <w:tc>
          <w:tcPr>
            <w:tcW w:w="0" w:type="auto"/>
            <w:hideMark/>
          </w:tcPr>
          <w:p w14:paraId="6D45425D"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1F4F5881" w14:textId="77777777" w:rsidTr="001F1DE3">
        <w:tc>
          <w:tcPr>
            <w:tcW w:w="0" w:type="auto"/>
            <w:hideMark/>
          </w:tcPr>
          <w:p w14:paraId="41F7A49C"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¿El conocimiento de la intervención pudo influir en la evaluación del desenlace?</w:t>
            </w:r>
          </w:p>
        </w:tc>
        <w:tc>
          <w:tcPr>
            <w:tcW w:w="0" w:type="auto"/>
            <w:hideMark/>
          </w:tcPr>
          <w:p w14:paraId="5472BB7A"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aplica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424BFBCE" w14:textId="77777777" w:rsidTr="001F1DE3">
        <w:tc>
          <w:tcPr>
            <w:tcW w:w="0" w:type="auto"/>
            <w:hideMark/>
          </w:tcPr>
          <w:p w14:paraId="420308A8"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¿Es probable que la evaluación del desenlace haya sido influida por el conocimiento de la intervención?</w:t>
            </w:r>
          </w:p>
        </w:tc>
        <w:tc>
          <w:tcPr>
            <w:tcW w:w="0" w:type="auto"/>
            <w:hideMark/>
          </w:tcPr>
          <w:p w14:paraId="096FECED"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aplica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5798E7E0" w14:textId="77777777" w:rsidTr="001F1DE3">
        <w:tc>
          <w:tcPr>
            <w:tcW w:w="0" w:type="auto"/>
            <w:hideMark/>
          </w:tcPr>
          <w:p w14:paraId="7807F8A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Juicio del dominio D4</w:t>
            </w:r>
          </w:p>
        </w:tc>
        <w:tc>
          <w:tcPr>
            <w:tcW w:w="0" w:type="auto"/>
            <w:hideMark/>
          </w:tcPr>
          <w:p w14:paraId="64DC2C29"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Bajo riesgo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Algunas preocupaciones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Alto riesgo</w:t>
            </w:r>
          </w:p>
        </w:tc>
      </w:tr>
      <w:tr w:rsidR="001F1DE3" w:rsidRPr="001F1DE3" w14:paraId="05E12A0D" w14:textId="77777777" w:rsidTr="001F1DE3">
        <w:tc>
          <w:tcPr>
            <w:tcW w:w="0" w:type="auto"/>
            <w:hideMark/>
          </w:tcPr>
          <w:p w14:paraId="2004709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D5. Sesgo en la selección del resultado informado</w:t>
            </w:r>
          </w:p>
        </w:tc>
        <w:tc>
          <w:tcPr>
            <w:tcW w:w="0" w:type="auto"/>
            <w:hideMark/>
          </w:tcPr>
          <w:p w14:paraId="65602021"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p>
        </w:tc>
      </w:tr>
      <w:tr w:rsidR="001F1DE3" w:rsidRPr="001F1DE3" w14:paraId="70F3FDD9" w14:textId="77777777" w:rsidTr="001F1DE3">
        <w:tc>
          <w:tcPr>
            <w:tcW w:w="0" w:type="auto"/>
            <w:hideMark/>
          </w:tcPr>
          <w:p w14:paraId="2A16F47D"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¿Los datos que produjeron el resultado se analizaron conforme a un plan preespecificado antes de conocer los resultados?</w:t>
            </w:r>
          </w:p>
        </w:tc>
        <w:tc>
          <w:tcPr>
            <w:tcW w:w="0" w:type="auto"/>
            <w:hideMark/>
          </w:tcPr>
          <w:p w14:paraId="4DAE28FD"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284A27DF" w14:textId="77777777" w:rsidTr="001F1DE3">
        <w:tc>
          <w:tcPr>
            <w:tcW w:w="0" w:type="auto"/>
            <w:hideMark/>
          </w:tcPr>
          <w:p w14:paraId="5B5E5DD9"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¿Es probable que el resultado haya sido seleccionado entre varias mediciones elegibles del desenlace?</w:t>
            </w:r>
          </w:p>
        </w:tc>
        <w:tc>
          <w:tcPr>
            <w:tcW w:w="0" w:type="auto"/>
            <w:hideMark/>
          </w:tcPr>
          <w:p w14:paraId="4E433CF3"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17FED3E9" w14:textId="77777777" w:rsidTr="001F1DE3">
        <w:tc>
          <w:tcPr>
            <w:tcW w:w="0" w:type="auto"/>
            <w:hideMark/>
          </w:tcPr>
          <w:p w14:paraId="3FE85B8C"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¿Es probable que el resultado haya sido seleccionado entre varios análisis elegibles de los datos?</w:t>
            </w:r>
          </w:p>
        </w:tc>
        <w:tc>
          <w:tcPr>
            <w:tcW w:w="0" w:type="auto"/>
            <w:hideMark/>
          </w:tcPr>
          <w:p w14:paraId="500CD2EA"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sí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Probablemente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No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Sin información</w:t>
            </w:r>
          </w:p>
        </w:tc>
      </w:tr>
      <w:tr w:rsidR="001F1DE3" w:rsidRPr="001F1DE3" w14:paraId="33ED9247" w14:textId="77777777" w:rsidTr="001F1DE3">
        <w:tc>
          <w:tcPr>
            <w:tcW w:w="0" w:type="auto"/>
            <w:hideMark/>
          </w:tcPr>
          <w:p w14:paraId="261458A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Juicio del dominio D5</w:t>
            </w:r>
          </w:p>
        </w:tc>
        <w:tc>
          <w:tcPr>
            <w:tcW w:w="0" w:type="auto"/>
            <w:hideMark/>
          </w:tcPr>
          <w:p w14:paraId="759AC62D"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Bajo riesgo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Algunas preocupaciones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Alto riesgo</w:t>
            </w:r>
          </w:p>
        </w:tc>
      </w:tr>
      <w:tr w:rsidR="001F1DE3" w:rsidRPr="001F1DE3" w14:paraId="55AB659E" w14:textId="77777777" w:rsidTr="001F1DE3">
        <w:tc>
          <w:tcPr>
            <w:tcW w:w="0" w:type="auto"/>
            <w:hideMark/>
          </w:tcPr>
          <w:p w14:paraId="3C11890E"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Juicio global del riesgo de sesgo</w:t>
            </w:r>
          </w:p>
        </w:tc>
        <w:tc>
          <w:tcPr>
            <w:tcW w:w="0" w:type="auto"/>
            <w:hideMark/>
          </w:tcPr>
          <w:p w14:paraId="07C3C112"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Bajo riesgo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Algunas preocupaciones </w:t>
            </w:r>
            <w:r w:rsidRPr="000F5B15">
              <w:rPr>
                <w:rFonts w:ascii="Segoe UI Symbol" w:eastAsia="Times New Roman" w:hAnsi="Segoe UI Symbol" w:cs="Segoe UI Symbol"/>
                <w:kern w:val="0"/>
                <w:sz w:val="20"/>
                <w:szCs w:val="20"/>
                <w:lang w:val="es-ES" w:eastAsia="es-ES"/>
                <w14:ligatures w14:val="none"/>
              </w:rPr>
              <w:t>☐</w:t>
            </w:r>
            <w:r w:rsidRPr="000F5B15">
              <w:rPr>
                <w:rFonts w:eastAsia="Times New Roman" w:cs="Times New Roman"/>
                <w:kern w:val="0"/>
                <w:sz w:val="20"/>
                <w:szCs w:val="20"/>
                <w:lang w:val="es-ES" w:eastAsia="es-ES"/>
                <w14:ligatures w14:val="none"/>
              </w:rPr>
              <w:t xml:space="preserve"> Alto riesgo</w:t>
            </w:r>
          </w:p>
        </w:tc>
      </w:tr>
      <w:tr w:rsidR="001F1DE3" w:rsidRPr="001F1DE3" w14:paraId="08B17171" w14:textId="77777777" w:rsidTr="001F1DE3">
        <w:tc>
          <w:tcPr>
            <w:tcW w:w="0" w:type="auto"/>
            <w:hideMark/>
          </w:tcPr>
          <w:p w14:paraId="2B66340B"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Justificación del juicio global</w:t>
            </w:r>
          </w:p>
        </w:tc>
        <w:tc>
          <w:tcPr>
            <w:tcW w:w="0" w:type="auto"/>
            <w:hideMark/>
          </w:tcPr>
          <w:p w14:paraId="0AE75514"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p>
        </w:tc>
      </w:tr>
      <w:tr w:rsidR="001F1DE3" w:rsidRPr="001F1DE3" w14:paraId="6CBFC9CA" w14:textId="77777777" w:rsidTr="001F1DE3">
        <w:tc>
          <w:tcPr>
            <w:tcW w:w="0" w:type="auto"/>
            <w:hideMark/>
          </w:tcPr>
          <w:p w14:paraId="1A59A6D6"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Categorías para responder las preguntas de señalización</w:t>
            </w:r>
          </w:p>
        </w:tc>
        <w:tc>
          <w:tcPr>
            <w:tcW w:w="0" w:type="auto"/>
            <w:hideMark/>
          </w:tcPr>
          <w:p w14:paraId="7C622EB7"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Sí; probablemente sí; probablemente no; no; sin información; no aplica cuando corresponda</w:t>
            </w:r>
          </w:p>
        </w:tc>
      </w:tr>
      <w:tr w:rsidR="001F1DE3" w:rsidRPr="001F1DE3" w14:paraId="167CB8C6" w14:textId="77777777" w:rsidTr="001F1DE3">
        <w:tc>
          <w:tcPr>
            <w:tcW w:w="0" w:type="auto"/>
            <w:hideMark/>
          </w:tcPr>
          <w:p w14:paraId="14AD35FC"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b/>
                <w:bCs/>
                <w:kern w:val="0"/>
                <w:sz w:val="20"/>
                <w:szCs w:val="20"/>
                <w:lang w:val="es-ES" w:eastAsia="es-ES"/>
                <w14:ligatures w14:val="none"/>
              </w:rPr>
              <w:t>Categorías para los juicios de cada dominio y el juicio global</w:t>
            </w:r>
          </w:p>
        </w:tc>
        <w:tc>
          <w:tcPr>
            <w:tcW w:w="0" w:type="auto"/>
            <w:hideMark/>
          </w:tcPr>
          <w:p w14:paraId="53FCB1BA" w14:textId="77777777" w:rsidR="001F1DE3" w:rsidRPr="000F5B15" w:rsidRDefault="001F1DE3" w:rsidP="000F5B15">
            <w:pPr>
              <w:spacing w:line="240" w:lineRule="auto"/>
              <w:jc w:val="left"/>
              <w:rPr>
                <w:rFonts w:eastAsia="Times New Roman" w:cs="Times New Roman"/>
                <w:kern w:val="0"/>
                <w:sz w:val="20"/>
                <w:szCs w:val="20"/>
                <w:lang w:val="es-ES" w:eastAsia="es-ES"/>
                <w14:ligatures w14:val="none"/>
              </w:rPr>
            </w:pPr>
            <w:r w:rsidRPr="000F5B15">
              <w:rPr>
                <w:rFonts w:eastAsia="Times New Roman" w:cs="Times New Roman"/>
                <w:kern w:val="0"/>
                <w:sz w:val="20"/>
                <w:szCs w:val="20"/>
                <w:lang w:val="es-ES" w:eastAsia="es-ES"/>
                <w14:ligatures w14:val="none"/>
              </w:rPr>
              <w:t>Bajo riesgo; algunas preocupaciones; alto riesgo</w:t>
            </w:r>
          </w:p>
        </w:tc>
      </w:tr>
    </w:tbl>
    <w:p w14:paraId="04B6EBFD" w14:textId="77777777" w:rsidR="000F5B15" w:rsidRPr="000F5B15" w:rsidRDefault="000F5B15" w:rsidP="000F5B15"/>
    <w:sectPr w:rsidR="000F5B15" w:rsidRPr="000F5B15" w:rsidSect="001F1DE3">
      <w:pgSz w:w="15840" w:h="12240"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15F50" w14:textId="77777777" w:rsidR="00B26167" w:rsidRDefault="00B26167" w:rsidP="001D4D1C">
      <w:pPr>
        <w:spacing w:after="0" w:line="240" w:lineRule="auto"/>
      </w:pPr>
      <w:r>
        <w:separator/>
      </w:r>
    </w:p>
  </w:endnote>
  <w:endnote w:type="continuationSeparator" w:id="0">
    <w:p w14:paraId="25363260" w14:textId="77777777" w:rsidR="00B26167" w:rsidRDefault="00B26167" w:rsidP="001D4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E3141" w14:textId="21997B16" w:rsidR="001D4D1C" w:rsidRDefault="001D4D1C">
    <w:pPr>
      <w:pStyle w:val="Encabezado"/>
      <w:jc w:val="right"/>
    </w:pPr>
  </w:p>
  <w:p w14:paraId="3B5001E6" w14:textId="77777777" w:rsidR="001D4D1C" w:rsidRDefault="001D4D1C">
    <w:pPr>
      <w:pStyle w:val="Encabezad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60241"/>
      <w:docPartObj>
        <w:docPartGallery w:val="Page Numbers (Bottom of Page)"/>
        <w:docPartUnique/>
      </w:docPartObj>
    </w:sdtPr>
    <w:sdtEndPr/>
    <w:sdtContent>
      <w:p w14:paraId="7ABFB265" w14:textId="77777777" w:rsidR="00676C73" w:rsidRDefault="00676C73">
        <w:pPr>
          <w:pStyle w:val="Encabezado"/>
          <w:jc w:val="right"/>
        </w:pPr>
        <w:r>
          <w:fldChar w:fldCharType="begin"/>
        </w:r>
        <w:r>
          <w:instrText>PAGE   \* MERGEFORMAT</w:instrText>
        </w:r>
        <w:r>
          <w:fldChar w:fldCharType="separate"/>
        </w:r>
        <w:r>
          <w:rPr>
            <w:lang w:val="es-ES"/>
          </w:rPr>
          <w:t>2</w:t>
        </w:r>
        <w:r>
          <w:fldChar w:fldCharType="end"/>
        </w:r>
      </w:p>
    </w:sdtContent>
  </w:sdt>
  <w:p w14:paraId="272BD73C" w14:textId="77777777" w:rsidR="00676C73" w:rsidRDefault="00676C73">
    <w:pPr>
      <w:pStyle w:val="Encabezad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342C1" w14:textId="77777777" w:rsidR="00B26167" w:rsidRDefault="00B26167" w:rsidP="001D4D1C">
      <w:pPr>
        <w:spacing w:after="0" w:line="240" w:lineRule="auto"/>
      </w:pPr>
      <w:r>
        <w:separator/>
      </w:r>
    </w:p>
  </w:footnote>
  <w:footnote w:type="continuationSeparator" w:id="0">
    <w:p w14:paraId="0C2BC008" w14:textId="77777777" w:rsidR="00B26167" w:rsidRDefault="00B26167" w:rsidP="001D4D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95292"/>
    <w:multiLevelType w:val="hybridMultilevel"/>
    <w:tmpl w:val="EBE449E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FB57B21"/>
    <w:multiLevelType w:val="hybridMultilevel"/>
    <w:tmpl w:val="F09674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0266C6A"/>
    <w:multiLevelType w:val="hybridMultilevel"/>
    <w:tmpl w:val="CE3432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2D129A6"/>
    <w:multiLevelType w:val="hybridMultilevel"/>
    <w:tmpl w:val="EEFCD4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B5434E0"/>
    <w:multiLevelType w:val="hybridMultilevel"/>
    <w:tmpl w:val="7B7823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A1133B6"/>
    <w:multiLevelType w:val="hybridMultilevel"/>
    <w:tmpl w:val="20162D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81C725D"/>
    <w:multiLevelType w:val="hybridMultilevel"/>
    <w:tmpl w:val="7884D33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63021CE7"/>
    <w:multiLevelType w:val="hybridMultilevel"/>
    <w:tmpl w:val="022E176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90146384">
    <w:abstractNumId w:val="3"/>
  </w:num>
  <w:num w:numId="2" w16cid:durableId="205876507">
    <w:abstractNumId w:val="6"/>
  </w:num>
  <w:num w:numId="3" w16cid:durableId="130751976">
    <w:abstractNumId w:val="2"/>
  </w:num>
  <w:num w:numId="4" w16cid:durableId="302663309">
    <w:abstractNumId w:val="5"/>
  </w:num>
  <w:num w:numId="5" w16cid:durableId="1217931438">
    <w:abstractNumId w:val="1"/>
  </w:num>
  <w:num w:numId="6" w16cid:durableId="790321333">
    <w:abstractNumId w:val="4"/>
  </w:num>
  <w:num w:numId="7" w16cid:durableId="925042433">
    <w:abstractNumId w:val="0"/>
  </w:num>
  <w:num w:numId="8" w16cid:durableId="16479708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A35"/>
    <w:rsid w:val="00012D41"/>
    <w:rsid w:val="00092CB5"/>
    <w:rsid w:val="000A2B53"/>
    <w:rsid w:val="000C2519"/>
    <w:rsid w:val="000D3059"/>
    <w:rsid w:val="000F21F8"/>
    <w:rsid w:val="000F2E47"/>
    <w:rsid w:val="000F5B15"/>
    <w:rsid w:val="00137FF5"/>
    <w:rsid w:val="00155636"/>
    <w:rsid w:val="0015592E"/>
    <w:rsid w:val="001749F8"/>
    <w:rsid w:val="00187D17"/>
    <w:rsid w:val="0019705C"/>
    <w:rsid w:val="001D4D1C"/>
    <w:rsid w:val="001F1DE3"/>
    <w:rsid w:val="00203BCA"/>
    <w:rsid w:val="002104E2"/>
    <w:rsid w:val="0022077B"/>
    <w:rsid w:val="00246BEA"/>
    <w:rsid w:val="002A0EF4"/>
    <w:rsid w:val="002B4F80"/>
    <w:rsid w:val="003029ED"/>
    <w:rsid w:val="00333E65"/>
    <w:rsid w:val="00335D66"/>
    <w:rsid w:val="0034064B"/>
    <w:rsid w:val="004213A5"/>
    <w:rsid w:val="00442C23"/>
    <w:rsid w:val="0047036E"/>
    <w:rsid w:val="00475F91"/>
    <w:rsid w:val="004C4B36"/>
    <w:rsid w:val="005922F4"/>
    <w:rsid w:val="005A62E0"/>
    <w:rsid w:val="00655546"/>
    <w:rsid w:val="00676C73"/>
    <w:rsid w:val="006E5792"/>
    <w:rsid w:val="007018D1"/>
    <w:rsid w:val="007027B0"/>
    <w:rsid w:val="00720EF9"/>
    <w:rsid w:val="00723F29"/>
    <w:rsid w:val="00732AC8"/>
    <w:rsid w:val="00763727"/>
    <w:rsid w:val="007A68BA"/>
    <w:rsid w:val="007D7DA7"/>
    <w:rsid w:val="007F0150"/>
    <w:rsid w:val="007F5E80"/>
    <w:rsid w:val="00833DE5"/>
    <w:rsid w:val="00926132"/>
    <w:rsid w:val="009A66D5"/>
    <w:rsid w:val="009B4446"/>
    <w:rsid w:val="009B4E27"/>
    <w:rsid w:val="009D3F0F"/>
    <w:rsid w:val="00A00B24"/>
    <w:rsid w:val="00A33101"/>
    <w:rsid w:val="00A939FE"/>
    <w:rsid w:val="00AD318F"/>
    <w:rsid w:val="00B03194"/>
    <w:rsid w:val="00B26167"/>
    <w:rsid w:val="00B503BB"/>
    <w:rsid w:val="00B85CE1"/>
    <w:rsid w:val="00B86363"/>
    <w:rsid w:val="00B96FD8"/>
    <w:rsid w:val="00BC669C"/>
    <w:rsid w:val="00BD1054"/>
    <w:rsid w:val="00BD6F1F"/>
    <w:rsid w:val="00BF2985"/>
    <w:rsid w:val="00C40752"/>
    <w:rsid w:val="00C40E1E"/>
    <w:rsid w:val="00CD5C4B"/>
    <w:rsid w:val="00D153D8"/>
    <w:rsid w:val="00D160BD"/>
    <w:rsid w:val="00D40D49"/>
    <w:rsid w:val="00D44AED"/>
    <w:rsid w:val="00D62A7A"/>
    <w:rsid w:val="00D9536A"/>
    <w:rsid w:val="00E97803"/>
    <w:rsid w:val="00EE092A"/>
    <w:rsid w:val="00EF472F"/>
    <w:rsid w:val="00F351A8"/>
    <w:rsid w:val="00F4746B"/>
    <w:rsid w:val="00F50E0B"/>
    <w:rsid w:val="00F8145A"/>
    <w:rsid w:val="00FC4A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264B5"/>
  <w15:chartTrackingRefBased/>
  <w15:docId w15:val="{F7730297-AE02-42B4-A881-38F50C0F2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A35"/>
    <w:pPr>
      <w:spacing w:line="360" w:lineRule="auto"/>
      <w:jc w:val="both"/>
    </w:pPr>
    <w:rPr>
      <w:rFonts w:ascii="Times New Roman" w:hAnsi="Times New Roman"/>
      <w:lang w:val="es-NI"/>
    </w:rPr>
  </w:style>
  <w:style w:type="paragraph" w:styleId="Ttulo1">
    <w:name w:val="heading 1"/>
    <w:basedOn w:val="Normal"/>
    <w:next w:val="Normal"/>
    <w:link w:val="Ttulo1Car"/>
    <w:uiPriority w:val="9"/>
    <w:qFormat/>
    <w:rsid w:val="00FC4A35"/>
    <w:pPr>
      <w:keepNext/>
      <w:keepLines/>
      <w:spacing w:before="240" w:after="0"/>
      <w:outlineLvl w:val="0"/>
    </w:pPr>
    <w:rPr>
      <w:rFonts w:eastAsiaTheme="majorEastAsia" w:cstheme="majorBidi"/>
      <w:b/>
      <w:caps/>
      <w:color w:val="000000" w:themeColor="text1"/>
      <w:sz w:val="28"/>
      <w:szCs w:val="32"/>
    </w:rPr>
  </w:style>
  <w:style w:type="paragraph" w:styleId="Ttulo2">
    <w:name w:val="heading 2"/>
    <w:basedOn w:val="Normal"/>
    <w:next w:val="Normal"/>
    <w:link w:val="Ttulo2Car"/>
    <w:uiPriority w:val="9"/>
    <w:unhideWhenUsed/>
    <w:qFormat/>
    <w:rsid w:val="00723F29"/>
    <w:pPr>
      <w:keepNext/>
      <w:keepLines/>
      <w:spacing w:before="40" w:after="0"/>
      <w:outlineLvl w:val="1"/>
    </w:pPr>
    <w:rPr>
      <w:rFonts w:eastAsiaTheme="majorEastAsia" w:cstheme="majorBidi"/>
      <w:b/>
      <w:color w:val="000000" w:themeColor="text1"/>
      <w:sz w:val="26"/>
      <w:szCs w:val="26"/>
    </w:rPr>
  </w:style>
  <w:style w:type="paragraph" w:styleId="Ttulo3">
    <w:name w:val="heading 3"/>
    <w:basedOn w:val="Normal"/>
    <w:next w:val="Normal"/>
    <w:link w:val="Ttulo3Car"/>
    <w:uiPriority w:val="9"/>
    <w:unhideWhenUsed/>
    <w:qFormat/>
    <w:rsid w:val="002104E2"/>
    <w:pPr>
      <w:keepNext/>
      <w:keepLines/>
      <w:spacing w:before="40" w:after="0"/>
      <w:outlineLvl w:val="2"/>
    </w:pPr>
    <w:rPr>
      <w:rFonts w:eastAsiaTheme="majorEastAsia" w:cstheme="majorBidi"/>
      <w:i/>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4A35"/>
    <w:rPr>
      <w:rFonts w:ascii="Times New Roman" w:eastAsiaTheme="majorEastAsia" w:hAnsi="Times New Roman" w:cstheme="majorBidi"/>
      <w:b/>
      <w:caps/>
      <w:color w:val="000000" w:themeColor="text1"/>
      <w:sz w:val="28"/>
      <w:szCs w:val="32"/>
      <w:lang w:val="es-NI"/>
    </w:rPr>
  </w:style>
  <w:style w:type="character" w:customStyle="1" w:styleId="Ttulo2Car">
    <w:name w:val="Título 2 Car"/>
    <w:basedOn w:val="Fuentedeprrafopredeter"/>
    <w:link w:val="Ttulo2"/>
    <w:uiPriority w:val="9"/>
    <w:rsid w:val="00723F29"/>
    <w:rPr>
      <w:rFonts w:ascii="Times New Roman" w:eastAsiaTheme="majorEastAsia" w:hAnsi="Times New Roman" w:cstheme="majorBidi"/>
      <w:b/>
      <w:color w:val="000000" w:themeColor="text1"/>
      <w:sz w:val="26"/>
      <w:szCs w:val="26"/>
      <w:lang w:val="es-NI"/>
    </w:rPr>
  </w:style>
  <w:style w:type="character" w:customStyle="1" w:styleId="Ttulo3Car">
    <w:name w:val="Título 3 Car"/>
    <w:basedOn w:val="Fuentedeprrafopredeter"/>
    <w:link w:val="Ttulo3"/>
    <w:uiPriority w:val="9"/>
    <w:rsid w:val="002104E2"/>
    <w:rPr>
      <w:rFonts w:ascii="Times New Roman" w:eastAsiaTheme="majorEastAsia" w:hAnsi="Times New Roman" w:cstheme="majorBidi"/>
      <w:i/>
      <w:color w:val="000000" w:themeColor="text1"/>
      <w:lang w:val="es-NI"/>
    </w:rPr>
  </w:style>
  <w:style w:type="character" w:styleId="Hipervnculo">
    <w:name w:val="Hyperlink"/>
    <w:basedOn w:val="Fuentedeprrafopredeter"/>
    <w:uiPriority w:val="99"/>
    <w:unhideWhenUsed/>
    <w:rsid w:val="009B4446"/>
    <w:rPr>
      <w:color w:val="0563C1" w:themeColor="hyperlink"/>
      <w:u w:val="single"/>
    </w:rPr>
  </w:style>
  <w:style w:type="character" w:styleId="Mencinsinresolver">
    <w:name w:val="Unresolved Mention"/>
    <w:basedOn w:val="Fuentedeprrafopredeter"/>
    <w:uiPriority w:val="99"/>
    <w:semiHidden/>
    <w:unhideWhenUsed/>
    <w:rsid w:val="009B4446"/>
    <w:rPr>
      <w:color w:val="605E5C"/>
      <w:shd w:val="clear" w:color="auto" w:fill="E1DFDD"/>
    </w:rPr>
  </w:style>
  <w:style w:type="paragraph" w:styleId="Encabezado">
    <w:name w:val="header"/>
    <w:basedOn w:val="Normal"/>
    <w:link w:val="EncabezadoCar"/>
    <w:uiPriority w:val="99"/>
    <w:unhideWhenUsed/>
    <w:rsid w:val="001D4D1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D4D1C"/>
    <w:rPr>
      <w:rFonts w:ascii="Times New Roman" w:hAnsi="Times New Roman"/>
      <w:lang w:val="es-NI"/>
    </w:rPr>
  </w:style>
  <w:style w:type="paragraph" w:styleId="Piedepgina">
    <w:name w:val="footer"/>
    <w:basedOn w:val="Normal"/>
    <w:link w:val="PiedepginaCar"/>
    <w:uiPriority w:val="99"/>
    <w:unhideWhenUsed/>
    <w:rsid w:val="001D4D1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D4D1C"/>
    <w:rPr>
      <w:rFonts w:ascii="Times New Roman" w:hAnsi="Times New Roman"/>
      <w:lang w:val="es-NI"/>
    </w:rPr>
  </w:style>
  <w:style w:type="paragraph" w:styleId="Prrafodelista">
    <w:name w:val="List Paragraph"/>
    <w:basedOn w:val="Normal"/>
    <w:uiPriority w:val="34"/>
    <w:qFormat/>
    <w:rsid w:val="00723F29"/>
    <w:pPr>
      <w:ind w:left="720"/>
      <w:contextualSpacing/>
    </w:pPr>
  </w:style>
  <w:style w:type="paragraph" w:styleId="NormalWeb">
    <w:name w:val="Normal (Web)"/>
    <w:basedOn w:val="Normal"/>
    <w:uiPriority w:val="99"/>
    <w:semiHidden/>
    <w:unhideWhenUsed/>
    <w:rsid w:val="00B03194"/>
    <w:pPr>
      <w:spacing w:before="100" w:beforeAutospacing="1" w:after="100" w:afterAutospacing="1" w:line="240" w:lineRule="auto"/>
      <w:jc w:val="left"/>
    </w:pPr>
    <w:rPr>
      <w:rFonts w:eastAsia="Times New Roman" w:cs="Times New Roman"/>
      <w:kern w:val="0"/>
      <w:lang w:val="es-ES" w:eastAsia="es-ES"/>
      <w14:ligatures w14:val="none"/>
    </w:rPr>
  </w:style>
  <w:style w:type="character" w:styleId="nfasis">
    <w:name w:val="Emphasis"/>
    <w:basedOn w:val="Fuentedeprrafopredeter"/>
    <w:uiPriority w:val="20"/>
    <w:qFormat/>
    <w:rsid w:val="00B03194"/>
    <w:rPr>
      <w:i/>
      <w:iCs/>
    </w:rPr>
  </w:style>
  <w:style w:type="paragraph" w:styleId="TtuloTDC">
    <w:name w:val="TOC Heading"/>
    <w:basedOn w:val="Ttulo1"/>
    <w:next w:val="Normal"/>
    <w:uiPriority w:val="39"/>
    <w:unhideWhenUsed/>
    <w:qFormat/>
    <w:rsid w:val="00833DE5"/>
    <w:pPr>
      <w:spacing w:line="259" w:lineRule="auto"/>
      <w:jc w:val="left"/>
      <w:outlineLvl w:val="9"/>
    </w:pPr>
    <w:rPr>
      <w:rFonts w:asciiTheme="majorHAnsi" w:hAnsiTheme="majorHAnsi"/>
      <w:b w:val="0"/>
      <w:caps w:val="0"/>
      <w:color w:val="2F5496" w:themeColor="accent1" w:themeShade="BF"/>
      <w:kern w:val="0"/>
      <w:sz w:val="32"/>
      <w:lang w:val="es-ES" w:eastAsia="es-ES"/>
      <w14:ligatures w14:val="none"/>
    </w:rPr>
  </w:style>
  <w:style w:type="paragraph" w:styleId="TDC1">
    <w:name w:val="toc 1"/>
    <w:basedOn w:val="Normal"/>
    <w:next w:val="Normal"/>
    <w:autoRedefine/>
    <w:uiPriority w:val="39"/>
    <w:unhideWhenUsed/>
    <w:rsid w:val="00833DE5"/>
    <w:pPr>
      <w:spacing w:after="100"/>
    </w:pPr>
    <w:rPr>
      <w:b/>
    </w:rPr>
  </w:style>
  <w:style w:type="paragraph" w:styleId="TDC2">
    <w:name w:val="toc 2"/>
    <w:basedOn w:val="Normal"/>
    <w:next w:val="Normal"/>
    <w:autoRedefine/>
    <w:uiPriority w:val="39"/>
    <w:unhideWhenUsed/>
    <w:rsid w:val="00833DE5"/>
    <w:pPr>
      <w:spacing w:after="100"/>
      <w:ind w:left="240"/>
    </w:pPr>
  </w:style>
  <w:style w:type="paragraph" w:styleId="TDC3">
    <w:name w:val="toc 3"/>
    <w:basedOn w:val="Normal"/>
    <w:next w:val="Normal"/>
    <w:autoRedefine/>
    <w:uiPriority w:val="39"/>
    <w:unhideWhenUsed/>
    <w:rsid w:val="00833DE5"/>
    <w:pPr>
      <w:spacing w:after="100"/>
      <w:ind w:left="480"/>
    </w:pPr>
  </w:style>
  <w:style w:type="paragraph" w:styleId="Descripcin">
    <w:name w:val="caption"/>
    <w:basedOn w:val="Normal"/>
    <w:next w:val="Normal"/>
    <w:uiPriority w:val="35"/>
    <w:unhideWhenUsed/>
    <w:qFormat/>
    <w:rsid w:val="00D9536A"/>
    <w:pPr>
      <w:spacing w:after="200" w:line="240" w:lineRule="auto"/>
      <w:jc w:val="center"/>
    </w:pPr>
    <w:rPr>
      <w:rFonts w:ascii="Arial" w:hAnsi="Arial"/>
      <w:iCs/>
      <w:color w:val="595959" w:themeColor="text1" w:themeTint="A6"/>
      <w:sz w:val="22"/>
      <w:szCs w:val="18"/>
    </w:rPr>
  </w:style>
  <w:style w:type="character" w:styleId="Textoennegrita">
    <w:name w:val="Strong"/>
    <w:basedOn w:val="Fuentedeprrafopredeter"/>
    <w:uiPriority w:val="22"/>
    <w:qFormat/>
    <w:rsid w:val="00BC669C"/>
    <w:rPr>
      <w:b/>
      <w:bCs/>
    </w:rPr>
  </w:style>
  <w:style w:type="table" w:styleId="Tablaconcuadrcula">
    <w:name w:val="Table Grid"/>
    <w:basedOn w:val="Tablanormal"/>
    <w:uiPriority w:val="39"/>
    <w:rsid w:val="001F1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Normal"/>
    <w:next w:val="Normal"/>
    <w:uiPriority w:val="99"/>
    <w:unhideWhenUsed/>
    <w:rsid w:val="007F5E8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53094">
      <w:bodyDiv w:val="1"/>
      <w:marLeft w:val="0"/>
      <w:marRight w:val="0"/>
      <w:marTop w:val="0"/>
      <w:marBottom w:val="0"/>
      <w:divBdr>
        <w:top w:val="none" w:sz="0" w:space="0" w:color="auto"/>
        <w:left w:val="none" w:sz="0" w:space="0" w:color="auto"/>
        <w:bottom w:val="none" w:sz="0" w:space="0" w:color="auto"/>
        <w:right w:val="none" w:sz="0" w:space="0" w:color="auto"/>
      </w:divBdr>
    </w:div>
    <w:div w:id="325398269">
      <w:bodyDiv w:val="1"/>
      <w:marLeft w:val="0"/>
      <w:marRight w:val="0"/>
      <w:marTop w:val="0"/>
      <w:marBottom w:val="0"/>
      <w:divBdr>
        <w:top w:val="none" w:sz="0" w:space="0" w:color="auto"/>
        <w:left w:val="none" w:sz="0" w:space="0" w:color="auto"/>
        <w:bottom w:val="none" w:sz="0" w:space="0" w:color="auto"/>
        <w:right w:val="none" w:sz="0" w:space="0" w:color="auto"/>
      </w:divBdr>
    </w:div>
    <w:div w:id="350880080">
      <w:bodyDiv w:val="1"/>
      <w:marLeft w:val="0"/>
      <w:marRight w:val="0"/>
      <w:marTop w:val="0"/>
      <w:marBottom w:val="0"/>
      <w:divBdr>
        <w:top w:val="none" w:sz="0" w:space="0" w:color="auto"/>
        <w:left w:val="none" w:sz="0" w:space="0" w:color="auto"/>
        <w:bottom w:val="none" w:sz="0" w:space="0" w:color="auto"/>
        <w:right w:val="none" w:sz="0" w:space="0" w:color="auto"/>
      </w:divBdr>
    </w:div>
    <w:div w:id="815297440">
      <w:bodyDiv w:val="1"/>
      <w:marLeft w:val="0"/>
      <w:marRight w:val="0"/>
      <w:marTop w:val="0"/>
      <w:marBottom w:val="0"/>
      <w:divBdr>
        <w:top w:val="none" w:sz="0" w:space="0" w:color="auto"/>
        <w:left w:val="none" w:sz="0" w:space="0" w:color="auto"/>
        <w:bottom w:val="none" w:sz="0" w:space="0" w:color="auto"/>
        <w:right w:val="none" w:sz="0" w:space="0" w:color="auto"/>
      </w:divBdr>
    </w:div>
    <w:div w:id="1179731251">
      <w:bodyDiv w:val="1"/>
      <w:marLeft w:val="0"/>
      <w:marRight w:val="0"/>
      <w:marTop w:val="0"/>
      <w:marBottom w:val="0"/>
      <w:divBdr>
        <w:top w:val="none" w:sz="0" w:space="0" w:color="auto"/>
        <w:left w:val="none" w:sz="0" w:space="0" w:color="auto"/>
        <w:bottom w:val="none" w:sz="0" w:space="0" w:color="auto"/>
        <w:right w:val="none" w:sz="0" w:space="0" w:color="auto"/>
      </w:divBdr>
    </w:div>
    <w:div w:id="1193761270">
      <w:bodyDiv w:val="1"/>
      <w:marLeft w:val="0"/>
      <w:marRight w:val="0"/>
      <w:marTop w:val="0"/>
      <w:marBottom w:val="0"/>
      <w:divBdr>
        <w:top w:val="none" w:sz="0" w:space="0" w:color="auto"/>
        <w:left w:val="none" w:sz="0" w:space="0" w:color="auto"/>
        <w:bottom w:val="none" w:sz="0" w:space="0" w:color="auto"/>
        <w:right w:val="none" w:sz="0" w:space="0" w:color="auto"/>
      </w:divBdr>
    </w:div>
    <w:div w:id="1228765335">
      <w:bodyDiv w:val="1"/>
      <w:marLeft w:val="0"/>
      <w:marRight w:val="0"/>
      <w:marTop w:val="0"/>
      <w:marBottom w:val="0"/>
      <w:divBdr>
        <w:top w:val="none" w:sz="0" w:space="0" w:color="auto"/>
        <w:left w:val="none" w:sz="0" w:space="0" w:color="auto"/>
        <w:bottom w:val="none" w:sz="0" w:space="0" w:color="auto"/>
        <w:right w:val="none" w:sz="0" w:space="0" w:color="auto"/>
      </w:divBdr>
    </w:div>
    <w:div w:id="1253394137">
      <w:bodyDiv w:val="1"/>
      <w:marLeft w:val="0"/>
      <w:marRight w:val="0"/>
      <w:marTop w:val="0"/>
      <w:marBottom w:val="0"/>
      <w:divBdr>
        <w:top w:val="none" w:sz="0" w:space="0" w:color="auto"/>
        <w:left w:val="none" w:sz="0" w:space="0" w:color="auto"/>
        <w:bottom w:val="none" w:sz="0" w:space="0" w:color="auto"/>
        <w:right w:val="none" w:sz="0" w:space="0" w:color="auto"/>
      </w:divBdr>
      <w:divsChild>
        <w:div w:id="497966502">
          <w:marLeft w:val="0"/>
          <w:marRight w:val="0"/>
          <w:marTop w:val="0"/>
          <w:marBottom w:val="0"/>
          <w:divBdr>
            <w:top w:val="none" w:sz="0" w:space="0" w:color="auto"/>
            <w:left w:val="none" w:sz="0" w:space="0" w:color="auto"/>
            <w:bottom w:val="none" w:sz="0" w:space="0" w:color="auto"/>
            <w:right w:val="none" w:sz="0" w:space="0" w:color="auto"/>
          </w:divBdr>
          <w:divsChild>
            <w:div w:id="468668853">
              <w:marLeft w:val="0"/>
              <w:marRight w:val="0"/>
              <w:marTop w:val="0"/>
              <w:marBottom w:val="0"/>
              <w:divBdr>
                <w:top w:val="none" w:sz="0" w:space="0" w:color="auto"/>
                <w:left w:val="none" w:sz="0" w:space="0" w:color="auto"/>
                <w:bottom w:val="none" w:sz="0" w:space="0" w:color="auto"/>
                <w:right w:val="none" w:sz="0" w:space="0" w:color="auto"/>
              </w:divBdr>
              <w:divsChild>
                <w:div w:id="101346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448574">
      <w:bodyDiv w:val="1"/>
      <w:marLeft w:val="0"/>
      <w:marRight w:val="0"/>
      <w:marTop w:val="0"/>
      <w:marBottom w:val="0"/>
      <w:divBdr>
        <w:top w:val="none" w:sz="0" w:space="0" w:color="auto"/>
        <w:left w:val="none" w:sz="0" w:space="0" w:color="auto"/>
        <w:bottom w:val="none" w:sz="0" w:space="0" w:color="auto"/>
        <w:right w:val="none" w:sz="0" w:space="0" w:color="auto"/>
      </w:divBdr>
    </w:div>
    <w:div w:id="1394893997">
      <w:bodyDiv w:val="1"/>
      <w:marLeft w:val="0"/>
      <w:marRight w:val="0"/>
      <w:marTop w:val="0"/>
      <w:marBottom w:val="0"/>
      <w:divBdr>
        <w:top w:val="none" w:sz="0" w:space="0" w:color="auto"/>
        <w:left w:val="none" w:sz="0" w:space="0" w:color="auto"/>
        <w:bottom w:val="none" w:sz="0" w:space="0" w:color="auto"/>
        <w:right w:val="none" w:sz="0" w:space="0" w:color="auto"/>
      </w:divBdr>
    </w:div>
    <w:div w:id="1450012217">
      <w:bodyDiv w:val="1"/>
      <w:marLeft w:val="0"/>
      <w:marRight w:val="0"/>
      <w:marTop w:val="0"/>
      <w:marBottom w:val="0"/>
      <w:divBdr>
        <w:top w:val="none" w:sz="0" w:space="0" w:color="auto"/>
        <w:left w:val="none" w:sz="0" w:space="0" w:color="auto"/>
        <w:bottom w:val="none" w:sz="0" w:space="0" w:color="auto"/>
        <w:right w:val="none" w:sz="0" w:space="0" w:color="auto"/>
      </w:divBdr>
    </w:div>
    <w:div w:id="1456555478">
      <w:bodyDiv w:val="1"/>
      <w:marLeft w:val="0"/>
      <w:marRight w:val="0"/>
      <w:marTop w:val="0"/>
      <w:marBottom w:val="0"/>
      <w:divBdr>
        <w:top w:val="none" w:sz="0" w:space="0" w:color="auto"/>
        <w:left w:val="none" w:sz="0" w:space="0" w:color="auto"/>
        <w:bottom w:val="none" w:sz="0" w:space="0" w:color="auto"/>
        <w:right w:val="none" w:sz="0" w:space="0" w:color="auto"/>
      </w:divBdr>
    </w:div>
    <w:div w:id="1520002741">
      <w:bodyDiv w:val="1"/>
      <w:marLeft w:val="0"/>
      <w:marRight w:val="0"/>
      <w:marTop w:val="0"/>
      <w:marBottom w:val="0"/>
      <w:divBdr>
        <w:top w:val="none" w:sz="0" w:space="0" w:color="auto"/>
        <w:left w:val="none" w:sz="0" w:space="0" w:color="auto"/>
        <w:bottom w:val="none" w:sz="0" w:space="0" w:color="auto"/>
        <w:right w:val="none" w:sz="0" w:space="0" w:color="auto"/>
      </w:divBdr>
    </w:div>
    <w:div w:id="1527593322">
      <w:bodyDiv w:val="1"/>
      <w:marLeft w:val="0"/>
      <w:marRight w:val="0"/>
      <w:marTop w:val="0"/>
      <w:marBottom w:val="0"/>
      <w:divBdr>
        <w:top w:val="none" w:sz="0" w:space="0" w:color="auto"/>
        <w:left w:val="none" w:sz="0" w:space="0" w:color="auto"/>
        <w:bottom w:val="none" w:sz="0" w:space="0" w:color="auto"/>
        <w:right w:val="none" w:sz="0" w:space="0" w:color="auto"/>
      </w:divBdr>
      <w:divsChild>
        <w:div w:id="226914094">
          <w:marLeft w:val="0"/>
          <w:marRight w:val="0"/>
          <w:marTop w:val="0"/>
          <w:marBottom w:val="0"/>
          <w:divBdr>
            <w:top w:val="none" w:sz="0" w:space="0" w:color="auto"/>
            <w:left w:val="none" w:sz="0" w:space="0" w:color="auto"/>
            <w:bottom w:val="none" w:sz="0" w:space="0" w:color="auto"/>
            <w:right w:val="none" w:sz="0" w:space="0" w:color="auto"/>
          </w:divBdr>
          <w:divsChild>
            <w:div w:id="2039506775">
              <w:marLeft w:val="0"/>
              <w:marRight w:val="0"/>
              <w:marTop w:val="0"/>
              <w:marBottom w:val="0"/>
              <w:divBdr>
                <w:top w:val="none" w:sz="0" w:space="0" w:color="auto"/>
                <w:left w:val="none" w:sz="0" w:space="0" w:color="auto"/>
                <w:bottom w:val="none" w:sz="0" w:space="0" w:color="auto"/>
                <w:right w:val="none" w:sz="0" w:space="0" w:color="auto"/>
              </w:divBdr>
              <w:divsChild>
                <w:div w:id="458106696">
                  <w:marLeft w:val="0"/>
                  <w:marRight w:val="0"/>
                  <w:marTop w:val="0"/>
                  <w:marBottom w:val="0"/>
                  <w:divBdr>
                    <w:top w:val="none" w:sz="0" w:space="0" w:color="auto"/>
                    <w:left w:val="none" w:sz="0" w:space="0" w:color="auto"/>
                    <w:bottom w:val="none" w:sz="0" w:space="0" w:color="auto"/>
                    <w:right w:val="none" w:sz="0" w:space="0" w:color="auto"/>
                  </w:divBdr>
                  <w:divsChild>
                    <w:div w:id="6636896">
                      <w:marLeft w:val="0"/>
                      <w:marRight w:val="0"/>
                      <w:marTop w:val="0"/>
                      <w:marBottom w:val="0"/>
                      <w:divBdr>
                        <w:top w:val="none" w:sz="0" w:space="0" w:color="auto"/>
                        <w:left w:val="none" w:sz="0" w:space="0" w:color="auto"/>
                        <w:bottom w:val="none" w:sz="0" w:space="0" w:color="auto"/>
                        <w:right w:val="none" w:sz="0" w:space="0" w:color="auto"/>
                      </w:divBdr>
                      <w:divsChild>
                        <w:div w:id="1744058322">
                          <w:marLeft w:val="0"/>
                          <w:marRight w:val="0"/>
                          <w:marTop w:val="0"/>
                          <w:marBottom w:val="0"/>
                          <w:divBdr>
                            <w:top w:val="none" w:sz="0" w:space="0" w:color="auto"/>
                            <w:left w:val="none" w:sz="0" w:space="0" w:color="auto"/>
                            <w:bottom w:val="none" w:sz="0" w:space="0" w:color="auto"/>
                            <w:right w:val="none" w:sz="0" w:space="0" w:color="auto"/>
                          </w:divBdr>
                          <w:divsChild>
                            <w:div w:id="81224777">
                              <w:marLeft w:val="0"/>
                              <w:marRight w:val="0"/>
                              <w:marTop w:val="0"/>
                              <w:marBottom w:val="0"/>
                              <w:divBdr>
                                <w:top w:val="none" w:sz="0" w:space="0" w:color="auto"/>
                                <w:left w:val="none" w:sz="0" w:space="0" w:color="auto"/>
                                <w:bottom w:val="none" w:sz="0" w:space="0" w:color="auto"/>
                                <w:right w:val="none" w:sz="0" w:space="0" w:color="auto"/>
                              </w:divBdr>
                              <w:divsChild>
                                <w:div w:id="938221520">
                                  <w:marLeft w:val="0"/>
                                  <w:marRight w:val="0"/>
                                  <w:marTop w:val="0"/>
                                  <w:marBottom w:val="0"/>
                                  <w:divBdr>
                                    <w:top w:val="none" w:sz="0" w:space="0" w:color="auto"/>
                                    <w:left w:val="none" w:sz="0" w:space="0" w:color="auto"/>
                                    <w:bottom w:val="none" w:sz="0" w:space="0" w:color="auto"/>
                                    <w:right w:val="none" w:sz="0" w:space="0" w:color="auto"/>
                                  </w:divBdr>
                                  <w:divsChild>
                                    <w:div w:id="167040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0226567">
      <w:bodyDiv w:val="1"/>
      <w:marLeft w:val="0"/>
      <w:marRight w:val="0"/>
      <w:marTop w:val="0"/>
      <w:marBottom w:val="0"/>
      <w:divBdr>
        <w:top w:val="none" w:sz="0" w:space="0" w:color="auto"/>
        <w:left w:val="none" w:sz="0" w:space="0" w:color="auto"/>
        <w:bottom w:val="none" w:sz="0" w:space="0" w:color="auto"/>
        <w:right w:val="none" w:sz="0" w:space="0" w:color="auto"/>
      </w:divBdr>
    </w:div>
    <w:div w:id="1705251023">
      <w:bodyDiv w:val="1"/>
      <w:marLeft w:val="0"/>
      <w:marRight w:val="0"/>
      <w:marTop w:val="0"/>
      <w:marBottom w:val="0"/>
      <w:divBdr>
        <w:top w:val="none" w:sz="0" w:space="0" w:color="auto"/>
        <w:left w:val="none" w:sz="0" w:space="0" w:color="auto"/>
        <w:bottom w:val="none" w:sz="0" w:space="0" w:color="auto"/>
        <w:right w:val="none" w:sz="0" w:space="0" w:color="auto"/>
      </w:divBdr>
    </w:div>
    <w:div w:id="184532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sedici.unlp.edu.ar/bitstream/handle/10915/147984/Documento_completo.pdf?sequence=1m" TargetMode="External"/><Relationship Id="rId26" Type="http://schemas.openxmlformats.org/officeDocument/2006/relationships/hyperlink" Target="https://doi.org/10.21679/arc.v2i2.36" TargetMode="External"/><Relationship Id="rId39" Type="http://schemas.openxmlformats.org/officeDocument/2006/relationships/hyperlink" Target="https://doi.org/10.4102/curationis.v36i1.57" TargetMode="External"/><Relationship Id="rId21" Type="http://schemas.openxmlformats.org/officeDocument/2006/relationships/hyperlink" Target="https://doi.org/10.1371/journal.pmed.1001752" TargetMode="External"/><Relationship Id="rId34" Type="http://schemas.openxmlformats.org/officeDocument/2006/relationships/hyperlink" Target="https://doi.org/10.5772/intechopen.1004726" TargetMode="External"/><Relationship Id="rId42" Type="http://schemas.openxmlformats.org/officeDocument/2006/relationships/hyperlink" Target="https://doi.org/10.2147/IJWH.S89315" TargetMode="External"/><Relationship Id="rId47" Type="http://schemas.openxmlformats.org/officeDocument/2006/relationships/hyperlink" Target="https://ve.scielo.org/scielo.php?pid=S0048-77322015000300003&amp;script=sci_abstract" TargetMode="External"/><Relationship Id="rId50" Type="http://schemas.openxmlformats.org/officeDocument/2006/relationships/hyperlink" Target="https://doi.org/10.1093/humrep/17.2.332"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titula.universidadeuropea.com/handle/20.500.12880/12194?show=full" TargetMode="External"/><Relationship Id="rId11" Type="http://schemas.openxmlformats.org/officeDocument/2006/relationships/footer" Target="footer2.xml"/><Relationship Id="rId24" Type="http://schemas.openxmlformats.org/officeDocument/2006/relationships/hyperlink" Target="https://doi.org/10.1016/j.ajog.2013.03.015" TargetMode="External"/><Relationship Id="rId32" Type="http://schemas.openxmlformats.org/officeDocument/2006/relationships/hyperlink" Target="https://doi.org/10.1002/14651858.CD000941.pub3" TargetMode="External"/><Relationship Id="rId37" Type="http://schemas.openxmlformats.org/officeDocument/2006/relationships/hyperlink" Target="https://hdl.handle.net/20.500.13053/15574" TargetMode="External"/><Relationship Id="rId40" Type="http://schemas.openxmlformats.org/officeDocument/2006/relationships/hyperlink" Target="https://doi.org/10.1111/j.1447-0756.2010.01399.x" TargetMode="External"/><Relationship Id="rId45" Type="http://schemas.openxmlformats.org/officeDocument/2006/relationships/hyperlink" Target="https://doi.org/10.28960/revmeduas.2007-8013.v8.n3.001" TargetMode="External"/><Relationship Id="rId53" Type="http://schemas.openxmlformats.org/officeDocument/2006/relationships/hyperlink" Target="https://iris.who.int/" TargetMode="External"/><Relationship Id="rId5" Type="http://schemas.openxmlformats.org/officeDocument/2006/relationships/webSettings" Target="webSettings.xml"/><Relationship Id="rId10" Type="http://schemas.openxmlformats.org/officeDocument/2006/relationships/image" Target="media/image2.emf"/><Relationship Id="rId19" Type="http://schemas.openxmlformats.org/officeDocument/2006/relationships/hyperlink" Target="https://doi.org/10.31403/rpgo.v46i1387" TargetMode="External"/><Relationship Id="rId31" Type="http://schemas.openxmlformats.org/officeDocument/2006/relationships/hyperlink" Target="https://doi.org/10.1002/9781119536604" TargetMode="External"/><Relationship Id="rId44" Type="http://schemas.openxmlformats.org/officeDocument/2006/relationships/hyperlink" Target="https://www.redalyc.org/journal/3313/331355421002/html/" TargetMode="External"/><Relationship Id="rId52" Type="http://schemas.openxmlformats.org/officeDocument/2006/relationships/hyperlink" Target="https://doi.org/10.1016/S0140-6736(10)60395-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s://doi.org/10.1016/j.tjog.2019.09.004" TargetMode="External"/><Relationship Id="rId27" Type="http://schemas.openxmlformats.org/officeDocument/2006/relationships/hyperlink" Target="https://doi.org/10.1016/S0140-6736(20)30925-9" TargetMode="External"/><Relationship Id="rId30" Type="http://schemas.openxmlformats.org/officeDocument/2006/relationships/hyperlink" Target="https://doi.org/10.1016/S0140-6736(01)05835-4" TargetMode="External"/><Relationship Id="rId35" Type="http://schemas.openxmlformats.org/officeDocument/2006/relationships/hyperlink" Target="https://doi.org/10.1186/1471-2393-12-65" TargetMode="External"/><Relationship Id="rId43" Type="http://schemas.openxmlformats.org/officeDocument/2006/relationships/hyperlink" Target="https://www.medigraphic.com/pdfs/ginobsmex/gom-2009/gom0910c.pdf" TargetMode="External"/><Relationship Id="rId48" Type="http://schemas.openxmlformats.org/officeDocument/2006/relationships/hyperlink" Target="https://doi.org/10.1016/S2214-109X(14)70227-X" TargetMode="External"/><Relationship Id="rId8" Type="http://schemas.openxmlformats.org/officeDocument/2006/relationships/image" Target="media/image1.jpeg"/><Relationship Id="rId51" Type="http://schemas.openxmlformats.org/officeDocument/2006/relationships/hyperlink" Target="https://doi.org/10.15557/9789241550420"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doi.org/10.18203/2320-1770.ijrcog20215082" TargetMode="External"/><Relationship Id="rId25" Type="http://schemas.openxmlformats.org/officeDocument/2006/relationships/hyperlink" Target="https://doi.org/10.1093/pubmed/fdac036" TargetMode="External"/><Relationship Id="rId33" Type="http://schemas.openxmlformats.org/officeDocument/2006/relationships/hyperlink" Target="https://doi.org/10.1002/14651858.CD000941.pub3" TargetMode="External"/><Relationship Id="rId38" Type="http://schemas.openxmlformats.org/officeDocument/2006/relationships/hyperlink" Target="https://revistasanitariadeinvestigacion.com/protocolo-para-el-manejo-de-la-hemorragia-postparto/" TargetMode="External"/><Relationship Id="rId46" Type="http://schemas.openxmlformats.org/officeDocument/2006/relationships/hyperlink" Target="https://doi.org/10.31403/rpgo.v50i419" TargetMode="External"/><Relationship Id="rId20" Type="http://schemas.openxmlformats.org/officeDocument/2006/relationships/hyperlink" Target="http://www.scielo.org.co/scielo.php?script=sci_arttext&amp;pid=S0034-74342003000200002&amp;lng=en&amp;tlng=es" TargetMode="External"/><Relationship Id="rId41" Type="http://schemas.openxmlformats.org/officeDocument/2006/relationships/hyperlink" Target="https://doi.org/10.1136/bmj.n7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doi.org/10.1097/00006250-200305000-00017" TargetMode="External"/><Relationship Id="rId28" Type="http://schemas.openxmlformats.org/officeDocument/2006/relationships/hyperlink" Target="https://doi.org/10.1056/NEJM200101043440107" TargetMode="External"/><Relationship Id="rId36" Type="http://schemas.openxmlformats.org/officeDocument/2006/relationships/hyperlink" Target="https://doi.org/10.11606/issn.1679-9836.v104i3e-230726" TargetMode="External"/><Relationship Id="rId49" Type="http://schemas.openxmlformats.org/officeDocument/2006/relationships/hyperlink" Target="https://doi.org/10.24875/AMH.2500000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19DF4-081D-404B-B11A-016F3FAC1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107</Pages>
  <Words>31060</Words>
  <Characters>170834</Characters>
  <Application>Microsoft Office Word</Application>
  <DocSecurity>0</DocSecurity>
  <Lines>1423</Lines>
  <Paragraphs>402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Flavia Morales</cp:lastModifiedBy>
  <cp:revision>11</cp:revision>
  <cp:lastPrinted>2026-07-10T16:09:00Z</cp:lastPrinted>
  <dcterms:created xsi:type="dcterms:W3CDTF">2026-08-04T02:20:00Z</dcterms:created>
  <dcterms:modified xsi:type="dcterms:W3CDTF">2026-08-27T19:09:00Z</dcterms:modified>
</cp:coreProperties>
</file>